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9011BB" w14:textId="77777777" w:rsidR="00FA0EBC" w:rsidRPr="00AB315F" w:rsidRDefault="00FA0EBC" w:rsidP="00FA0EBC">
      <w:pPr>
        <w:ind w:left="-284"/>
        <w:jc w:val="center"/>
      </w:pPr>
      <w:r w:rsidRPr="00AB315F">
        <w:t>UNIVERSIDADE FEDERAL DE MINAS GERAIS</w:t>
      </w:r>
    </w:p>
    <w:p w14:paraId="71051430" w14:textId="77777777" w:rsidR="00FA0EBC" w:rsidRPr="00AB315F" w:rsidRDefault="00FA0EBC" w:rsidP="00FA0EBC">
      <w:pPr>
        <w:ind w:left="-284"/>
        <w:jc w:val="center"/>
      </w:pPr>
      <w:r w:rsidRPr="00AB315F">
        <w:t>FACULDADE DE FILOSOFIA E CIÊNCIAS HUMANAS</w:t>
      </w:r>
    </w:p>
    <w:p w14:paraId="6AE46CCC" w14:textId="77777777" w:rsidR="00FA0EBC" w:rsidRPr="00AB315F" w:rsidRDefault="00FA0EBC" w:rsidP="00FA0EBC">
      <w:pPr>
        <w:ind w:left="-284"/>
        <w:jc w:val="center"/>
      </w:pPr>
      <w:r w:rsidRPr="00AB315F">
        <w:t>PROGRAMA DE PÓS-GRADUAÇÃO EM CIÊNCIA POLÍTICA</w:t>
      </w:r>
    </w:p>
    <w:p w14:paraId="582EB596" w14:textId="77777777" w:rsidR="00FA0EBC" w:rsidRPr="00AB315F" w:rsidRDefault="00FA0EBC" w:rsidP="00FA0EBC">
      <w:pPr>
        <w:ind w:left="-284"/>
        <w:jc w:val="both"/>
      </w:pPr>
    </w:p>
    <w:p w14:paraId="12F90F7D" w14:textId="77777777" w:rsidR="00FA0EBC" w:rsidRPr="00AB315F" w:rsidRDefault="00FA0EBC" w:rsidP="00FA0EBC">
      <w:pPr>
        <w:ind w:left="-284"/>
        <w:jc w:val="both"/>
      </w:pPr>
    </w:p>
    <w:p w14:paraId="77D3F9A3" w14:textId="77777777" w:rsidR="00FA0EBC" w:rsidRPr="00AB315F" w:rsidRDefault="00FA0EBC" w:rsidP="00FA0EBC">
      <w:pPr>
        <w:ind w:left="-284"/>
        <w:jc w:val="both"/>
      </w:pPr>
    </w:p>
    <w:p w14:paraId="1A1CCA25" w14:textId="77777777" w:rsidR="00FA0EBC" w:rsidRPr="00AB315F" w:rsidRDefault="00FA0EBC" w:rsidP="00FA0EBC">
      <w:pPr>
        <w:ind w:left="-284"/>
        <w:jc w:val="both"/>
      </w:pPr>
    </w:p>
    <w:p w14:paraId="5D839E85" w14:textId="77777777" w:rsidR="00FA0EBC" w:rsidRPr="00AB315F" w:rsidRDefault="00FA0EBC" w:rsidP="00FA0EBC">
      <w:pPr>
        <w:ind w:left="-284"/>
        <w:jc w:val="both"/>
      </w:pPr>
    </w:p>
    <w:p w14:paraId="1D652D2F" w14:textId="77777777" w:rsidR="00FA0EBC" w:rsidRPr="00AB315F" w:rsidRDefault="00FA0EBC" w:rsidP="00FA0EBC">
      <w:pPr>
        <w:ind w:left="-284"/>
        <w:jc w:val="both"/>
      </w:pPr>
    </w:p>
    <w:p w14:paraId="68A9272A" w14:textId="77777777" w:rsidR="003B748F" w:rsidRPr="00AB315F" w:rsidRDefault="003B748F" w:rsidP="003B748F">
      <w:pPr>
        <w:ind w:left="-284"/>
        <w:jc w:val="center"/>
      </w:pPr>
      <w:r w:rsidRPr="00AB315F">
        <w:t>Pedro Soares Fraiha</w:t>
      </w:r>
    </w:p>
    <w:p w14:paraId="4D8327E2" w14:textId="77777777" w:rsidR="00FA0EBC" w:rsidRPr="00AB315F" w:rsidRDefault="00FA0EBC" w:rsidP="00FA0EBC">
      <w:pPr>
        <w:ind w:left="-284"/>
        <w:jc w:val="both"/>
      </w:pPr>
    </w:p>
    <w:p w14:paraId="3B9DF1B4" w14:textId="77777777" w:rsidR="00FA0EBC" w:rsidRPr="00AB315F" w:rsidRDefault="00FA0EBC" w:rsidP="00FA0EBC">
      <w:pPr>
        <w:ind w:left="-284"/>
        <w:jc w:val="both"/>
      </w:pPr>
    </w:p>
    <w:p w14:paraId="354E4FBF" w14:textId="77777777" w:rsidR="00FA0EBC" w:rsidRPr="00AB315F" w:rsidRDefault="00FA0EBC" w:rsidP="00FA0EBC">
      <w:pPr>
        <w:ind w:left="-284"/>
        <w:jc w:val="both"/>
      </w:pPr>
    </w:p>
    <w:p w14:paraId="1856258F" w14:textId="77777777" w:rsidR="00FA0EBC" w:rsidRPr="00AB315F" w:rsidRDefault="00FA0EBC" w:rsidP="00FA0EBC">
      <w:pPr>
        <w:ind w:left="-284"/>
        <w:jc w:val="both"/>
      </w:pPr>
    </w:p>
    <w:p w14:paraId="3BEBAA41" w14:textId="77777777" w:rsidR="00FA0EBC" w:rsidRPr="00AB315F" w:rsidRDefault="00FA0EBC" w:rsidP="00FA0EBC">
      <w:pPr>
        <w:ind w:left="-284"/>
        <w:jc w:val="both"/>
      </w:pPr>
    </w:p>
    <w:p w14:paraId="5AEF4824" w14:textId="77777777" w:rsidR="00FA0EBC" w:rsidRPr="00AB315F" w:rsidRDefault="00FA0EBC" w:rsidP="00FA0EBC">
      <w:pPr>
        <w:ind w:left="-284"/>
        <w:jc w:val="both"/>
      </w:pPr>
    </w:p>
    <w:p w14:paraId="28AF86B0" w14:textId="77777777" w:rsidR="00FA0EBC" w:rsidRPr="00AB315F" w:rsidRDefault="00FA0EBC" w:rsidP="00FA0EBC">
      <w:pPr>
        <w:ind w:left="-284"/>
        <w:jc w:val="both"/>
      </w:pPr>
    </w:p>
    <w:p w14:paraId="70CEE035" w14:textId="77777777" w:rsidR="00FA0EBC" w:rsidRPr="00AB315F" w:rsidRDefault="00FA0EBC" w:rsidP="00FA0EBC">
      <w:pPr>
        <w:ind w:left="-284"/>
        <w:jc w:val="both"/>
      </w:pPr>
    </w:p>
    <w:p w14:paraId="4B7C3C07" w14:textId="77777777" w:rsidR="00FA0EBC" w:rsidRPr="00AB315F" w:rsidRDefault="00FA0EBC" w:rsidP="00FA0EBC">
      <w:pPr>
        <w:ind w:left="-284"/>
        <w:jc w:val="both"/>
      </w:pPr>
    </w:p>
    <w:p w14:paraId="7817AC3C" w14:textId="77777777" w:rsidR="00FA0EBC" w:rsidRPr="00AB315F" w:rsidRDefault="00FA0EBC" w:rsidP="00FA0EBC">
      <w:pPr>
        <w:ind w:left="-284"/>
        <w:jc w:val="both"/>
      </w:pPr>
    </w:p>
    <w:p w14:paraId="3F3775E1" w14:textId="77777777" w:rsidR="00FA0EBC" w:rsidRPr="00AB315F" w:rsidRDefault="00FA0EBC" w:rsidP="00FA0EBC">
      <w:pPr>
        <w:ind w:left="-284"/>
        <w:jc w:val="center"/>
      </w:pPr>
    </w:p>
    <w:p w14:paraId="4DB20AC9" w14:textId="77777777" w:rsidR="00FA0EBC" w:rsidRPr="00AB315F" w:rsidRDefault="00FA0EBC" w:rsidP="00FA0EBC">
      <w:pPr>
        <w:ind w:left="-284"/>
        <w:jc w:val="center"/>
      </w:pPr>
      <w:r>
        <w:rPr>
          <w:b/>
          <w:sz w:val="28"/>
          <w:szCs w:val="28"/>
        </w:rPr>
        <w:t>Medida de</w:t>
      </w:r>
      <w:r w:rsidRPr="00AB315F">
        <w:rPr>
          <w:b/>
          <w:sz w:val="28"/>
          <w:szCs w:val="28"/>
        </w:rPr>
        <w:t xml:space="preserve"> Aceitação da Corrupção: evidências de validade e confiabilidade do indicador.</w:t>
      </w:r>
    </w:p>
    <w:p w14:paraId="425496E3" w14:textId="77777777" w:rsidR="00FA0EBC" w:rsidRPr="00AB315F" w:rsidRDefault="00FA0EBC" w:rsidP="00FA0EBC">
      <w:pPr>
        <w:ind w:left="-284"/>
        <w:jc w:val="both"/>
      </w:pPr>
    </w:p>
    <w:p w14:paraId="422D6273" w14:textId="77777777" w:rsidR="00FA0EBC" w:rsidRPr="00AB315F" w:rsidRDefault="00FA0EBC" w:rsidP="00FA0EBC">
      <w:pPr>
        <w:ind w:left="-284"/>
        <w:jc w:val="both"/>
      </w:pPr>
    </w:p>
    <w:p w14:paraId="6226A367" w14:textId="77777777" w:rsidR="00FA0EBC" w:rsidRPr="00AB315F" w:rsidRDefault="00FA0EBC" w:rsidP="00FA0EBC">
      <w:pPr>
        <w:ind w:left="-284"/>
        <w:jc w:val="both"/>
      </w:pPr>
    </w:p>
    <w:p w14:paraId="7F578726" w14:textId="77777777" w:rsidR="00FA0EBC" w:rsidRPr="00AB315F" w:rsidRDefault="00FA0EBC" w:rsidP="00FA0EBC">
      <w:pPr>
        <w:ind w:left="-284"/>
        <w:jc w:val="both"/>
      </w:pPr>
    </w:p>
    <w:p w14:paraId="5BE8A9C0" w14:textId="77777777" w:rsidR="00FA0EBC" w:rsidRPr="00AB315F" w:rsidRDefault="00FA0EBC" w:rsidP="00FA0EBC">
      <w:pPr>
        <w:ind w:left="-284"/>
        <w:jc w:val="both"/>
      </w:pPr>
    </w:p>
    <w:p w14:paraId="07C508CA" w14:textId="77777777" w:rsidR="00FA0EBC" w:rsidRPr="00AB315F" w:rsidRDefault="00FA0EBC" w:rsidP="00FA0EBC">
      <w:pPr>
        <w:ind w:left="-284"/>
        <w:jc w:val="right"/>
      </w:pPr>
    </w:p>
    <w:p w14:paraId="2CEEDF49" w14:textId="77777777" w:rsidR="00FA0EBC" w:rsidRPr="00AB315F" w:rsidRDefault="00FA0EBC" w:rsidP="00FA0EBC">
      <w:pPr>
        <w:ind w:left="-284"/>
        <w:jc w:val="right"/>
      </w:pPr>
    </w:p>
    <w:p w14:paraId="62F8CC4F" w14:textId="77777777" w:rsidR="00FA0EBC" w:rsidRPr="00AB315F" w:rsidRDefault="00FA0EBC" w:rsidP="00FA0EBC">
      <w:pPr>
        <w:ind w:left="-284"/>
        <w:jc w:val="right"/>
      </w:pPr>
    </w:p>
    <w:p w14:paraId="3694EBA4" w14:textId="77777777" w:rsidR="00FA0EBC" w:rsidRPr="00AB315F" w:rsidRDefault="00FA0EBC" w:rsidP="00FA0EBC">
      <w:pPr>
        <w:ind w:left="-284"/>
        <w:jc w:val="both"/>
      </w:pPr>
    </w:p>
    <w:p w14:paraId="0A20BBA3" w14:textId="77777777" w:rsidR="00FA0EBC" w:rsidRPr="00AB315F" w:rsidRDefault="00FA0EBC" w:rsidP="00FA0EBC">
      <w:pPr>
        <w:ind w:left="-284"/>
        <w:jc w:val="both"/>
      </w:pPr>
    </w:p>
    <w:p w14:paraId="24CB1384" w14:textId="77777777" w:rsidR="00FA0EBC" w:rsidRPr="00AB315F" w:rsidRDefault="00FA0EBC" w:rsidP="00FA0EBC">
      <w:pPr>
        <w:ind w:left="-284"/>
        <w:jc w:val="both"/>
      </w:pPr>
    </w:p>
    <w:p w14:paraId="1DB86461" w14:textId="77777777" w:rsidR="00FA0EBC" w:rsidRPr="00AB315F" w:rsidRDefault="00FA0EBC" w:rsidP="00FA0EBC">
      <w:pPr>
        <w:ind w:left="-284"/>
        <w:jc w:val="both"/>
      </w:pPr>
    </w:p>
    <w:p w14:paraId="45EFA445" w14:textId="77777777" w:rsidR="00FA0EBC" w:rsidRPr="00AB315F" w:rsidRDefault="00FA0EBC" w:rsidP="00FA0EBC">
      <w:pPr>
        <w:ind w:left="-284"/>
        <w:jc w:val="both"/>
      </w:pPr>
    </w:p>
    <w:p w14:paraId="157DCC67" w14:textId="77777777" w:rsidR="00FA0EBC" w:rsidRPr="00AB315F" w:rsidRDefault="00FA0EBC" w:rsidP="00FA0EBC">
      <w:pPr>
        <w:ind w:left="-284"/>
        <w:jc w:val="both"/>
      </w:pPr>
    </w:p>
    <w:p w14:paraId="16173D06" w14:textId="77777777" w:rsidR="00FA0EBC" w:rsidRPr="00AB315F" w:rsidRDefault="00FA0EBC" w:rsidP="00FA0EBC">
      <w:pPr>
        <w:ind w:left="-284"/>
        <w:jc w:val="both"/>
      </w:pPr>
    </w:p>
    <w:p w14:paraId="148CCC19" w14:textId="77777777" w:rsidR="00FA0EBC" w:rsidRPr="00AB315F" w:rsidRDefault="00FA0EBC" w:rsidP="00FA0EBC">
      <w:pPr>
        <w:ind w:left="-284"/>
        <w:jc w:val="both"/>
      </w:pPr>
    </w:p>
    <w:p w14:paraId="787EA868" w14:textId="77777777" w:rsidR="00FA0EBC" w:rsidRPr="00AB315F" w:rsidRDefault="00FA0EBC" w:rsidP="00FA0EBC">
      <w:pPr>
        <w:ind w:left="-284"/>
        <w:jc w:val="both"/>
      </w:pPr>
    </w:p>
    <w:p w14:paraId="2E0F8901" w14:textId="77777777" w:rsidR="00FA0EBC" w:rsidRPr="00AB315F" w:rsidRDefault="00FA0EBC" w:rsidP="00FA0EBC">
      <w:pPr>
        <w:ind w:left="-284"/>
        <w:jc w:val="both"/>
      </w:pPr>
    </w:p>
    <w:p w14:paraId="2507C282" w14:textId="77777777" w:rsidR="00FA0EBC" w:rsidRPr="00AB315F" w:rsidRDefault="00FA0EBC" w:rsidP="00FA0EBC">
      <w:pPr>
        <w:ind w:left="-284"/>
        <w:jc w:val="both"/>
      </w:pPr>
    </w:p>
    <w:p w14:paraId="35BDB238" w14:textId="77777777" w:rsidR="00FA0EBC" w:rsidRPr="00AB315F" w:rsidRDefault="00FA0EBC" w:rsidP="00FA0EBC">
      <w:pPr>
        <w:ind w:left="-284"/>
        <w:jc w:val="both"/>
      </w:pPr>
    </w:p>
    <w:p w14:paraId="496AE2A3" w14:textId="77777777" w:rsidR="00FA0EBC" w:rsidRPr="00AB315F" w:rsidRDefault="00FA0EBC" w:rsidP="00FA0EBC">
      <w:pPr>
        <w:ind w:left="-284"/>
        <w:jc w:val="both"/>
      </w:pPr>
    </w:p>
    <w:p w14:paraId="24856E51" w14:textId="77777777" w:rsidR="00FA0EBC" w:rsidRPr="00AB315F" w:rsidRDefault="00FA0EBC" w:rsidP="00FA0EBC">
      <w:pPr>
        <w:ind w:left="-284"/>
        <w:jc w:val="both"/>
      </w:pPr>
    </w:p>
    <w:p w14:paraId="2DE5F0DE" w14:textId="77777777" w:rsidR="00FA0EBC" w:rsidRPr="00AB315F" w:rsidRDefault="00FA0EBC" w:rsidP="00FA0EBC">
      <w:pPr>
        <w:ind w:left="-284"/>
        <w:jc w:val="both"/>
      </w:pPr>
    </w:p>
    <w:p w14:paraId="69564D83" w14:textId="77777777" w:rsidR="00FA0EBC" w:rsidRPr="00AB315F" w:rsidRDefault="00FA0EBC" w:rsidP="00FA0EBC">
      <w:pPr>
        <w:ind w:left="-284"/>
        <w:jc w:val="both"/>
      </w:pPr>
    </w:p>
    <w:p w14:paraId="2EE884C4" w14:textId="77777777" w:rsidR="00FA0EBC" w:rsidRPr="00AB315F" w:rsidRDefault="00FA0EBC" w:rsidP="00FA0EBC">
      <w:pPr>
        <w:ind w:left="-284"/>
        <w:jc w:val="both"/>
      </w:pPr>
    </w:p>
    <w:p w14:paraId="293A1571" w14:textId="77777777" w:rsidR="00FA0EBC" w:rsidRPr="00AB315F" w:rsidRDefault="00FA0EBC" w:rsidP="00FA0EBC">
      <w:pPr>
        <w:ind w:left="-284"/>
        <w:jc w:val="center"/>
      </w:pPr>
      <w:r w:rsidRPr="00AB315F">
        <w:t>BELO HORIZONTE</w:t>
      </w:r>
    </w:p>
    <w:p w14:paraId="34555968" w14:textId="77777777" w:rsidR="00FA0EBC" w:rsidRPr="00AB315F" w:rsidRDefault="00FA0EBC" w:rsidP="00FA0EBC">
      <w:pPr>
        <w:ind w:left="-284"/>
        <w:jc w:val="center"/>
      </w:pPr>
      <w:r w:rsidRPr="00AB315F">
        <w:t>2016</w:t>
      </w:r>
    </w:p>
    <w:p w14:paraId="0222C124" w14:textId="77777777" w:rsidR="003B748F" w:rsidRPr="00AB315F" w:rsidRDefault="003B748F" w:rsidP="003B748F">
      <w:pPr>
        <w:ind w:left="-284"/>
        <w:jc w:val="center"/>
      </w:pPr>
      <w:r w:rsidRPr="00AB315F">
        <w:lastRenderedPageBreak/>
        <w:t>UNIVERSIDADE FEDERAL DE MINAS GERAIS</w:t>
      </w:r>
    </w:p>
    <w:p w14:paraId="0A582526" w14:textId="77777777" w:rsidR="003B748F" w:rsidRPr="00AB315F" w:rsidRDefault="003B748F" w:rsidP="003B748F">
      <w:pPr>
        <w:ind w:left="-284"/>
        <w:jc w:val="center"/>
      </w:pPr>
      <w:r w:rsidRPr="00AB315F">
        <w:t>FACULDADE DE FILOSOFIA E CIÊNCIAS HUMANAS</w:t>
      </w:r>
    </w:p>
    <w:p w14:paraId="7295D694" w14:textId="77777777" w:rsidR="003B748F" w:rsidRPr="00AB315F" w:rsidRDefault="003B748F" w:rsidP="003B748F">
      <w:pPr>
        <w:ind w:left="-284"/>
        <w:jc w:val="center"/>
      </w:pPr>
      <w:r w:rsidRPr="00AB315F">
        <w:t>PROGRAMA DE PÓS-GRADUAÇÃO EM CIÊNCIA POLÍTICA</w:t>
      </w:r>
    </w:p>
    <w:p w14:paraId="7955F04D" w14:textId="77777777" w:rsidR="003B748F" w:rsidRPr="00AB315F" w:rsidRDefault="003B748F" w:rsidP="003B748F">
      <w:pPr>
        <w:ind w:left="-284"/>
        <w:jc w:val="both"/>
      </w:pPr>
    </w:p>
    <w:p w14:paraId="70F0B753" w14:textId="77777777" w:rsidR="003B748F" w:rsidRPr="00AB315F" w:rsidRDefault="003B748F" w:rsidP="003B748F">
      <w:pPr>
        <w:ind w:left="-284"/>
        <w:jc w:val="both"/>
      </w:pPr>
    </w:p>
    <w:p w14:paraId="5DB5E702" w14:textId="77777777" w:rsidR="003B748F" w:rsidRPr="00AB315F" w:rsidRDefault="003B748F" w:rsidP="003B748F">
      <w:pPr>
        <w:ind w:left="-284"/>
        <w:jc w:val="both"/>
      </w:pPr>
    </w:p>
    <w:p w14:paraId="266C1B4F" w14:textId="77777777" w:rsidR="003B748F" w:rsidRPr="00AB315F" w:rsidRDefault="003B748F" w:rsidP="003B748F">
      <w:pPr>
        <w:ind w:left="-284"/>
        <w:jc w:val="both"/>
      </w:pPr>
    </w:p>
    <w:p w14:paraId="1C60688A" w14:textId="77777777" w:rsidR="003B748F" w:rsidRPr="00AB315F" w:rsidRDefault="003B748F" w:rsidP="003B748F">
      <w:pPr>
        <w:ind w:left="-284"/>
        <w:jc w:val="both"/>
      </w:pPr>
    </w:p>
    <w:p w14:paraId="39972A82" w14:textId="77777777" w:rsidR="003B748F" w:rsidRPr="00AB315F" w:rsidRDefault="003B748F" w:rsidP="003B748F">
      <w:pPr>
        <w:ind w:left="-284"/>
        <w:jc w:val="both"/>
      </w:pPr>
    </w:p>
    <w:p w14:paraId="774695CA" w14:textId="77777777" w:rsidR="003B748F" w:rsidRPr="00AB315F" w:rsidRDefault="003B748F" w:rsidP="003B748F">
      <w:pPr>
        <w:ind w:left="-284"/>
        <w:jc w:val="both"/>
      </w:pPr>
    </w:p>
    <w:p w14:paraId="69ED5B0B" w14:textId="77777777" w:rsidR="003B748F" w:rsidRPr="00AB315F" w:rsidRDefault="003B748F" w:rsidP="003B748F">
      <w:pPr>
        <w:ind w:left="-284"/>
        <w:jc w:val="both"/>
      </w:pPr>
    </w:p>
    <w:p w14:paraId="51CAAE28" w14:textId="77777777" w:rsidR="003B748F" w:rsidRPr="00AB315F" w:rsidRDefault="003B748F" w:rsidP="003B748F">
      <w:pPr>
        <w:ind w:left="-284"/>
        <w:jc w:val="both"/>
      </w:pPr>
    </w:p>
    <w:p w14:paraId="6788035B" w14:textId="77777777" w:rsidR="003B748F" w:rsidRPr="00AB315F" w:rsidRDefault="003B748F" w:rsidP="003B748F">
      <w:pPr>
        <w:ind w:left="-284"/>
        <w:jc w:val="both"/>
      </w:pPr>
    </w:p>
    <w:p w14:paraId="67F59731" w14:textId="77777777" w:rsidR="003B748F" w:rsidRPr="00AB315F" w:rsidRDefault="003B748F" w:rsidP="003B748F">
      <w:pPr>
        <w:ind w:left="-284"/>
        <w:jc w:val="both"/>
      </w:pPr>
    </w:p>
    <w:p w14:paraId="53B62A89" w14:textId="77777777" w:rsidR="003B748F" w:rsidRPr="00AB315F" w:rsidRDefault="003B748F" w:rsidP="003B748F">
      <w:pPr>
        <w:ind w:left="-284"/>
        <w:jc w:val="both"/>
      </w:pPr>
    </w:p>
    <w:p w14:paraId="0E8AADA7" w14:textId="77777777" w:rsidR="003B748F" w:rsidRPr="00AB315F" w:rsidRDefault="003B748F" w:rsidP="003B748F">
      <w:pPr>
        <w:ind w:left="-284"/>
        <w:jc w:val="both"/>
      </w:pPr>
    </w:p>
    <w:p w14:paraId="79349803" w14:textId="77777777" w:rsidR="003B748F" w:rsidRPr="00AB315F" w:rsidRDefault="003B748F" w:rsidP="003B748F">
      <w:pPr>
        <w:ind w:left="-284"/>
        <w:jc w:val="both"/>
      </w:pPr>
    </w:p>
    <w:p w14:paraId="71B89BB4" w14:textId="77777777" w:rsidR="003B748F" w:rsidRPr="00AB315F" w:rsidRDefault="003B748F" w:rsidP="003B748F">
      <w:pPr>
        <w:ind w:left="-284"/>
        <w:jc w:val="center"/>
      </w:pPr>
      <w:r>
        <w:rPr>
          <w:b/>
          <w:sz w:val="28"/>
          <w:szCs w:val="28"/>
        </w:rPr>
        <w:t>Medida de</w:t>
      </w:r>
      <w:r w:rsidRPr="00AB315F">
        <w:rPr>
          <w:b/>
          <w:sz w:val="28"/>
          <w:szCs w:val="28"/>
        </w:rPr>
        <w:t xml:space="preserve"> Aceitação da Corrupção: evidências de validade e confiabilidade do indicador.</w:t>
      </w:r>
    </w:p>
    <w:p w14:paraId="523A48E4" w14:textId="77777777" w:rsidR="003B748F" w:rsidRPr="00AB315F" w:rsidRDefault="003B748F" w:rsidP="003B748F">
      <w:pPr>
        <w:ind w:left="-284"/>
        <w:jc w:val="both"/>
      </w:pPr>
    </w:p>
    <w:p w14:paraId="210B4073" w14:textId="77777777" w:rsidR="003B748F" w:rsidRPr="00AB315F" w:rsidRDefault="003B748F" w:rsidP="003B748F">
      <w:pPr>
        <w:ind w:left="-284"/>
        <w:jc w:val="both"/>
      </w:pPr>
    </w:p>
    <w:p w14:paraId="47B44BA7" w14:textId="77777777" w:rsidR="003B748F" w:rsidRPr="00AB315F" w:rsidRDefault="003B748F" w:rsidP="003B748F">
      <w:pPr>
        <w:ind w:left="-284"/>
        <w:jc w:val="both"/>
      </w:pPr>
    </w:p>
    <w:p w14:paraId="6AC71145" w14:textId="77777777" w:rsidR="003B748F" w:rsidRPr="00AB315F" w:rsidRDefault="003B748F" w:rsidP="003B748F">
      <w:pPr>
        <w:ind w:left="-284"/>
        <w:jc w:val="both"/>
      </w:pPr>
    </w:p>
    <w:p w14:paraId="71EE6878" w14:textId="77777777" w:rsidR="003B748F" w:rsidRPr="00AB315F" w:rsidRDefault="003B748F" w:rsidP="003B748F">
      <w:pPr>
        <w:ind w:left="-284"/>
        <w:jc w:val="both"/>
      </w:pPr>
    </w:p>
    <w:p w14:paraId="622AACB7" w14:textId="77777777" w:rsidR="003B748F" w:rsidRPr="00AB315F" w:rsidRDefault="003B748F" w:rsidP="003B748F">
      <w:pPr>
        <w:ind w:left="-284"/>
        <w:jc w:val="right"/>
      </w:pPr>
    </w:p>
    <w:p w14:paraId="1A30E2B1" w14:textId="77777777" w:rsidR="003B748F" w:rsidRPr="00AB315F" w:rsidRDefault="003B748F" w:rsidP="003B748F">
      <w:pPr>
        <w:ind w:left="-284"/>
        <w:jc w:val="right"/>
      </w:pPr>
      <w:r w:rsidRPr="00AB315F">
        <w:t>Pedro Soares Fraiha</w:t>
      </w:r>
    </w:p>
    <w:p w14:paraId="60755D97" w14:textId="77777777" w:rsidR="003B748F" w:rsidRPr="00AB315F" w:rsidRDefault="003B748F" w:rsidP="003B748F">
      <w:pPr>
        <w:autoSpaceDE w:val="0"/>
        <w:autoSpaceDN w:val="0"/>
        <w:adjustRightInd w:val="0"/>
        <w:ind w:left="-284"/>
        <w:jc w:val="both"/>
      </w:pPr>
    </w:p>
    <w:p w14:paraId="11945A07" w14:textId="77777777" w:rsidR="003B748F" w:rsidRPr="00AB315F" w:rsidRDefault="003B748F" w:rsidP="003B748F">
      <w:pPr>
        <w:autoSpaceDE w:val="0"/>
        <w:autoSpaceDN w:val="0"/>
        <w:adjustRightInd w:val="0"/>
        <w:ind w:left="3540"/>
        <w:jc w:val="both"/>
      </w:pPr>
      <w:r w:rsidRPr="00AB315F">
        <w:t>Dissertação de Mestrado apresentada ao Programa de Pós-Graduação em Ciência Política, da Faculdade de Filosofia e Ciências Humanas da Universidade Federal Minas Gerais, como parte dos requisitos para obtenção do título de Mestre em Ciência Política.</w:t>
      </w:r>
    </w:p>
    <w:p w14:paraId="034E6ECD" w14:textId="77777777" w:rsidR="003B748F" w:rsidRPr="00AB315F" w:rsidRDefault="003B748F" w:rsidP="003B748F">
      <w:pPr>
        <w:autoSpaceDE w:val="0"/>
        <w:autoSpaceDN w:val="0"/>
        <w:adjustRightInd w:val="0"/>
        <w:ind w:left="-284"/>
        <w:jc w:val="both"/>
      </w:pPr>
    </w:p>
    <w:p w14:paraId="72FD610C" w14:textId="77777777" w:rsidR="003B748F" w:rsidRPr="00AB315F" w:rsidRDefault="003B748F" w:rsidP="003B748F">
      <w:pPr>
        <w:autoSpaceDE w:val="0"/>
        <w:autoSpaceDN w:val="0"/>
        <w:adjustRightInd w:val="0"/>
        <w:ind w:left="-284"/>
        <w:jc w:val="right"/>
      </w:pPr>
      <w:r w:rsidRPr="00AB315F">
        <w:t>Orientadora: Profa. Dra. Helcimara de Souza Telles</w:t>
      </w:r>
    </w:p>
    <w:p w14:paraId="7D80FA80" w14:textId="77777777" w:rsidR="003B748F" w:rsidRPr="00AB315F" w:rsidRDefault="003B748F" w:rsidP="003B748F">
      <w:pPr>
        <w:autoSpaceDE w:val="0"/>
        <w:autoSpaceDN w:val="0"/>
        <w:adjustRightInd w:val="0"/>
        <w:ind w:left="-284"/>
        <w:jc w:val="right"/>
      </w:pPr>
      <w:r w:rsidRPr="00AB315F">
        <w:t>Co-Orientador: Prof. Dr. Alejandro Moreno</w:t>
      </w:r>
    </w:p>
    <w:p w14:paraId="5816FC0E" w14:textId="77777777" w:rsidR="003B748F" w:rsidRPr="00AB315F" w:rsidRDefault="003B748F" w:rsidP="003B748F">
      <w:pPr>
        <w:ind w:left="-284"/>
        <w:jc w:val="both"/>
      </w:pPr>
    </w:p>
    <w:p w14:paraId="04D09329" w14:textId="77777777" w:rsidR="003B748F" w:rsidRPr="00AB315F" w:rsidRDefault="003B748F" w:rsidP="003B748F">
      <w:pPr>
        <w:ind w:left="-284"/>
        <w:jc w:val="both"/>
      </w:pPr>
    </w:p>
    <w:p w14:paraId="50AA38DA" w14:textId="77777777" w:rsidR="003B748F" w:rsidRPr="00AB315F" w:rsidRDefault="003B748F" w:rsidP="003B748F">
      <w:pPr>
        <w:ind w:left="-284"/>
        <w:jc w:val="both"/>
      </w:pPr>
    </w:p>
    <w:p w14:paraId="2D53DC70" w14:textId="77777777" w:rsidR="003B748F" w:rsidRPr="00AB315F" w:rsidRDefault="003B748F" w:rsidP="003B748F">
      <w:pPr>
        <w:ind w:left="-284"/>
        <w:jc w:val="both"/>
      </w:pPr>
    </w:p>
    <w:p w14:paraId="053C74FB" w14:textId="77777777" w:rsidR="003B748F" w:rsidRPr="00AB315F" w:rsidRDefault="003B748F" w:rsidP="003B748F">
      <w:pPr>
        <w:ind w:left="-284"/>
        <w:jc w:val="both"/>
      </w:pPr>
    </w:p>
    <w:p w14:paraId="7B606ED0" w14:textId="77777777" w:rsidR="003B748F" w:rsidRPr="00AB315F" w:rsidRDefault="003B748F" w:rsidP="003B748F">
      <w:pPr>
        <w:ind w:left="-284"/>
        <w:jc w:val="both"/>
      </w:pPr>
    </w:p>
    <w:p w14:paraId="3D881327" w14:textId="77777777" w:rsidR="003B748F" w:rsidRPr="00AB315F" w:rsidRDefault="003B748F" w:rsidP="003B748F">
      <w:pPr>
        <w:ind w:left="-284"/>
        <w:jc w:val="both"/>
      </w:pPr>
    </w:p>
    <w:p w14:paraId="2853A718" w14:textId="77777777" w:rsidR="003B748F" w:rsidRPr="00AB315F" w:rsidRDefault="003B748F" w:rsidP="003B748F">
      <w:pPr>
        <w:ind w:left="-284"/>
        <w:jc w:val="both"/>
      </w:pPr>
    </w:p>
    <w:p w14:paraId="2C3E1B16" w14:textId="77777777" w:rsidR="003B748F" w:rsidRPr="00AB315F" w:rsidRDefault="003B748F" w:rsidP="003B748F">
      <w:pPr>
        <w:ind w:left="-284"/>
        <w:jc w:val="both"/>
      </w:pPr>
    </w:p>
    <w:p w14:paraId="65A1ECE3" w14:textId="77777777" w:rsidR="003B748F" w:rsidRPr="00AB315F" w:rsidRDefault="003B748F" w:rsidP="003B748F">
      <w:pPr>
        <w:ind w:left="-284"/>
        <w:jc w:val="both"/>
      </w:pPr>
    </w:p>
    <w:p w14:paraId="1009AEC3" w14:textId="77777777" w:rsidR="003B748F" w:rsidRPr="00AB315F" w:rsidRDefault="003B748F" w:rsidP="003B748F">
      <w:pPr>
        <w:ind w:left="-284"/>
        <w:jc w:val="both"/>
      </w:pPr>
    </w:p>
    <w:p w14:paraId="5E8230B3" w14:textId="77777777" w:rsidR="003B748F" w:rsidRPr="00AB315F" w:rsidRDefault="003B748F" w:rsidP="003B748F">
      <w:pPr>
        <w:ind w:left="-284"/>
        <w:jc w:val="center"/>
      </w:pPr>
      <w:r w:rsidRPr="00AB315F">
        <w:t>BELO HORIZONTE</w:t>
      </w:r>
    </w:p>
    <w:p w14:paraId="43933644" w14:textId="77777777" w:rsidR="003B748F" w:rsidRPr="00AB315F" w:rsidRDefault="003B748F" w:rsidP="003B748F">
      <w:pPr>
        <w:ind w:left="-284"/>
        <w:jc w:val="center"/>
      </w:pPr>
      <w:r w:rsidRPr="00AB315F">
        <w:t>2016</w:t>
      </w:r>
    </w:p>
    <w:p w14:paraId="6AB19D13" w14:textId="77777777" w:rsidR="005D065B" w:rsidRDefault="005D065B" w:rsidP="005D065B">
      <w:pPr>
        <w:spacing w:after="240"/>
      </w:pPr>
    </w:p>
    <w:p w14:paraId="3AE3C854" w14:textId="77777777" w:rsidR="00FA0EBC" w:rsidRDefault="00FA0EBC" w:rsidP="005D065B">
      <w:pPr>
        <w:spacing w:after="240"/>
      </w:pPr>
    </w:p>
    <w:p w14:paraId="4F8923F8" w14:textId="77777777" w:rsidR="00FA0EBC" w:rsidRDefault="00FA0EBC" w:rsidP="005D065B">
      <w:pPr>
        <w:spacing w:after="240"/>
      </w:pPr>
    </w:p>
    <w:p w14:paraId="5B35B8AF" w14:textId="77777777" w:rsidR="00FA0EBC" w:rsidRDefault="00FA0EBC" w:rsidP="005D065B">
      <w:pPr>
        <w:spacing w:after="240"/>
      </w:pPr>
    </w:p>
    <w:p w14:paraId="0C6A34AD" w14:textId="77777777" w:rsidR="005D065B" w:rsidRDefault="005D065B" w:rsidP="005D065B">
      <w:pPr>
        <w:spacing w:after="240"/>
        <w:rPr>
          <w:sz w:val="23"/>
          <w:szCs w:val="23"/>
        </w:rPr>
      </w:pPr>
    </w:p>
    <w:tbl>
      <w:tblPr>
        <w:tblW w:w="7088" w:type="dxa"/>
        <w:jc w:val="center"/>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847"/>
        <w:gridCol w:w="6241"/>
      </w:tblGrid>
      <w:tr w:rsidR="005D065B" w14:paraId="3EED2355" w14:textId="77777777" w:rsidTr="005D065B">
        <w:trPr>
          <w:tblCellSpacing w:w="15" w:type="dxa"/>
          <w:jc w:val="center"/>
        </w:trPr>
        <w:tc>
          <w:tcPr>
            <w:tcW w:w="0" w:type="auto"/>
            <w:vAlign w:val="center"/>
            <w:hideMark/>
          </w:tcPr>
          <w:tbl>
            <w:tblPr>
              <w:tblW w:w="0" w:type="auto"/>
              <w:tblCellSpacing w:w="15" w:type="dxa"/>
              <w:tblInd w:w="15" w:type="dxa"/>
              <w:tblCellMar>
                <w:top w:w="15" w:type="dxa"/>
                <w:left w:w="15" w:type="dxa"/>
                <w:bottom w:w="15" w:type="dxa"/>
                <w:right w:w="15" w:type="dxa"/>
              </w:tblCellMar>
              <w:tblLook w:val="04A0" w:firstRow="1" w:lastRow="0" w:firstColumn="1" w:lastColumn="0" w:noHBand="0" w:noVBand="1"/>
            </w:tblPr>
            <w:tblGrid>
              <w:gridCol w:w="742"/>
            </w:tblGrid>
            <w:tr w:rsidR="005D065B" w14:paraId="4595F0D6" w14:textId="77777777" w:rsidTr="005D065B">
              <w:trPr>
                <w:tblCellSpacing w:w="15" w:type="dxa"/>
              </w:trPr>
              <w:tc>
                <w:tcPr>
                  <w:tcW w:w="0" w:type="auto"/>
                  <w:vAlign w:val="center"/>
                  <w:hideMark/>
                </w:tcPr>
                <w:p w14:paraId="15B11597" w14:textId="77777777" w:rsidR="005D065B" w:rsidRDefault="005D065B" w:rsidP="005D065B">
                  <w:pPr>
                    <w:rPr>
                      <w:sz w:val="23"/>
                      <w:szCs w:val="23"/>
                    </w:rPr>
                  </w:pPr>
                  <w:r>
                    <w:rPr>
                      <w:sz w:val="23"/>
                      <w:szCs w:val="23"/>
                    </w:rPr>
                    <w:t>320</w:t>
                  </w:r>
                </w:p>
              </w:tc>
            </w:tr>
            <w:tr w:rsidR="005D065B" w14:paraId="099C1C2D" w14:textId="77777777" w:rsidTr="005D065B">
              <w:trPr>
                <w:tblCellSpacing w:w="15" w:type="dxa"/>
              </w:trPr>
              <w:tc>
                <w:tcPr>
                  <w:tcW w:w="0" w:type="auto"/>
                  <w:vAlign w:val="center"/>
                  <w:hideMark/>
                </w:tcPr>
                <w:p w14:paraId="24451750" w14:textId="77777777" w:rsidR="005D065B" w:rsidRDefault="005D065B" w:rsidP="005D065B">
                  <w:pPr>
                    <w:rPr>
                      <w:sz w:val="23"/>
                      <w:szCs w:val="23"/>
                    </w:rPr>
                  </w:pPr>
                  <w:r>
                    <w:rPr>
                      <w:sz w:val="23"/>
                      <w:szCs w:val="23"/>
                    </w:rPr>
                    <w:t>F812m</w:t>
                  </w:r>
                </w:p>
              </w:tc>
            </w:tr>
            <w:tr w:rsidR="005D065B" w14:paraId="04E451F5" w14:textId="77777777" w:rsidTr="005D065B">
              <w:trPr>
                <w:tblCellSpacing w:w="15" w:type="dxa"/>
              </w:trPr>
              <w:tc>
                <w:tcPr>
                  <w:tcW w:w="0" w:type="auto"/>
                  <w:vAlign w:val="center"/>
                  <w:hideMark/>
                </w:tcPr>
                <w:p w14:paraId="44F1A218" w14:textId="77777777" w:rsidR="005D065B" w:rsidRDefault="005D065B" w:rsidP="005D065B">
                  <w:pPr>
                    <w:rPr>
                      <w:sz w:val="23"/>
                      <w:szCs w:val="23"/>
                    </w:rPr>
                  </w:pPr>
                  <w:r>
                    <w:rPr>
                      <w:sz w:val="23"/>
                      <w:szCs w:val="23"/>
                    </w:rPr>
                    <w:t>2016</w:t>
                  </w:r>
                </w:p>
              </w:tc>
            </w:tr>
            <w:tr w:rsidR="005D065B" w14:paraId="27190448" w14:textId="77777777" w:rsidTr="005D065B">
              <w:trPr>
                <w:tblCellSpacing w:w="15" w:type="dxa"/>
              </w:trPr>
              <w:tc>
                <w:tcPr>
                  <w:tcW w:w="0" w:type="auto"/>
                  <w:vAlign w:val="center"/>
                  <w:hideMark/>
                </w:tcPr>
                <w:p w14:paraId="4628D24F" w14:textId="77777777" w:rsidR="005D065B" w:rsidRDefault="005D065B" w:rsidP="005D065B">
                  <w:pPr>
                    <w:rPr>
                      <w:sz w:val="23"/>
                      <w:szCs w:val="23"/>
                    </w:rPr>
                  </w:pPr>
                </w:p>
              </w:tc>
            </w:tr>
            <w:tr w:rsidR="005D065B" w14:paraId="62C2A071" w14:textId="77777777" w:rsidTr="005D065B">
              <w:trPr>
                <w:tblCellSpacing w:w="15" w:type="dxa"/>
              </w:trPr>
              <w:tc>
                <w:tcPr>
                  <w:tcW w:w="0" w:type="auto"/>
                  <w:vAlign w:val="center"/>
                  <w:hideMark/>
                </w:tcPr>
                <w:p w14:paraId="05C600FF" w14:textId="77777777" w:rsidR="005D065B" w:rsidRDefault="005D065B" w:rsidP="005D065B">
                  <w:pPr>
                    <w:rPr>
                      <w:sz w:val="23"/>
                      <w:szCs w:val="23"/>
                    </w:rPr>
                  </w:pPr>
                </w:p>
                <w:p w14:paraId="1820EB04" w14:textId="77777777" w:rsidR="005D065B" w:rsidRDefault="005D065B" w:rsidP="005D065B">
                  <w:pPr>
                    <w:rPr>
                      <w:sz w:val="23"/>
                      <w:szCs w:val="23"/>
                    </w:rPr>
                  </w:pPr>
                </w:p>
                <w:p w14:paraId="41E4AAA8" w14:textId="77777777" w:rsidR="005D065B" w:rsidRDefault="005D065B" w:rsidP="005D065B">
                  <w:pPr>
                    <w:rPr>
                      <w:sz w:val="23"/>
                      <w:szCs w:val="23"/>
                    </w:rPr>
                  </w:pPr>
                </w:p>
                <w:p w14:paraId="7C73BD54" w14:textId="77777777" w:rsidR="005D065B" w:rsidRDefault="005D065B" w:rsidP="005D065B">
                  <w:pPr>
                    <w:rPr>
                      <w:sz w:val="23"/>
                      <w:szCs w:val="23"/>
                    </w:rPr>
                  </w:pPr>
                </w:p>
                <w:p w14:paraId="7F333899" w14:textId="77777777" w:rsidR="005D065B" w:rsidRDefault="005D065B" w:rsidP="005D065B">
                  <w:pPr>
                    <w:rPr>
                      <w:sz w:val="23"/>
                      <w:szCs w:val="23"/>
                    </w:rPr>
                  </w:pPr>
                </w:p>
                <w:p w14:paraId="6B0F33CD" w14:textId="77777777" w:rsidR="005D065B" w:rsidRDefault="005D065B" w:rsidP="005D065B">
                  <w:pPr>
                    <w:rPr>
                      <w:sz w:val="23"/>
                      <w:szCs w:val="23"/>
                    </w:rPr>
                  </w:pPr>
                </w:p>
                <w:p w14:paraId="414320CE" w14:textId="77777777" w:rsidR="005D065B" w:rsidRDefault="005D065B" w:rsidP="005D065B">
                  <w:pPr>
                    <w:rPr>
                      <w:sz w:val="23"/>
                      <w:szCs w:val="23"/>
                    </w:rPr>
                  </w:pPr>
                </w:p>
                <w:p w14:paraId="474E56E0" w14:textId="77777777" w:rsidR="005D065B" w:rsidRDefault="005D065B" w:rsidP="005D065B">
                  <w:pPr>
                    <w:rPr>
                      <w:sz w:val="23"/>
                      <w:szCs w:val="23"/>
                    </w:rPr>
                  </w:pPr>
                </w:p>
                <w:p w14:paraId="2367B9A0" w14:textId="77777777" w:rsidR="005D065B" w:rsidRDefault="005D065B" w:rsidP="005D065B">
                  <w:pPr>
                    <w:rPr>
                      <w:sz w:val="23"/>
                      <w:szCs w:val="23"/>
                    </w:rPr>
                  </w:pPr>
                </w:p>
                <w:p w14:paraId="5D48F854" w14:textId="77777777" w:rsidR="005D065B" w:rsidRDefault="005D065B" w:rsidP="005D065B">
                  <w:pPr>
                    <w:rPr>
                      <w:sz w:val="23"/>
                      <w:szCs w:val="23"/>
                    </w:rPr>
                  </w:pPr>
                </w:p>
                <w:p w14:paraId="536B9A1D" w14:textId="77777777" w:rsidR="005D065B" w:rsidRDefault="005D065B" w:rsidP="005D065B">
                  <w:pPr>
                    <w:rPr>
                      <w:sz w:val="23"/>
                      <w:szCs w:val="23"/>
                    </w:rPr>
                  </w:pPr>
                </w:p>
                <w:p w14:paraId="62041E14" w14:textId="77777777" w:rsidR="005D065B" w:rsidRDefault="005D065B" w:rsidP="005D065B">
                  <w:pPr>
                    <w:rPr>
                      <w:sz w:val="23"/>
                      <w:szCs w:val="23"/>
                    </w:rPr>
                  </w:pPr>
                </w:p>
                <w:p w14:paraId="5302D369" w14:textId="77777777" w:rsidR="005D065B" w:rsidRDefault="005D065B" w:rsidP="005D065B">
                  <w:pPr>
                    <w:rPr>
                      <w:sz w:val="23"/>
                      <w:szCs w:val="23"/>
                    </w:rPr>
                  </w:pPr>
                </w:p>
                <w:p w14:paraId="2E753D6F" w14:textId="77777777" w:rsidR="005D065B" w:rsidRDefault="005D065B" w:rsidP="005D065B">
                  <w:pPr>
                    <w:rPr>
                      <w:sz w:val="23"/>
                      <w:szCs w:val="23"/>
                    </w:rPr>
                  </w:pPr>
                </w:p>
              </w:tc>
            </w:tr>
            <w:tr w:rsidR="005D065B" w14:paraId="7D9A2DBC" w14:textId="77777777" w:rsidTr="005D065B">
              <w:trPr>
                <w:tblCellSpacing w:w="15" w:type="dxa"/>
              </w:trPr>
              <w:tc>
                <w:tcPr>
                  <w:tcW w:w="0" w:type="auto"/>
                  <w:vAlign w:val="center"/>
                  <w:hideMark/>
                </w:tcPr>
                <w:p w14:paraId="5F91F613" w14:textId="77777777" w:rsidR="005D065B" w:rsidRDefault="005D065B" w:rsidP="005D065B">
                  <w:pPr>
                    <w:rPr>
                      <w:sz w:val="23"/>
                      <w:szCs w:val="23"/>
                    </w:rPr>
                  </w:pPr>
                </w:p>
              </w:tc>
            </w:tr>
            <w:tr w:rsidR="005D065B" w14:paraId="1A5C0BD1" w14:textId="77777777" w:rsidTr="005D065B">
              <w:trPr>
                <w:tblCellSpacing w:w="15" w:type="dxa"/>
              </w:trPr>
              <w:tc>
                <w:tcPr>
                  <w:tcW w:w="0" w:type="auto"/>
                  <w:vAlign w:val="center"/>
                  <w:hideMark/>
                </w:tcPr>
                <w:p w14:paraId="1ED988A6" w14:textId="77777777" w:rsidR="005D065B" w:rsidRDefault="005D065B" w:rsidP="005D065B">
                  <w:pPr>
                    <w:rPr>
                      <w:sz w:val="23"/>
                      <w:szCs w:val="23"/>
                    </w:rPr>
                  </w:pPr>
                </w:p>
              </w:tc>
            </w:tr>
            <w:tr w:rsidR="005D065B" w14:paraId="62046981" w14:textId="77777777" w:rsidTr="005D065B">
              <w:trPr>
                <w:tblCellSpacing w:w="15" w:type="dxa"/>
              </w:trPr>
              <w:tc>
                <w:tcPr>
                  <w:tcW w:w="0" w:type="auto"/>
                  <w:vAlign w:val="center"/>
                  <w:hideMark/>
                </w:tcPr>
                <w:p w14:paraId="583E1DA7" w14:textId="77777777" w:rsidR="005D065B" w:rsidRDefault="005D065B" w:rsidP="005D065B">
                  <w:pPr>
                    <w:rPr>
                      <w:sz w:val="23"/>
                      <w:szCs w:val="23"/>
                    </w:rPr>
                  </w:pPr>
                </w:p>
              </w:tc>
            </w:tr>
          </w:tbl>
          <w:p w14:paraId="5E5071E6" w14:textId="77777777" w:rsidR="005D065B" w:rsidRDefault="005D065B" w:rsidP="005D065B">
            <w:pPr>
              <w:rPr>
                <w:sz w:val="23"/>
                <w:szCs w:val="23"/>
              </w:rPr>
            </w:pPr>
          </w:p>
        </w:tc>
        <w:tc>
          <w:tcPr>
            <w:tcW w:w="0" w:type="auto"/>
            <w:vAlign w:val="center"/>
            <w:hideMark/>
          </w:tcPr>
          <w:tbl>
            <w:tblPr>
              <w:tblW w:w="0" w:type="auto"/>
              <w:tblCellSpacing w:w="15" w:type="dxa"/>
              <w:tblInd w:w="450" w:type="dxa"/>
              <w:tblCellMar>
                <w:top w:w="15" w:type="dxa"/>
                <w:left w:w="15" w:type="dxa"/>
                <w:bottom w:w="15" w:type="dxa"/>
                <w:right w:w="15" w:type="dxa"/>
              </w:tblCellMar>
              <w:tblLook w:val="04A0" w:firstRow="1" w:lastRow="0" w:firstColumn="1" w:lastColumn="0" w:noHBand="0" w:noVBand="1"/>
            </w:tblPr>
            <w:tblGrid>
              <w:gridCol w:w="5701"/>
            </w:tblGrid>
            <w:tr w:rsidR="005D065B" w14:paraId="40D6DB24" w14:textId="77777777" w:rsidTr="005D065B">
              <w:trPr>
                <w:tblCellSpacing w:w="15" w:type="dxa"/>
              </w:trPr>
              <w:tc>
                <w:tcPr>
                  <w:tcW w:w="0" w:type="auto"/>
                  <w:vAlign w:val="center"/>
                  <w:hideMark/>
                </w:tcPr>
                <w:p w14:paraId="4F2E5DF2" w14:textId="77777777" w:rsidR="005D065B" w:rsidRDefault="005D065B" w:rsidP="005D065B">
                  <w:pPr>
                    <w:rPr>
                      <w:sz w:val="23"/>
                      <w:szCs w:val="23"/>
                    </w:rPr>
                  </w:pPr>
                  <w:r>
                    <w:rPr>
                      <w:sz w:val="23"/>
                      <w:szCs w:val="23"/>
                    </w:rPr>
                    <w:t>Fraiha, Pedro Soares</w:t>
                  </w:r>
                </w:p>
              </w:tc>
            </w:tr>
            <w:tr w:rsidR="005D065B" w14:paraId="11491A5C" w14:textId="77777777" w:rsidTr="005D065B">
              <w:trPr>
                <w:tblCellSpacing w:w="15" w:type="dxa"/>
              </w:trPr>
              <w:tc>
                <w:tcPr>
                  <w:tcW w:w="0" w:type="auto"/>
                  <w:vAlign w:val="center"/>
                  <w:hideMark/>
                </w:tcPr>
                <w:p w14:paraId="0DA1BFD6" w14:textId="77777777" w:rsidR="005D065B" w:rsidRDefault="005D065B" w:rsidP="005D065B">
                  <w:pPr>
                    <w:rPr>
                      <w:sz w:val="23"/>
                      <w:szCs w:val="23"/>
                    </w:rPr>
                  </w:pPr>
                  <w:r>
                    <w:rPr>
                      <w:sz w:val="23"/>
                      <w:szCs w:val="23"/>
                    </w:rPr>
                    <w:t>     Medida de aceitação da corrupção [manuscrito] : evidências de validade e confiabilidade do indicador / Pedro Soares Fraiha. - 2016.</w:t>
                  </w:r>
                </w:p>
              </w:tc>
            </w:tr>
            <w:tr w:rsidR="005D065B" w14:paraId="53DBF312" w14:textId="77777777" w:rsidTr="005D065B">
              <w:trPr>
                <w:tblCellSpacing w:w="15" w:type="dxa"/>
              </w:trPr>
              <w:tc>
                <w:tcPr>
                  <w:tcW w:w="0" w:type="auto"/>
                  <w:vAlign w:val="center"/>
                  <w:hideMark/>
                </w:tcPr>
                <w:p w14:paraId="3C84F5F1" w14:textId="77777777" w:rsidR="005D065B" w:rsidRDefault="005D065B" w:rsidP="005D065B">
                  <w:pPr>
                    <w:rPr>
                      <w:sz w:val="23"/>
                      <w:szCs w:val="23"/>
                    </w:rPr>
                  </w:pPr>
                  <w:r>
                    <w:rPr>
                      <w:sz w:val="23"/>
                      <w:szCs w:val="23"/>
                    </w:rPr>
                    <w:t>     115 f. : il.</w:t>
                  </w:r>
                </w:p>
              </w:tc>
            </w:tr>
            <w:tr w:rsidR="005D065B" w14:paraId="45010927" w14:textId="77777777" w:rsidTr="005D065B">
              <w:trPr>
                <w:tblCellSpacing w:w="15" w:type="dxa"/>
              </w:trPr>
              <w:tc>
                <w:tcPr>
                  <w:tcW w:w="0" w:type="auto"/>
                  <w:vAlign w:val="center"/>
                  <w:hideMark/>
                </w:tcPr>
                <w:p w14:paraId="3808CF2F" w14:textId="77777777" w:rsidR="005D065B" w:rsidRDefault="005D065B" w:rsidP="005D065B">
                  <w:pPr>
                    <w:rPr>
                      <w:sz w:val="23"/>
                      <w:szCs w:val="23"/>
                    </w:rPr>
                  </w:pPr>
                  <w:r>
                    <w:rPr>
                      <w:sz w:val="23"/>
                      <w:szCs w:val="23"/>
                    </w:rPr>
                    <w:t>     Orientador: Helcimara de Souza Telles.</w:t>
                  </w:r>
                  <w:r>
                    <w:rPr>
                      <w:sz w:val="23"/>
                      <w:szCs w:val="23"/>
                    </w:rPr>
                    <w:br/>
                    <w:t xml:space="preserve">     Coorientador: Alejandro Moreno. </w:t>
                  </w:r>
                </w:p>
              </w:tc>
            </w:tr>
            <w:tr w:rsidR="005D065B" w14:paraId="5FBE9923" w14:textId="77777777" w:rsidTr="005D065B">
              <w:trPr>
                <w:tblCellSpacing w:w="15" w:type="dxa"/>
              </w:trPr>
              <w:tc>
                <w:tcPr>
                  <w:tcW w:w="0" w:type="auto"/>
                  <w:vAlign w:val="center"/>
                  <w:hideMark/>
                </w:tcPr>
                <w:p w14:paraId="53C8F728" w14:textId="77777777" w:rsidR="005D065B" w:rsidRDefault="005D065B" w:rsidP="005D065B">
                  <w:pPr>
                    <w:rPr>
                      <w:sz w:val="23"/>
                      <w:szCs w:val="23"/>
                    </w:rPr>
                  </w:pPr>
                  <w:r>
                    <w:rPr>
                      <w:sz w:val="23"/>
                      <w:szCs w:val="23"/>
                    </w:rPr>
                    <w:t> </w:t>
                  </w:r>
                </w:p>
              </w:tc>
            </w:tr>
            <w:tr w:rsidR="005D065B" w14:paraId="2F523F0C" w14:textId="77777777" w:rsidTr="005D065B">
              <w:trPr>
                <w:tblCellSpacing w:w="15" w:type="dxa"/>
              </w:trPr>
              <w:tc>
                <w:tcPr>
                  <w:tcW w:w="0" w:type="auto"/>
                  <w:vAlign w:val="center"/>
                  <w:hideMark/>
                </w:tcPr>
                <w:p w14:paraId="2E05CB3A" w14:textId="77777777" w:rsidR="005D065B" w:rsidRDefault="005D065B" w:rsidP="005D065B">
                  <w:pPr>
                    <w:rPr>
                      <w:sz w:val="23"/>
                      <w:szCs w:val="23"/>
                    </w:rPr>
                  </w:pPr>
                  <w:r>
                    <w:rPr>
                      <w:sz w:val="23"/>
                      <w:szCs w:val="23"/>
                    </w:rPr>
                    <w:t xml:space="preserve">     Dissertação (mestrado) - Universidade Federal de Minas Gerais, Faculdade de Filosofia e Ciências Humanas. </w:t>
                  </w:r>
                </w:p>
              </w:tc>
            </w:tr>
            <w:tr w:rsidR="005D065B" w14:paraId="79F69FAA" w14:textId="77777777" w:rsidTr="005D065B">
              <w:trPr>
                <w:tblCellSpacing w:w="15" w:type="dxa"/>
              </w:trPr>
              <w:tc>
                <w:tcPr>
                  <w:tcW w:w="0" w:type="auto"/>
                  <w:vAlign w:val="center"/>
                  <w:hideMark/>
                </w:tcPr>
                <w:p w14:paraId="01497413" w14:textId="77777777" w:rsidR="005D065B" w:rsidRDefault="005D065B" w:rsidP="005D065B">
                  <w:pPr>
                    <w:rPr>
                      <w:sz w:val="23"/>
                      <w:szCs w:val="23"/>
                    </w:rPr>
                  </w:pPr>
                  <w:r>
                    <w:rPr>
                      <w:sz w:val="23"/>
                      <w:szCs w:val="23"/>
                    </w:rPr>
                    <w:t>      Inclui bibliografia</w:t>
                  </w:r>
                </w:p>
              </w:tc>
            </w:tr>
            <w:tr w:rsidR="005D065B" w14:paraId="26C57408" w14:textId="77777777" w:rsidTr="005D065B">
              <w:trPr>
                <w:tblCellSpacing w:w="15" w:type="dxa"/>
              </w:trPr>
              <w:tc>
                <w:tcPr>
                  <w:tcW w:w="0" w:type="auto"/>
                  <w:vAlign w:val="center"/>
                  <w:hideMark/>
                </w:tcPr>
                <w:p w14:paraId="055847C1" w14:textId="77777777" w:rsidR="005D065B" w:rsidRDefault="005D065B" w:rsidP="005D065B">
                  <w:pPr>
                    <w:rPr>
                      <w:sz w:val="23"/>
                      <w:szCs w:val="23"/>
                    </w:rPr>
                  </w:pPr>
                  <w:r>
                    <w:rPr>
                      <w:sz w:val="23"/>
                      <w:szCs w:val="23"/>
                    </w:rPr>
                    <w:t xml:space="preserve">  </w:t>
                  </w:r>
                </w:p>
              </w:tc>
            </w:tr>
            <w:tr w:rsidR="005D065B" w14:paraId="46D7D6A8" w14:textId="77777777" w:rsidTr="005D065B">
              <w:trPr>
                <w:tblCellSpacing w:w="15" w:type="dxa"/>
              </w:trPr>
              <w:tc>
                <w:tcPr>
                  <w:tcW w:w="0" w:type="auto"/>
                  <w:vAlign w:val="center"/>
                  <w:hideMark/>
                </w:tcPr>
                <w:p w14:paraId="0001243D" w14:textId="77777777" w:rsidR="005D065B" w:rsidRDefault="005D065B" w:rsidP="005D065B">
                  <w:pPr>
                    <w:rPr>
                      <w:sz w:val="23"/>
                      <w:szCs w:val="23"/>
                    </w:rPr>
                  </w:pPr>
                  <w:r>
                    <w:rPr>
                      <w:sz w:val="23"/>
                      <w:szCs w:val="23"/>
                    </w:rPr>
                    <w:t>      1.Ciência política – Teses. 2.Opinião pública - Teses. 3.Cultura política. – Teses. I. Telles, Helcimara de Souza . II. Moreno, Alejandro. III. Universidade Federal de Minas Gerais. Faculdade de Filosofia e Ciências Humanas. IV. Título.</w:t>
                  </w:r>
                </w:p>
              </w:tc>
            </w:tr>
          </w:tbl>
          <w:p w14:paraId="6152C219" w14:textId="77777777" w:rsidR="005D065B" w:rsidRDefault="005D065B" w:rsidP="005D065B">
            <w:pPr>
              <w:rPr>
                <w:sz w:val="23"/>
                <w:szCs w:val="23"/>
              </w:rPr>
            </w:pPr>
          </w:p>
        </w:tc>
      </w:tr>
      <w:tr w:rsidR="005D065B" w14:paraId="4263969E" w14:textId="77777777" w:rsidTr="005D065B">
        <w:trPr>
          <w:tblCellSpacing w:w="15" w:type="dxa"/>
          <w:jc w:val="center"/>
        </w:trPr>
        <w:tc>
          <w:tcPr>
            <w:tcW w:w="0" w:type="auto"/>
            <w:vAlign w:val="center"/>
            <w:hideMark/>
          </w:tcPr>
          <w:p w14:paraId="2A713D16" w14:textId="77777777" w:rsidR="005D065B" w:rsidRDefault="005D065B" w:rsidP="005D065B">
            <w:pPr>
              <w:rPr>
                <w:sz w:val="23"/>
                <w:szCs w:val="23"/>
              </w:rPr>
            </w:pPr>
            <w:r>
              <w:rPr>
                <w:sz w:val="23"/>
                <w:szCs w:val="23"/>
              </w:rPr>
              <w:t> </w:t>
            </w:r>
          </w:p>
        </w:tc>
        <w:tc>
          <w:tcPr>
            <w:tcW w:w="0" w:type="auto"/>
            <w:vAlign w:val="center"/>
            <w:hideMark/>
          </w:tcPr>
          <w:p w14:paraId="55413A3A" w14:textId="77777777" w:rsidR="005D065B" w:rsidRDefault="005D065B" w:rsidP="005D065B">
            <w:pPr>
              <w:rPr>
                <w:sz w:val="20"/>
                <w:szCs w:val="20"/>
              </w:rPr>
            </w:pPr>
          </w:p>
        </w:tc>
      </w:tr>
    </w:tbl>
    <w:p w14:paraId="0195F32F" w14:textId="77777777" w:rsidR="005D065B" w:rsidRDefault="005D065B" w:rsidP="005D065B"/>
    <w:p w14:paraId="041833C6" w14:textId="2F86EFFF" w:rsidR="005D065B" w:rsidRDefault="005D065B">
      <w:pPr>
        <w:spacing w:after="160" w:line="259" w:lineRule="auto"/>
      </w:pPr>
    </w:p>
    <w:p w14:paraId="29EFBB93" w14:textId="37352849" w:rsidR="005D065B" w:rsidRDefault="005D065B" w:rsidP="00FA0EBC">
      <w:pPr>
        <w:spacing w:after="160" w:line="259" w:lineRule="auto"/>
      </w:pPr>
      <w:r>
        <w:br w:type="page"/>
      </w:r>
    </w:p>
    <w:p w14:paraId="55175CCE" w14:textId="1CE70703" w:rsidR="00FA0EBC" w:rsidRPr="003B748F" w:rsidRDefault="00423674" w:rsidP="003B748F">
      <w:pPr>
        <w:spacing w:after="160" w:line="259" w:lineRule="auto"/>
        <w:rPr>
          <w:b/>
        </w:rPr>
      </w:pPr>
      <w:bookmarkStart w:id="0" w:name="_GoBack"/>
      <w:bookmarkEnd w:id="0"/>
      <w:r w:rsidRPr="003B748F">
        <w:rPr>
          <w:b/>
        </w:rPr>
        <w:lastRenderedPageBreak/>
        <w:t xml:space="preserve"> </w:t>
      </w:r>
      <w:r w:rsidR="00FA0EBC" w:rsidRPr="003B748F">
        <w:rPr>
          <w:b/>
        </w:rPr>
        <w:br w:type="page"/>
      </w:r>
    </w:p>
    <w:p w14:paraId="0FA0DAA9" w14:textId="4B86B902" w:rsidR="007C4A28" w:rsidRDefault="007C4A28" w:rsidP="007C4A28">
      <w:pPr>
        <w:spacing w:line="276" w:lineRule="auto"/>
        <w:jc w:val="center"/>
        <w:rPr>
          <w:rFonts w:asciiTheme="minorHAnsi" w:hAnsiTheme="minorHAnsi"/>
          <w:b/>
        </w:rPr>
      </w:pPr>
      <w:r>
        <w:rPr>
          <w:rFonts w:asciiTheme="minorHAnsi" w:hAnsiTheme="minorHAnsi"/>
          <w:b/>
        </w:rPr>
        <w:lastRenderedPageBreak/>
        <w:t>Agradecimentos</w:t>
      </w:r>
    </w:p>
    <w:p w14:paraId="68FC7790" w14:textId="77777777" w:rsidR="007C4A28" w:rsidRPr="00AB315F" w:rsidRDefault="007C4A28" w:rsidP="007C4A28">
      <w:pPr>
        <w:spacing w:line="276" w:lineRule="auto"/>
        <w:jc w:val="center"/>
        <w:rPr>
          <w:rFonts w:asciiTheme="minorHAnsi" w:hAnsiTheme="minorHAnsi"/>
          <w:b/>
        </w:rPr>
      </w:pPr>
    </w:p>
    <w:p w14:paraId="19789F30" w14:textId="4C05890D" w:rsidR="007C4A28" w:rsidRDefault="007C4A28" w:rsidP="00BE6DDA">
      <w:pPr>
        <w:spacing w:after="160" w:line="259" w:lineRule="auto"/>
        <w:jc w:val="both"/>
        <w:rPr>
          <w:rFonts w:asciiTheme="minorHAnsi" w:hAnsiTheme="minorHAnsi"/>
        </w:rPr>
      </w:pPr>
      <w:r>
        <w:rPr>
          <w:rFonts w:asciiTheme="minorHAnsi" w:hAnsiTheme="minorHAnsi"/>
        </w:rPr>
        <w:t>O trabalho não poderia ser concluído sem a dedicação da professora Helcimara Telles ao grupo Opinião Pública e aos projetos desenvolvidos entre 2012 e 2015. Agradeço à professora e aos colegas do grupo que participaram do desenvolvimento desta dissertação.</w:t>
      </w:r>
    </w:p>
    <w:p w14:paraId="114DFE19" w14:textId="1F851C78" w:rsidR="007C4A28" w:rsidRDefault="007C4A28" w:rsidP="00BE6DDA">
      <w:pPr>
        <w:spacing w:after="160" w:line="259" w:lineRule="auto"/>
        <w:jc w:val="both"/>
        <w:rPr>
          <w:rFonts w:asciiTheme="minorHAnsi" w:hAnsiTheme="minorHAnsi"/>
        </w:rPr>
      </w:pPr>
      <w:r>
        <w:rPr>
          <w:rFonts w:asciiTheme="minorHAnsi" w:hAnsiTheme="minorHAnsi"/>
        </w:rPr>
        <w:t>Agradeço aos professores do departamento de Ciência Política da UFMG pela dedicação ao ensino e orientaç</w:t>
      </w:r>
      <w:r w:rsidR="00BE6DDA">
        <w:rPr>
          <w:rFonts w:asciiTheme="minorHAnsi" w:hAnsiTheme="minorHAnsi"/>
        </w:rPr>
        <w:t xml:space="preserve">ão durante </w:t>
      </w:r>
      <w:r>
        <w:rPr>
          <w:rFonts w:asciiTheme="minorHAnsi" w:hAnsiTheme="minorHAnsi"/>
        </w:rPr>
        <w:t xml:space="preserve">o curso de mestrado. </w:t>
      </w:r>
    </w:p>
    <w:p w14:paraId="44C985A4" w14:textId="0B6799A8" w:rsidR="007C4A28" w:rsidRDefault="00BE6DDA" w:rsidP="00BE6DDA">
      <w:pPr>
        <w:spacing w:after="160" w:line="259" w:lineRule="auto"/>
        <w:jc w:val="both"/>
        <w:rPr>
          <w:rFonts w:asciiTheme="minorHAnsi" w:hAnsiTheme="minorHAnsi"/>
        </w:rPr>
      </w:pPr>
      <w:r>
        <w:rPr>
          <w:rFonts w:asciiTheme="minorHAnsi" w:hAnsiTheme="minorHAnsi"/>
        </w:rPr>
        <w:t>Agradeço também aos a</w:t>
      </w:r>
      <w:r w:rsidR="007C4A28">
        <w:rPr>
          <w:rFonts w:asciiTheme="minorHAnsi" w:hAnsiTheme="minorHAnsi"/>
        </w:rPr>
        <w:t>migos e colegas do departamento</w:t>
      </w:r>
      <w:r>
        <w:rPr>
          <w:rFonts w:asciiTheme="minorHAnsi" w:hAnsiTheme="minorHAnsi"/>
        </w:rPr>
        <w:t xml:space="preserve"> que</w:t>
      </w:r>
      <w:r w:rsidR="007C4A28">
        <w:rPr>
          <w:rFonts w:asciiTheme="minorHAnsi" w:hAnsiTheme="minorHAnsi"/>
        </w:rPr>
        <w:t xml:space="preserve"> participaram</w:t>
      </w:r>
      <w:r w:rsidR="004817CD">
        <w:rPr>
          <w:rFonts w:asciiTheme="minorHAnsi" w:hAnsiTheme="minorHAnsi"/>
        </w:rPr>
        <w:t xml:space="preserve"> direta ou indiretamente</w:t>
      </w:r>
      <w:r w:rsidR="007C4A28">
        <w:rPr>
          <w:rFonts w:asciiTheme="minorHAnsi" w:hAnsiTheme="minorHAnsi"/>
        </w:rPr>
        <w:t xml:space="preserve"> deste trabalho ao oferecer cumplicidade, tolerância e tempo</w:t>
      </w:r>
      <w:r>
        <w:rPr>
          <w:rFonts w:asciiTheme="minorHAnsi" w:hAnsiTheme="minorHAnsi"/>
        </w:rPr>
        <w:t xml:space="preserve">. </w:t>
      </w:r>
    </w:p>
    <w:p w14:paraId="4792E51A" w14:textId="791BA193" w:rsidR="00BE6DDA" w:rsidRDefault="00BE6DDA" w:rsidP="00BE6DDA">
      <w:pPr>
        <w:spacing w:after="160" w:line="259" w:lineRule="auto"/>
        <w:jc w:val="both"/>
        <w:rPr>
          <w:rFonts w:asciiTheme="minorHAnsi" w:hAnsiTheme="minorHAnsi"/>
        </w:rPr>
      </w:pPr>
      <w:r>
        <w:rPr>
          <w:rFonts w:asciiTheme="minorHAnsi" w:hAnsiTheme="minorHAnsi"/>
        </w:rPr>
        <w:t>Alessandro Magno da Silveira foi fundamental pela amizade e pelo brilhante papel que desempenha no departamento.</w:t>
      </w:r>
    </w:p>
    <w:p w14:paraId="34128C06" w14:textId="6ADE0239" w:rsidR="00BE6DDA" w:rsidRDefault="00BE6DDA" w:rsidP="00BE6DDA">
      <w:pPr>
        <w:spacing w:after="160" w:line="259" w:lineRule="auto"/>
        <w:jc w:val="both"/>
        <w:rPr>
          <w:rFonts w:asciiTheme="minorHAnsi" w:hAnsiTheme="minorHAnsi"/>
        </w:rPr>
      </w:pPr>
      <w:r>
        <w:rPr>
          <w:rFonts w:asciiTheme="minorHAnsi" w:hAnsiTheme="minorHAnsi"/>
        </w:rPr>
        <w:t>Alejandro Moreno, para além da coorientação, é sem dúvida um referencial, sinto profunda gratidão pelo acolhimento e ensino.</w:t>
      </w:r>
    </w:p>
    <w:p w14:paraId="44CF96EE" w14:textId="6AC2F0E1" w:rsidR="00BE6DDA" w:rsidRDefault="004817CD" w:rsidP="00BE6DDA">
      <w:pPr>
        <w:spacing w:after="160" w:line="259" w:lineRule="auto"/>
        <w:jc w:val="both"/>
        <w:rPr>
          <w:rFonts w:asciiTheme="minorHAnsi" w:hAnsiTheme="minorHAnsi"/>
        </w:rPr>
      </w:pPr>
      <w:r>
        <w:rPr>
          <w:rFonts w:asciiTheme="minorHAnsi" w:hAnsiTheme="minorHAnsi"/>
        </w:rPr>
        <w:t>Aos professores Pedro Santos Mundin e Bruno Reis, agradeço pelas valiosas observações.</w:t>
      </w:r>
    </w:p>
    <w:p w14:paraId="539FD8E1" w14:textId="4639128D" w:rsidR="004817CD" w:rsidRDefault="004817CD" w:rsidP="00BE6DDA">
      <w:pPr>
        <w:spacing w:after="160" w:line="259" w:lineRule="auto"/>
        <w:jc w:val="both"/>
        <w:rPr>
          <w:rFonts w:asciiTheme="minorHAnsi" w:hAnsiTheme="minorHAnsi"/>
        </w:rPr>
      </w:pPr>
      <w:r>
        <w:rPr>
          <w:rFonts w:asciiTheme="minorHAnsi" w:hAnsiTheme="minorHAnsi"/>
        </w:rPr>
        <w:t>Por fim, agradeço à minha família, pelo apoio e amor incondicional durante este tempo.</w:t>
      </w:r>
    </w:p>
    <w:p w14:paraId="2CC4130D" w14:textId="16898849" w:rsidR="004817CD" w:rsidRDefault="004817CD">
      <w:pPr>
        <w:spacing w:after="160" w:line="259" w:lineRule="auto"/>
        <w:rPr>
          <w:rFonts w:asciiTheme="minorHAnsi" w:hAnsiTheme="minorHAnsi"/>
        </w:rPr>
      </w:pPr>
      <w:r>
        <w:rPr>
          <w:rFonts w:asciiTheme="minorHAnsi" w:hAnsiTheme="minorHAnsi"/>
        </w:rPr>
        <w:br w:type="page"/>
      </w:r>
    </w:p>
    <w:p w14:paraId="15501A46" w14:textId="16FC94F7" w:rsidR="005537BD" w:rsidRPr="00AB315F" w:rsidRDefault="005537BD" w:rsidP="005537BD">
      <w:pPr>
        <w:spacing w:line="276" w:lineRule="auto"/>
        <w:jc w:val="center"/>
        <w:rPr>
          <w:rFonts w:asciiTheme="minorHAnsi" w:hAnsiTheme="minorHAnsi"/>
          <w:b/>
        </w:rPr>
      </w:pPr>
      <w:r w:rsidRPr="00AB315F">
        <w:rPr>
          <w:rFonts w:asciiTheme="minorHAnsi" w:hAnsiTheme="minorHAnsi"/>
          <w:b/>
        </w:rPr>
        <w:lastRenderedPageBreak/>
        <w:t>Resumo</w:t>
      </w:r>
    </w:p>
    <w:p w14:paraId="5F11B87C" w14:textId="77777777" w:rsidR="009977DD" w:rsidRPr="00AB315F" w:rsidRDefault="009977DD">
      <w:pPr>
        <w:spacing w:after="160" w:line="259" w:lineRule="auto"/>
        <w:rPr>
          <w:rFonts w:asciiTheme="minorHAnsi" w:hAnsiTheme="minorHAnsi"/>
          <w:i/>
        </w:rPr>
      </w:pPr>
    </w:p>
    <w:p w14:paraId="72EB9820" w14:textId="49040F03" w:rsidR="005537BD" w:rsidRPr="00AB315F" w:rsidRDefault="00A878DC" w:rsidP="001F3C55">
      <w:pPr>
        <w:spacing w:after="160" w:line="259" w:lineRule="auto"/>
        <w:jc w:val="both"/>
        <w:rPr>
          <w:rFonts w:asciiTheme="minorHAnsi" w:hAnsiTheme="minorHAnsi"/>
          <w:i/>
        </w:rPr>
      </w:pPr>
      <w:r w:rsidRPr="00AB315F">
        <w:rPr>
          <w:rFonts w:asciiTheme="minorHAnsi" w:hAnsiTheme="minorHAnsi"/>
          <w:i/>
        </w:rPr>
        <w:t>A necessidade de se descrever e estabelecer relações de causa e efeito da aceitação da corrupção motivou pesquisadores ao exercício de atribuir operacionalidade ao conceito.</w:t>
      </w:r>
      <w:r w:rsidRPr="00AB315F">
        <w:rPr>
          <w:rFonts w:asciiTheme="minorHAnsi" w:hAnsiTheme="minorHAnsi"/>
        </w:rPr>
        <w:t xml:space="preserve"> </w:t>
      </w:r>
      <w:r w:rsidRPr="00AB315F">
        <w:rPr>
          <w:rFonts w:asciiTheme="minorHAnsi" w:hAnsiTheme="minorHAnsi"/>
          <w:i/>
        </w:rPr>
        <w:t>A medida de Aceitação de práticas corruptas</w:t>
      </w:r>
      <w:r w:rsidR="009977DD" w:rsidRPr="00AB315F">
        <w:rPr>
          <w:rFonts w:asciiTheme="minorHAnsi" w:hAnsiTheme="minorHAnsi"/>
          <w:i/>
        </w:rPr>
        <w:t xml:space="preserve"> é frequentemente mobilizada em trabalhos que inferem sobre c</w:t>
      </w:r>
      <w:r w:rsidRPr="00AB315F">
        <w:rPr>
          <w:rFonts w:asciiTheme="minorHAnsi" w:hAnsiTheme="minorHAnsi"/>
          <w:i/>
        </w:rPr>
        <w:t>ausa e efeitos da dimensão da tolerância ao fenômeno mais amplo da corrupção</w:t>
      </w:r>
      <w:r w:rsidR="009977DD" w:rsidRPr="00AB315F">
        <w:rPr>
          <w:rFonts w:asciiTheme="minorHAnsi" w:hAnsiTheme="minorHAnsi"/>
          <w:i/>
        </w:rPr>
        <w:t xml:space="preserve">. Quatro itens de respostas são a base do constructo “Aceitação” e pretendem medir o grau em que o entrevistado considera justificável praticar atos como “sonegar impostos”, “evitar tarifa de transporte público”, “aceitar propina” e “receber benefícios do governo sem ter direto a eles”. Ao considerar que constructos que pretendem medir atitudes e valores estão sujeitos a erros de mensuração, este trabalho segue o referencial metodológico de Adcock e Collier (2001) e </w:t>
      </w:r>
      <w:r w:rsidR="009977DD" w:rsidRPr="00AB315F">
        <w:rPr>
          <w:rFonts w:asciiTheme="minorHAnsi" w:hAnsiTheme="minorHAnsi"/>
        </w:rPr>
        <w:t xml:space="preserve">Carmines e Zaller (1979) </w:t>
      </w:r>
      <w:r w:rsidR="009977DD" w:rsidRPr="00AB315F">
        <w:rPr>
          <w:rFonts w:asciiTheme="minorHAnsi" w:hAnsiTheme="minorHAnsi"/>
          <w:i/>
        </w:rPr>
        <w:t>e busca evidências de validade e confiabilidade da medida de aceitação da corrupção.</w:t>
      </w:r>
      <w:r w:rsidR="001F3C55" w:rsidRPr="00AB315F">
        <w:rPr>
          <w:rFonts w:asciiTheme="minorHAnsi" w:hAnsiTheme="minorHAnsi"/>
          <w:i/>
        </w:rPr>
        <w:t xml:space="preserve"> Em consonância com os achados de Catterberg et al (2013), argumenta-se que a tentativa em mensurar a dimensão da aceitação pode incorrer em vieses causados pelo fator de desejabilidade social e o próprio conceito de corrupção</w:t>
      </w:r>
      <w:r w:rsidR="00544C66" w:rsidRPr="00AB315F">
        <w:rPr>
          <w:rFonts w:asciiTheme="minorHAnsi" w:hAnsiTheme="minorHAnsi"/>
          <w:i/>
        </w:rPr>
        <w:t>, além de erros aleatórios causados por problemas de “não-atitude” e “nã</w:t>
      </w:r>
      <w:r w:rsidR="00C51A0E">
        <w:rPr>
          <w:rFonts w:asciiTheme="minorHAnsi" w:hAnsiTheme="minorHAnsi"/>
          <w:i/>
        </w:rPr>
        <w:t>o-res</w:t>
      </w:r>
      <w:r w:rsidR="00544C66" w:rsidRPr="00AB315F">
        <w:rPr>
          <w:rFonts w:asciiTheme="minorHAnsi" w:hAnsiTheme="minorHAnsi"/>
          <w:i/>
        </w:rPr>
        <w:t>posta”</w:t>
      </w:r>
      <w:r w:rsidR="001F3C55" w:rsidRPr="00AB315F">
        <w:rPr>
          <w:rFonts w:asciiTheme="minorHAnsi" w:hAnsiTheme="minorHAnsi"/>
          <w:i/>
        </w:rPr>
        <w:t xml:space="preserve">.  As fontes de erro de mensuração emergem através do pano de fundo da cultura política, da dinâmica da opinião pública e no momento da coleta de informações pela metodologia survey. </w:t>
      </w:r>
      <w:r w:rsidRPr="00AB315F">
        <w:rPr>
          <w:rFonts w:asciiTheme="minorHAnsi" w:hAnsiTheme="minorHAnsi"/>
          <w:i/>
        </w:rPr>
        <w:t>Os resultados sugerem que, apesar da medida poder captar o conceito subjacente que se pretende medir</w:t>
      </w:r>
      <w:r w:rsidR="00544C66" w:rsidRPr="00AB315F">
        <w:rPr>
          <w:rFonts w:asciiTheme="minorHAnsi" w:hAnsiTheme="minorHAnsi"/>
          <w:i/>
        </w:rPr>
        <w:t xml:space="preserve"> e se diferenciar de outros constructos de outras dimensões do fenômeno da corrupção</w:t>
      </w:r>
      <w:r w:rsidRPr="00AB315F">
        <w:rPr>
          <w:rFonts w:asciiTheme="minorHAnsi" w:hAnsiTheme="minorHAnsi"/>
          <w:i/>
        </w:rPr>
        <w:t xml:space="preserve">, existem evidências de que a variável latente não possui consistência interna significativa e a capacidade dos indicadores observáveis em refletir a dimensão subjacente varia significativamente ao longo do tempo. </w:t>
      </w:r>
    </w:p>
    <w:p w14:paraId="3A0A82E9" w14:textId="77777777" w:rsidR="009977DD" w:rsidRPr="00AB315F" w:rsidRDefault="009977DD">
      <w:pPr>
        <w:spacing w:after="160" w:line="259" w:lineRule="auto"/>
        <w:rPr>
          <w:rFonts w:asciiTheme="minorHAnsi" w:hAnsiTheme="minorHAnsi"/>
          <w:i/>
        </w:rPr>
      </w:pPr>
    </w:p>
    <w:p w14:paraId="404D0839" w14:textId="77777777" w:rsidR="009977DD" w:rsidRPr="00AB315F" w:rsidRDefault="009977DD">
      <w:pPr>
        <w:spacing w:after="160" w:line="259" w:lineRule="auto"/>
        <w:rPr>
          <w:rFonts w:asciiTheme="minorHAnsi" w:hAnsiTheme="minorHAnsi"/>
          <w:i/>
        </w:rPr>
      </w:pPr>
    </w:p>
    <w:p w14:paraId="66415BE8" w14:textId="77777777" w:rsidR="009977DD" w:rsidRPr="00AB315F" w:rsidRDefault="009977DD">
      <w:pPr>
        <w:spacing w:after="160" w:line="259" w:lineRule="auto"/>
        <w:rPr>
          <w:rFonts w:asciiTheme="minorHAnsi" w:hAnsiTheme="minorHAnsi"/>
          <w:i/>
        </w:rPr>
      </w:pPr>
    </w:p>
    <w:p w14:paraId="746FAE04" w14:textId="77777777" w:rsidR="009977DD" w:rsidRPr="00AB315F" w:rsidRDefault="009977DD">
      <w:pPr>
        <w:spacing w:after="160" w:line="259" w:lineRule="auto"/>
        <w:rPr>
          <w:rFonts w:asciiTheme="minorHAnsi" w:hAnsiTheme="minorHAnsi"/>
          <w:i/>
        </w:rPr>
      </w:pPr>
    </w:p>
    <w:p w14:paraId="7B73CE61" w14:textId="77777777" w:rsidR="009977DD" w:rsidRPr="00AB315F" w:rsidRDefault="009977DD">
      <w:pPr>
        <w:spacing w:after="160" w:line="259" w:lineRule="auto"/>
        <w:rPr>
          <w:rFonts w:asciiTheme="minorHAnsi" w:hAnsiTheme="minorHAnsi"/>
          <w:i/>
        </w:rPr>
      </w:pPr>
    </w:p>
    <w:p w14:paraId="24C1540E" w14:textId="77777777" w:rsidR="009977DD" w:rsidRPr="00AB315F" w:rsidRDefault="009977DD">
      <w:pPr>
        <w:spacing w:after="160" w:line="259" w:lineRule="auto"/>
        <w:rPr>
          <w:rFonts w:asciiTheme="minorHAnsi" w:hAnsiTheme="minorHAnsi"/>
          <w:i/>
        </w:rPr>
      </w:pPr>
    </w:p>
    <w:p w14:paraId="27C25775" w14:textId="77777777" w:rsidR="009977DD" w:rsidRPr="00AB315F" w:rsidRDefault="009977DD">
      <w:pPr>
        <w:spacing w:after="160" w:line="259" w:lineRule="auto"/>
        <w:rPr>
          <w:rFonts w:asciiTheme="minorHAnsi" w:hAnsiTheme="minorHAnsi"/>
          <w:i/>
        </w:rPr>
      </w:pPr>
    </w:p>
    <w:p w14:paraId="65A1EA16" w14:textId="77777777" w:rsidR="009977DD" w:rsidRPr="00AB315F" w:rsidRDefault="009977DD">
      <w:pPr>
        <w:spacing w:after="160" w:line="259" w:lineRule="auto"/>
        <w:rPr>
          <w:rFonts w:asciiTheme="minorHAnsi" w:hAnsiTheme="minorHAnsi"/>
          <w:i/>
        </w:rPr>
      </w:pPr>
    </w:p>
    <w:p w14:paraId="0F9E2BE1" w14:textId="77777777" w:rsidR="009977DD" w:rsidRPr="00AB315F" w:rsidRDefault="009977DD">
      <w:pPr>
        <w:spacing w:after="160" w:line="259" w:lineRule="auto"/>
        <w:rPr>
          <w:rFonts w:asciiTheme="minorHAnsi" w:hAnsiTheme="minorHAnsi"/>
          <w:i/>
        </w:rPr>
      </w:pPr>
    </w:p>
    <w:p w14:paraId="42062111" w14:textId="77777777" w:rsidR="009977DD" w:rsidRPr="00AB315F" w:rsidRDefault="009977DD">
      <w:pPr>
        <w:spacing w:after="160" w:line="259" w:lineRule="auto"/>
        <w:rPr>
          <w:rFonts w:asciiTheme="minorHAnsi" w:hAnsiTheme="minorHAnsi"/>
          <w:i/>
        </w:rPr>
      </w:pPr>
    </w:p>
    <w:p w14:paraId="002F6A36" w14:textId="77777777" w:rsidR="009977DD" w:rsidRPr="00AB315F" w:rsidRDefault="009977DD">
      <w:pPr>
        <w:spacing w:after="160" w:line="259" w:lineRule="auto"/>
        <w:rPr>
          <w:rFonts w:asciiTheme="minorHAnsi" w:hAnsiTheme="minorHAnsi"/>
          <w:i/>
        </w:rPr>
      </w:pPr>
    </w:p>
    <w:p w14:paraId="360A55B6" w14:textId="77777777" w:rsidR="009977DD" w:rsidRPr="00AB315F" w:rsidRDefault="009977DD">
      <w:pPr>
        <w:spacing w:after="160" w:line="259" w:lineRule="auto"/>
        <w:rPr>
          <w:rFonts w:asciiTheme="minorHAnsi" w:hAnsiTheme="minorHAnsi"/>
          <w:i/>
        </w:rPr>
      </w:pPr>
    </w:p>
    <w:p w14:paraId="4586F485" w14:textId="77777777" w:rsidR="009977DD" w:rsidRPr="00AB315F" w:rsidRDefault="009977DD">
      <w:pPr>
        <w:spacing w:after="160" w:line="259" w:lineRule="auto"/>
        <w:rPr>
          <w:rFonts w:asciiTheme="minorHAnsi" w:hAnsiTheme="minorHAnsi"/>
          <w:i/>
        </w:rPr>
      </w:pPr>
    </w:p>
    <w:p w14:paraId="655F6C87" w14:textId="77777777" w:rsidR="009977DD" w:rsidRPr="00AB315F" w:rsidRDefault="009977DD">
      <w:pPr>
        <w:spacing w:after="160" w:line="259" w:lineRule="auto"/>
        <w:rPr>
          <w:rFonts w:asciiTheme="minorHAnsi" w:hAnsiTheme="minorHAnsi"/>
          <w:i/>
        </w:rPr>
      </w:pPr>
    </w:p>
    <w:p w14:paraId="6F25C4D2" w14:textId="2CE45D7A" w:rsidR="005537BD" w:rsidRPr="00C51A0E" w:rsidRDefault="005537BD" w:rsidP="005537BD">
      <w:pPr>
        <w:spacing w:line="276" w:lineRule="auto"/>
        <w:jc w:val="center"/>
        <w:rPr>
          <w:rFonts w:asciiTheme="minorHAnsi" w:hAnsiTheme="minorHAnsi"/>
          <w:b/>
          <w:lang w:val="en-US"/>
        </w:rPr>
      </w:pPr>
      <w:r w:rsidRPr="00C51A0E">
        <w:rPr>
          <w:rFonts w:asciiTheme="minorHAnsi" w:hAnsiTheme="minorHAnsi"/>
          <w:b/>
          <w:lang w:val="en-US"/>
        </w:rPr>
        <w:t>Abstract</w:t>
      </w:r>
    </w:p>
    <w:p w14:paraId="4184E85A" w14:textId="77777777" w:rsidR="002F0113" w:rsidRPr="00C51A0E" w:rsidRDefault="002F0113">
      <w:pPr>
        <w:spacing w:after="160" w:line="259" w:lineRule="auto"/>
        <w:rPr>
          <w:rFonts w:asciiTheme="minorHAnsi" w:hAnsiTheme="minorHAnsi"/>
          <w:i/>
          <w:lang w:val="en-US"/>
        </w:rPr>
      </w:pPr>
    </w:p>
    <w:p w14:paraId="5413ABC4" w14:textId="109B373E" w:rsidR="006B073D" w:rsidRPr="00C51A0E" w:rsidRDefault="00C51A0E" w:rsidP="00C51A0E">
      <w:pPr>
        <w:spacing w:after="160" w:line="259" w:lineRule="auto"/>
        <w:jc w:val="both"/>
        <w:rPr>
          <w:rFonts w:asciiTheme="minorHAnsi" w:hAnsiTheme="minorHAnsi"/>
          <w:b/>
          <w:lang w:val="en-US"/>
        </w:rPr>
      </w:pPr>
      <w:r>
        <w:rPr>
          <w:lang w:val="en"/>
        </w:rPr>
        <w:t xml:space="preserve">The need to describe and establish relations of cause and effect of acceptance of corruption motivated researchers operationalize the concept. Measures of corrupt practices acceptance are often deployed in </w:t>
      </w:r>
      <w:r w:rsidR="007F2C6A">
        <w:rPr>
          <w:lang w:val="en"/>
        </w:rPr>
        <w:t>works that</w:t>
      </w:r>
      <w:r>
        <w:rPr>
          <w:lang w:val="en"/>
        </w:rPr>
        <w:t xml:space="preserve"> infers about cause and effect of the size of tolerance to the broader phenomenon of corruption. Four items of responses are the basis of the construct "Acceptance" and intended to measure the degree to which the respondent considers justifiable to practice acts as "tax evasion", "avoid public transportation tariff", "taking bribes" and "receiving government benefits without have direct them." Considering that constructs that claim to measure attitudes and values ​​are subject to measurement errors, this work follows the methodological framework of Adcock and Collier (2001) and Carmines and Zaller (1979) and seeks evidence of validity and reliability of acceptance of corruption measure. In line with the findings of Catterberg et al (2013),  this work argue that the attempt to measure the extent of acceptance may prevent bias caused by social desirability factor and the concept of corruption, as well as random errors caused by problems "non-action" and "non-response". The measurement error sources emerge through the background of the political culture, the dynamics of public opinion and at the time of collecting information for the survey methodology. The results suggest that despite the measure could grasp the underlying concept to be measured and differentiate from other constructs of other dimensions of the phenomenon of corruption, there is evidence that the latent variable has no significant internal consistency and the ability of observable indicators reflect the underlying dimension varies significantly over time.</w:t>
      </w:r>
      <w:r w:rsidR="006B073D" w:rsidRPr="00C51A0E">
        <w:rPr>
          <w:rFonts w:asciiTheme="minorHAnsi" w:hAnsiTheme="minorHAnsi"/>
          <w:b/>
          <w:lang w:val="en-US"/>
        </w:rPr>
        <w:br w:type="page"/>
      </w:r>
    </w:p>
    <w:p w14:paraId="59931B80" w14:textId="77777777" w:rsidR="006B073D" w:rsidRDefault="006B073D">
      <w:pPr>
        <w:spacing w:after="160" w:line="259" w:lineRule="auto"/>
        <w:rPr>
          <w:rFonts w:asciiTheme="minorHAnsi" w:hAnsiTheme="minorHAnsi"/>
          <w:b/>
        </w:rPr>
      </w:pPr>
      <w:r>
        <w:rPr>
          <w:rFonts w:asciiTheme="minorHAnsi" w:hAnsiTheme="minorHAnsi"/>
          <w:b/>
        </w:rPr>
        <w:lastRenderedPageBreak/>
        <w:t>Lista de Gráficos</w:t>
      </w:r>
    </w:p>
    <w:p w14:paraId="7BA9079D" w14:textId="1E960E91" w:rsidR="00ED2DAB" w:rsidRPr="00ED2DAB" w:rsidRDefault="009A15B7" w:rsidP="00ED2DAB">
      <w:pPr>
        <w:spacing w:after="240" w:line="276" w:lineRule="auto"/>
        <w:rPr>
          <w:rFonts w:asciiTheme="minorHAnsi" w:hAnsiTheme="minorHAnsi"/>
        </w:rPr>
      </w:pPr>
      <w:r w:rsidRPr="00ED2DAB">
        <w:rPr>
          <w:rFonts w:asciiTheme="minorHAnsi" w:hAnsiTheme="minorHAnsi"/>
        </w:rPr>
        <w:t>Gráfico 1. Taxa de “não-resposta” para rodadas da Argentina......................................66</w:t>
      </w:r>
    </w:p>
    <w:p w14:paraId="562E62DE" w14:textId="77777777" w:rsidR="00ED2DAB" w:rsidRDefault="009A15B7" w:rsidP="00ED2DAB">
      <w:pPr>
        <w:spacing w:after="240" w:line="276" w:lineRule="auto"/>
        <w:rPr>
          <w:rFonts w:asciiTheme="minorHAnsi" w:hAnsiTheme="minorHAnsi"/>
        </w:rPr>
      </w:pPr>
      <w:r w:rsidRPr="00ED2DAB">
        <w:rPr>
          <w:rFonts w:asciiTheme="minorHAnsi" w:hAnsiTheme="minorHAnsi"/>
        </w:rPr>
        <w:t>Gráfico 2.Taxa de “não-resposta” para rodadas do México.......................</w:t>
      </w:r>
      <w:r w:rsidR="00ED2DAB">
        <w:rPr>
          <w:rFonts w:asciiTheme="minorHAnsi" w:hAnsiTheme="minorHAnsi"/>
        </w:rPr>
        <w:t>..........</w:t>
      </w:r>
      <w:r w:rsidRPr="00ED2DAB">
        <w:rPr>
          <w:rFonts w:asciiTheme="minorHAnsi" w:hAnsiTheme="minorHAnsi"/>
        </w:rPr>
        <w:t>..</w:t>
      </w:r>
      <w:r w:rsidR="00ED2DAB">
        <w:rPr>
          <w:rFonts w:asciiTheme="minorHAnsi" w:hAnsiTheme="minorHAnsi"/>
        </w:rPr>
        <w:t>....</w:t>
      </w:r>
      <w:r w:rsidRPr="00ED2DAB">
        <w:rPr>
          <w:rFonts w:asciiTheme="minorHAnsi" w:hAnsiTheme="minorHAnsi"/>
        </w:rPr>
        <w:t>..</w:t>
      </w:r>
      <w:r w:rsidR="00ED2DAB">
        <w:rPr>
          <w:rFonts w:asciiTheme="minorHAnsi" w:hAnsiTheme="minorHAnsi"/>
        </w:rPr>
        <w:t>.</w:t>
      </w:r>
      <w:r w:rsidRPr="00ED2DAB">
        <w:rPr>
          <w:rFonts w:asciiTheme="minorHAnsi" w:hAnsiTheme="minorHAnsi"/>
        </w:rPr>
        <w:t>.66</w:t>
      </w:r>
    </w:p>
    <w:p w14:paraId="211C702E" w14:textId="4C93B8C9" w:rsidR="009A15B7" w:rsidRPr="00ED2DAB" w:rsidRDefault="009A15B7" w:rsidP="00ED2DAB">
      <w:pPr>
        <w:spacing w:after="240" w:line="276" w:lineRule="auto"/>
        <w:rPr>
          <w:rFonts w:asciiTheme="minorHAnsi" w:hAnsiTheme="minorHAnsi"/>
        </w:rPr>
      </w:pPr>
      <w:r w:rsidRPr="00ED2DAB">
        <w:rPr>
          <w:rFonts w:asciiTheme="minorHAnsi" w:hAnsiTheme="minorHAnsi"/>
        </w:rPr>
        <w:t>Gráfico 3.Taxa de “não-resposta” para rodadas do Chile.....................................</w:t>
      </w:r>
      <w:r w:rsidR="00ED2DAB">
        <w:rPr>
          <w:rFonts w:asciiTheme="minorHAnsi" w:hAnsiTheme="minorHAnsi"/>
        </w:rPr>
        <w:t>....</w:t>
      </w:r>
      <w:r w:rsidRPr="00ED2DAB">
        <w:rPr>
          <w:rFonts w:asciiTheme="minorHAnsi" w:hAnsiTheme="minorHAnsi"/>
        </w:rPr>
        <w:t>...</w:t>
      </w:r>
      <w:r w:rsidR="00ED2DAB">
        <w:rPr>
          <w:rFonts w:asciiTheme="minorHAnsi" w:hAnsiTheme="minorHAnsi"/>
        </w:rPr>
        <w:t>.</w:t>
      </w:r>
      <w:r w:rsidRPr="00ED2DAB">
        <w:rPr>
          <w:rFonts w:asciiTheme="minorHAnsi" w:hAnsiTheme="minorHAnsi"/>
        </w:rPr>
        <w:t>..66</w:t>
      </w:r>
    </w:p>
    <w:p w14:paraId="7BFA4E1A" w14:textId="2ADC78E6" w:rsidR="009A15B7" w:rsidRPr="00ED2DAB" w:rsidRDefault="009A15B7" w:rsidP="00ED2DAB">
      <w:pPr>
        <w:spacing w:after="240" w:line="276" w:lineRule="auto"/>
        <w:rPr>
          <w:rFonts w:asciiTheme="minorHAnsi" w:hAnsiTheme="minorHAnsi"/>
        </w:rPr>
      </w:pPr>
      <w:r w:rsidRPr="00ED2DAB">
        <w:rPr>
          <w:rFonts w:asciiTheme="minorHAnsi" w:hAnsiTheme="minorHAnsi"/>
        </w:rPr>
        <w:t>Gráfico 4. Relação entre médias de “Aceitação da Corrupção” e faixa etária..........</w:t>
      </w:r>
      <w:r w:rsidR="00ED2DAB">
        <w:rPr>
          <w:rFonts w:asciiTheme="minorHAnsi" w:hAnsiTheme="minorHAnsi"/>
        </w:rPr>
        <w:t>...</w:t>
      </w:r>
      <w:r w:rsidRPr="00ED2DAB">
        <w:rPr>
          <w:rFonts w:asciiTheme="minorHAnsi" w:hAnsiTheme="minorHAnsi"/>
        </w:rPr>
        <w:t>.</w:t>
      </w:r>
      <w:r w:rsidR="00ED2DAB">
        <w:rPr>
          <w:rFonts w:asciiTheme="minorHAnsi" w:hAnsiTheme="minorHAnsi"/>
        </w:rPr>
        <w:t>.</w:t>
      </w:r>
      <w:r w:rsidRPr="00ED2DAB">
        <w:rPr>
          <w:rFonts w:asciiTheme="minorHAnsi" w:hAnsiTheme="minorHAnsi"/>
        </w:rPr>
        <w:t>.59</w:t>
      </w:r>
    </w:p>
    <w:p w14:paraId="05E1C5E2" w14:textId="0B2F9F59" w:rsidR="009A15B7" w:rsidRPr="00ED2DAB" w:rsidRDefault="009A15B7" w:rsidP="00ED2DAB">
      <w:pPr>
        <w:spacing w:after="240" w:line="276" w:lineRule="auto"/>
        <w:rPr>
          <w:rFonts w:asciiTheme="minorHAnsi" w:hAnsiTheme="minorHAnsi"/>
        </w:rPr>
      </w:pPr>
      <w:r w:rsidRPr="00ED2DAB">
        <w:rPr>
          <w:rFonts w:asciiTheme="minorHAnsi" w:hAnsiTheme="minorHAnsi"/>
        </w:rPr>
        <w:t>Gráfico 5. Taxa de “não-respostas” para o cenário 1.................................................</w:t>
      </w:r>
      <w:r w:rsidR="00ED2DAB">
        <w:rPr>
          <w:rFonts w:asciiTheme="minorHAnsi" w:hAnsiTheme="minorHAnsi"/>
        </w:rPr>
        <w:t>....</w:t>
      </w:r>
      <w:r w:rsidRPr="00ED2DAB">
        <w:rPr>
          <w:rFonts w:asciiTheme="minorHAnsi" w:hAnsiTheme="minorHAnsi"/>
        </w:rPr>
        <w:t>61</w:t>
      </w:r>
    </w:p>
    <w:p w14:paraId="2E873F93" w14:textId="6233F914" w:rsidR="009A15B7" w:rsidRPr="00ED2DAB" w:rsidRDefault="009A15B7" w:rsidP="00ED2DAB">
      <w:pPr>
        <w:spacing w:after="240" w:line="276" w:lineRule="auto"/>
        <w:rPr>
          <w:rFonts w:asciiTheme="minorHAnsi" w:hAnsiTheme="minorHAnsi"/>
        </w:rPr>
      </w:pPr>
      <w:r w:rsidRPr="00ED2DAB">
        <w:rPr>
          <w:rFonts w:asciiTheme="minorHAnsi" w:hAnsiTheme="minorHAnsi"/>
        </w:rPr>
        <w:t>Gráfico 6. Taxa de “não-respostas” para o cenário 2.................................................</w:t>
      </w:r>
      <w:r w:rsidR="00ED2DAB">
        <w:rPr>
          <w:rFonts w:asciiTheme="minorHAnsi" w:hAnsiTheme="minorHAnsi"/>
        </w:rPr>
        <w:t>....</w:t>
      </w:r>
      <w:r w:rsidRPr="00ED2DAB">
        <w:rPr>
          <w:rFonts w:asciiTheme="minorHAnsi" w:hAnsiTheme="minorHAnsi"/>
        </w:rPr>
        <w:t>61</w:t>
      </w:r>
    </w:p>
    <w:p w14:paraId="0D327C70" w14:textId="1E070922" w:rsidR="001F22A9" w:rsidRPr="00ED2DAB" w:rsidRDefault="001F22A9" w:rsidP="00ED2DAB">
      <w:pPr>
        <w:spacing w:after="240" w:line="276" w:lineRule="auto"/>
        <w:rPr>
          <w:rFonts w:asciiTheme="minorHAnsi" w:hAnsiTheme="minorHAnsi"/>
        </w:rPr>
      </w:pPr>
      <w:r w:rsidRPr="00ED2DAB">
        <w:rPr>
          <w:rFonts w:asciiTheme="minorHAnsi" w:hAnsiTheme="minorHAnsi"/>
        </w:rPr>
        <w:t>Gráfico 7. Fatores subjacentes de indicadores divergentes.......................................</w:t>
      </w:r>
      <w:r w:rsidR="00ED2DAB">
        <w:rPr>
          <w:rFonts w:asciiTheme="minorHAnsi" w:hAnsiTheme="minorHAnsi"/>
        </w:rPr>
        <w:t>....</w:t>
      </w:r>
      <w:r w:rsidRPr="00ED2DAB">
        <w:rPr>
          <w:rFonts w:asciiTheme="minorHAnsi" w:hAnsiTheme="minorHAnsi"/>
        </w:rPr>
        <w:t>80</w:t>
      </w:r>
    </w:p>
    <w:p w14:paraId="5321F51A" w14:textId="5C2E20DA" w:rsidR="001F22A9" w:rsidRPr="00ED2DAB" w:rsidRDefault="001F22A9" w:rsidP="00ED2DAB">
      <w:pPr>
        <w:spacing w:after="240" w:line="276" w:lineRule="auto"/>
        <w:rPr>
          <w:rFonts w:asciiTheme="minorHAnsi" w:hAnsiTheme="minorHAnsi"/>
        </w:rPr>
      </w:pPr>
      <w:r w:rsidRPr="00ED2DAB">
        <w:rPr>
          <w:rFonts w:asciiTheme="minorHAnsi" w:hAnsiTheme="minorHAnsi"/>
        </w:rPr>
        <w:t>Gráfico 8. Fatores subjacentes de indicadores convergentes...................................</w:t>
      </w:r>
      <w:r w:rsidR="00ED2DAB">
        <w:rPr>
          <w:rFonts w:asciiTheme="minorHAnsi" w:hAnsiTheme="minorHAnsi"/>
        </w:rPr>
        <w:t>....</w:t>
      </w:r>
      <w:r w:rsidRPr="00ED2DAB">
        <w:rPr>
          <w:rFonts w:asciiTheme="minorHAnsi" w:hAnsiTheme="minorHAnsi"/>
        </w:rPr>
        <w:t>.85</w:t>
      </w:r>
    </w:p>
    <w:p w14:paraId="4E522FA0" w14:textId="2BE5D9B8" w:rsidR="00ED2DAB" w:rsidRPr="00ED2DAB" w:rsidRDefault="00ED2DAB" w:rsidP="00ED2DAB">
      <w:pPr>
        <w:spacing w:after="240" w:line="276" w:lineRule="auto"/>
        <w:rPr>
          <w:rFonts w:asciiTheme="minorHAnsi" w:hAnsiTheme="minorHAnsi"/>
        </w:rPr>
      </w:pPr>
      <w:r w:rsidRPr="00ED2DAB">
        <w:rPr>
          <w:rFonts w:asciiTheme="minorHAnsi" w:hAnsiTheme="minorHAnsi"/>
        </w:rPr>
        <w:t xml:space="preserve">Gráfico 9. </w:t>
      </w:r>
      <w:r w:rsidRPr="00ED2DAB">
        <w:rPr>
          <w:rFonts w:asciiTheme="minorHAnsi" w:hAnsiTheme="minorHAnsi"/>
          <w:bCs/>
        </w:rPr>
        <w:t>Variância explicada dos fatores subjacentes (AFE)....................................</w:t>
      </w:r>
      <w:r>
        <w:rPr>
          <w:rFonts w:asciiTheme="minorHAnsi" w:hAnsiTheme="minorHAnsi"/>
          <w:bCs/>
        </w:rPr>
        <w:t>....</w:t>
      </w:r>
      <w:r w:rsidRPr="00ED2DAB">
        <w:rPr>
          <w:rFonts w:asciiTheme="minorHAnsi" w:hAnsiTheme="minorHAnsi"/>
          <w:bCs/>
        </w:rPr>
        <w:t>95</w:t>
      </w:r>
    </w:p>
    <w:p w14:paraId="216A189C" w14:textId="0A2C8EE4" w:rsidR="00ED2DAB" w:rsidRPr="00ED2DAB" w:rsidRDefault="00ED2DAB" w:rsidP="00ED2DAB">
      <w:pPr>
        <w:spacing w:after="240" w:line="276" w:lineRule="auto"/>
        <w:rPr>
          <w:rFonts w:asciiTheme="minorHAnsi" w:hAnsiTheme="minorHAnsi"/>
          <w:bCs/>
        </w:rPr>
      </w:pPr>
      <w:r w:rsidRPr="00ED2DAB">
        <w:rPr>
          <w:rFonts w:asciiTheme="minorHAnsi" w:hAnsiTheme="minorHAnsi"/>
        </w:rPr>
        <w:t xml:space="preserve">Gráfico 10. </w:t>
      </w:r>
      <w:r w:rsidRPr="00ED2DAB">
        <w:rPr>
          <w:rFonts w:asciiTheme="minorHAnsi" w:hAnsiTheme="minorHAnsi"/>
          <w:bCs/>
        </w:rPr>
        <w:t>Coeficiente alpha dos indicadores observáveis (alpha de cronbach)....</w:t>
      </w:r>
      <w:r>
        <w:rPr>
          <w:rFonts w:asciiTheme="minorHAnsi" w:hAnsiTheme="minorHAnsi"/>
          <w:bCs/>
        </w:rPr>
        <w:t>...</w:t>
      </w:r>
      <w:r w:rsidRPr="00ED2DAB">
        <w:rPr>
          <w:rFonts w:asciiTheme="minorHAnsi" w:hAnsiTheme="minorHAnsi"/>
          <w:bCs/>
        </w:rPr>
        <w:t>...95</w:t>
      </w:r>
    </w:p>
    <w:p w14:paraId="594C7DD0" w14:textId="55EDC546" w:rsidR="00ED2DAB" w:rsidRPr="00ED2DAB" w:rsidRDefault="00ED2DAB" w:rsidP="00ED2DAB">
      <w:pPr>
        <w:spacing w:after="240" w:line="276" w:lineRule="auto"/>
        <w:rPr>
          <w:rFonts w:ascii="Calibri" w:hAnsi="Calibri"/>
        </w:rPr>
      </w:pPr>
      <w:r w:rsidRPr="00ED2DAB">
        <w:rPr>
          <w:rFonts w:ascii="Calibri" w:hAnsi="Calibri"/>
        </w:rPr>
        <w:t>Gráfico 11. Aceitação da corrupção por macrorregiões........................................</w:t>
      </w:r>
      <w:r>
        <w:rPr>
          <w:rFonts w:ascii="Calibri" w:hAnsi="Calibri"/>
        </w:rPr>
        <w:t>...</w:t>
      </w:r>
      <w:r w:rsidRPr="00ED2DAB">
        <w:rPr>
          <w:rFonts w:ascii="Calibri" w:hAnsi="Calibri"/>
        </w:rPr>
        <w:t>..</w:t>
      </w:r>
      <w:r>
        <w:rPr>
          <w:rFonts w:ascii="Calibri" w:hAnsi="Calibri"/>
        </w:rPr>
        <w:t>.</w:t>
      </w:r>
      <w:r w:rsidRPr="00ED2DAB">
        <w:rPr>
          <w:rFonts w:ascii="Calibri" w:hAnsi="Calibri"/>
        </w:rPr>
        <w:t>...96</w:t>
      </w:r>
    </w:p>
    <w:p w14:paraId="2B3CC738" w14:textId="3F067DF8" w:rsidR="00ED2DAB" w:rsidRPr="00ED2DAB" w:rsidRDefault="00ED2DAB" w:rsidP="00ED2DAB">
      <w:pPr>
        <w:spacing w:after="240" w:line="276" w:lineRule="auto"/>
        <w:rPr>
          <w:rFonts w:asciiTheme="minorHAnsi" w:hAnsiTheme="minorHAnsi"/>
        </w:rPr>
      </w:pPr>
      <w:r w:rsidRPr="00ED2DAB">
        <w:rPr>
          <w:rFonts w:ascii="Calibri" w:hAnsi="Calibri"/>
        </w:rPr>
        <w:t>Gráfico 12. Margem de probabilidades para “Lê notícias nos jornais e revistas”...</w:t>
      </w:r>
      <w:r>
        <w:rPr>
          <w:rFonts w:ascii="Calibri" w:hAnsi="Calibri"/>
        </w:rPr>
        <w:t>...</w:t>
      </w:r>
      <w:r w:rsidRPr="00ED2DAB">
        <w:rPr>
          <w:rFonts w:ascii="Calibri" w:hAnsi="Calibri"/>
        </w:rPr>
        <w:t>....98</w:t>
      </w:r>
    </w:p>
    <w:p w14:paraId="543909E0" w14:textId="77777777" w:rsidR="00ED2DAB" w:rsidRPr="001F728A" w:rsidRDefault="00ED2DAB" w:rsidP="00ED2DAB">
      <w:pPr>
        <w:spacing w:line="276" w:lineRule="auto"/>
        <w:rPr>
          <w:rFonts w:ascii="Calibri" w:hAnsi="Calibri"/>
          <w:b/>
        </w:rPr>
      </w:pPr>
    </w:p>
    <w:p w14:paraId="27E00C81" w14:textId="77777777" w:rsidR="00ED2DAB" w:rsidRPr="003606CD" w:rsidRDefault="00ED2DAB" w:rsidP="00ED2DAB">
      <w:pPr>
        <w:spacing w:after="240" w:line="360" w:lineRule="auto"/>
        <w:rPr>
          <w:rFonts w:asciiTheme="minorHAnsi" w:hAnsiTheme="minorHAnsi"/>
          <w:b/>
        </w:rPr>
      </w:pPr>
    </w:p>
    <w:p w14:paraId="6D190C77" w14:textId="77777777" w:rsidR="00ED2DAB" w:rsidRPr="00184EA2" w:rsidRDefault="00ED2DAB" w:rsidP="001F22A9">
      <w:pPr>
        <w:spacing w:line="360" w:lineRule="auto"/>
        <w:rPr>
          <w:rFonts w:asciiTheme="minorHAnsi" w:hAnsiTheme="minorHAnsi"/>
          <w:b/>
        </w:rPr>
      </w:pPr>
    </w:p>
    <w:p w14:paraId="1A95590B" w14:textId="77777777" w:rsidR="009A15B7" w:rsidRDefault="009A15B7">
      <w:pPr>
        <w:spacing w:after="160" w:line="259" w:lineRule="auto"/>
        <w:rPr>
          <w:rFonts w:asciiTheme="minorHAnsi" w:hAnsiTheme="minorHAnsi"/>
          <w:b/>
        </w:rPr>
      </w:pPr>
    </w:p>
    <w:p w14:paraId="0128985B" w14:textId="77777777" w:rsidR="00ED2DAB" w:rsidRDefault="00ED2DAB">
      <w:pPr>
        <w:spacing w:after="160" w:line="259" w:lineRule="auto"/>
        <w:rPr>
          <w:rFonts w:asciiTheme="minorHAnsi" w:hAnsiTheme="minorHAnsi"/>
          <w:b/>
        </w:rPr>
      </w:pPr>
    </w:p>
    <w:p w14:paraId="0D699D13" w14:textId="77777777" w:rsidR="00ED2DAB" w:rsidRDefault="00ED2DAB">
      <w:pPr>
        <w:spacing w:after="160" w:line="259" w:lineRule="auto"/>
        <w:rPr>
          <w:rFonts w:asciiTheme="minorHAnsi" w:hAnsiTheme="minorHAnsi"/>
          <w:b/>
        </w:rPr>
      </w:pPr>
    </w:p>
    <w:p w14:paraId="27BB965B" w14:textId="77777777" w:rsidR="00ED2DAB" w:rsidRDefault="00ED2DAB">
      <w:pPr>
        <w:spacing w:after="160" w:line="259" w:lineRule="auto"/>
        <w:rPr>
          <w:rFonts w:asciiTheme="minorHAnsi" w:hAnsiTheme="minorHAnsi"/>
          <w:b/>
        </w:rPr>
      </w:pPr>
    </w:p>
    <w:p w14:paraId="6283E5BB" w14:textId="77777777" w:rsidR="00ED2DAB" w:rsidRDefault="00ED2DAB">
      <w:pPr>
        <w:spacing w:after="160" w:line="259" w:lineRule="auto"/>
        <w:rPr>
          <w:rFonts w:asciiTheme="minorHAnsi" w:hAnsiTheme="minorHAnsi"/>
          <w:b/>
        </w:rPr>
      </w:pPr>
    </w:p>
    <w:p w14:paraId="79110FC2" w14:textId="77777777" w:rsidR="00ED2DAB" w:rsidRDefault="00ED2DAB">
      <w:pPr>
        <w:spacing w:after="160" w:line="259" w:lineRule="auto"/>
        <w:rPr>
          <w:rFonts w:asciiTheme="minorHAnsi" w:hAnsiTheme="minorHAnsi"/>
          <w:b/>
        </w:rPr>
      </w:pPr>
    </w:p>
    <w:p w14:paraId="1E967F50" w14:textId="77777777" w:rsidR="00ED2DAB" w:rsidRDefault="00ED2DAB">
      <w:pPr>
        <w:spacing w:after="160" w:line="259" w:lineRule="auto"/>
        <w:rPr>
          <w:rFonts w:asciiTheme="minorHAnsi" w:hAnsiTheme="minorHAnsi"/>
          <w:b/>
        </w:rPr>
      </w:pPr>
    </w:p>
    <w:p w14:paraId="0E9EE107" w14:textId="77777777" w:rsidR="00ED2DAB" w:rsidRDefault="00ED2DAB">
      <w:pPr>
        <w:spacing w:after="160" w:line="259" w:lineRule="auto"/>
        <w:rPr>
          <w:rFonts w:asciiTheme="minorHAnsi" w:hAnsiTheme="minorHAnsi"/>
          <w:b/>
        </w:rPr>
      </w:pPr>
    </w:p>
    <w:p w14:paraId="002B8F88" w14:textId="77777777" w:rsidR="00ED2DAB" w:rsidRDefault="00ED2DAB">
      <w:pPr>
        <w:spacing w:after="160" w:line="259" w:lineRule="auto"/>
        <w:rPr>
          <w:rFonts w:asciiTheme="minorHAnsi" w:hAnsiTheme="minorHAnsi"/>
          <w:b/>
        </w:rPr>
      </w:pPr>
    </w:p>
    <w:p w14:paraId="222DFA8C" w14:textId="77777777" w:rsidR="00ED2DAB" w:rsidRDefault="00ED2DAB">
      <w:pPr>
        <w:spacing w:after="160" w:line="259" w:lineRule="auto"/>
        <w:rPr>
          <w:rFonts w:asciiTheme="minorHAnsi" w:hAnsiTheme="minorHAnsi"/>
          <w:b/>
        </w:rPr>
      </w:pPr>
    </w:p>
    <w:p w14:paraId="1E951659" w14:textId="77777777" w:rsidR="009A15B7" w:rsidRDefault="009A15B7">
      <w:pPr>
        <w:spacing w:after="160" w:line="259" w:lineRule="auto"/>
        <w:rPr>
          <w:rFonts w:asciiTheme="minorHAnsi" w:hAnsiTheme="minorHAnsi"/>
          <w:b/>
        </w:rPr>
      </w:pPr>
    </w:p>
    <w:p w14:paraId="05ED247C" w14:textId="77777777" w:rsidR="00E46AC8" w:rsidRDefault="00E46AC8">
      <w:pPr>
        <w:spacing w:after="160" w:line="259" w:lineRule="auto"/>
        <w:rPr>
          <w:rFonts w:asciiTheme="minorHAnsi" w:hAnsiTheme="minorHAnsi"/>
          <w:b/>
        </w:rPr>
      </w:pPr>
      <w:r>
        <w:rPr>
          <w:rFonts w:asciiTheme="minorHAnsi" w:hAnsiTheme="minorHAnsi"/>
          <w:b/>
        </w:rPr>
        <w:lastRenderedPageBreak/>
        <w:t>Lista de figuras</w:t>
      </w:r>
    </w:p>
    <w:p w14:paraId="30C8344B" w14:textId="281D149F" w:rsidR="00E46AC8" w:rsidRPr="00ED2DAB" w:rsidRDefault="00E46AC8" w:rsidP="00B34F86">
      <w:pPr>
        <w:spacing w:line="360" w:lineRule="auto"/>
        <w:rPr>
          <w:rFonts w:asciiTheme="minorHAnsi" w:hAnsiTheme="minorHAnsi"/>
        </w:rPr>
      </w:pPr>
      <w:r w:rsidRPr="00ED2DAB">
        <w:rPr>
          <w:rFonts w:asciiTheme="minorHAnsi" w:hAnsiTheme="minorHAnsi"/>
        </w:rPr>
        <w:t>Figura 1 Medida de aceitação da corrupção de 4 itens observáveis.............</w:t>
      </w:r>
      <w:r w:rsidR="00ED2DAB" w:rsidRPr="00ED2DAB">
        <w:rPr>
          <w:rFonts w:asciiTheme="minorHAnsi" w:hAnsiTheme="minorHAnsi"/>
        </w:rPr>
        <w:t>........</w:t>
      </w:r>
      <w:r w:rsidRPr="00ED2DAB">
        <w:rPr>
          <w:rFonts w:asciiTheme="minorHAnsi" w:hAnsiTheme="minorHAnsi"/>
        </w:rPr>
        <w:t>.....</w:t>
      </w:r>
      <w:r w:rsidR="009A15B7" w:rsidRPr="00ED2DAB">
        <w:rPr>
          <w:rFonts w:asciiTheme="minorHAnsi" w:hAnsiTheme="minorHAnsi"/>
        </w:rPr>
        <w:t>..</w:t>
      </w:r>
      <w:r w:rsidRPr="00ED2DAB">
        <w:rPr>
          <w:rFonts w:asciiTheme="minorHAnsi" w:hAnsiTheme="minorHAnsi"/>
        </w:rPr>
        <w:t>..10</w:t>
      </w:r>
    </w:p>
    <w:p w14:paraId="1342C948" w14:textId="68775469" w:rsidR="009A15B7" w:rsidRPr="00ED2DAB" w:rsidRDefault="009A15B7" w:rsidP="00B34F86">
      <w:pPr>
        <w:spacing w:line="360" w:lineRule="auto"/>
        <w:rPr>
          <w:rFonts w:asciiTheme="minorHAnsi" w:hAnsiTheme="minorHAnsi"/>
        </w:rPr>
      </w:pPr>
      <w:r w:rsidRPr="00ED2DAB">
        <w:rPr>
          <w:rFonts w:asciiTheme="minorHAnsi" w:hAnsiTheme="minorHAnsi"/>
        </w:rPr>
        <w:t>Figura 2. Validação de medidas em função de conceitos......................................</w:t>
      </w:r>
      <w:r w:rsidR="00ED2DAB" w:rsidRPr="00ED2DAB">
        <w:rPr>
          <w:rFonts w:asciiTheme="minorHAnsi" w:hAnsiTheme="minorHAnsi"/>
        </w:rPr>
        <w:t>.........</w:t>
      </w:r>
      <w:r w:rsidRPr="00ED2DAB">
        <w:rPr>
          <w:rFonts w:asciiTheme="minorHAnsi" w:hAnsiTheme="minorHAnsi"/>
        </w:rPr>
        <w:t>50</w:t>
      </w:r>
    </w:p>
    <w:p w14:paraId="634169BA" w14:textId="3904D3CE" w:rsidR="009A15B7" w:rsidRPr="00ED2DAB" w:rsidRDefault="009A15B7" w:rsidP="00B34F86">
      <w:pPr>
        <w:spacing w:line="360" w:lineRule="auto"/>
        <w:rPr>
          <w:rFonts w:asciiTheme="minorHAnsi" w:hAnsiTheme="minorHAnsi"/>
        </w:rPr>
      </w:pPr>
      <w:r w:rsidRPr="00ED2DAB">
        <w:rPr>
          <w:rFonts w:asciiTheme="minorHAnsi" w:hAnsiTheme="minorHAnsi"/>
        </w:rPr>
        <w:t>Figura 3. Modelo de Tourangeu et al (2000) e indicadores observáveis...............</w:t>
      </w:r>
      <w:r w:rsidR="00ED2DAB" w:rsidRPr="00ED2DAB">
        <w:rPr>
          <w:rFonts w:asciiTheme="minorHAnsi" w:hAnsiTheme="minorHAnsi"/>
        </w:rPr>
        <w:t>.........</w:t>
      </w:r>
      <w:r w:rsidRPr="00ED2DAB">
        <w:rPr>
          <w:rFonts w:asciiTheme="minorHAnsi" w:hAnsiTheme="minorHAnsi"/>
        </w:rPr>
        <w:t>54</w:t>
      </w:r>
    </w:p>
    <w:p w14:paraId="3F81DE4C" w14:textId="2093DA47" w:rsidR="001F22A9" w:rsidRPr="00ED2DAB" w:rsidRDefault="001F22A9" w:rsidP="00B34F86">
      <w:pPr>
        <w:spacing w:line="360" w:lineRule="auto"/>
        <w:rPr>
          <w:rFonts w:asciiTheme="minorHAnsi" w:hAnsiTheme="minorHAnsi"/>
          <w:szCs w:val="30"/>
        </w:rPr>
      </w:pPr>
      <w:r w:rsidRPr="00ED2DAB">
        <w:rPr>
          <w:rFonts w:asciiTheme="minorHAnsi" w:hAnsiTheme="minorHAnsi"/>
          <w:szCs w:val="30"/>
        </w:rPr>
        <w:t>Figura 4. Modelo de equações estruturais.......</w:t>
      </w:r>
      <w:r w:rsidR="00574FF8">
        <w:rPr>
          <w:rFonts w:asciiTheme="minorHAnsi" w:hAnsiTheme="minorHAnsi"/>
          <w:szCs w:val="30"/>
        </w:rPr>
        <w:t>.....</w:t>
      </w:r>
      <w:r w:rsidRPr="00ED2DAB">
        <w:rPr>
          <w:rFonts w:asciiTheme="minorHAnsi" w:hAnsiTheme="minorHAnsi"/>
          <w:szCs w:val="30"/>
        </w:rPr>
        <w:t>.................................................</w:t>
      </w:r>
      <w:r w:rsidR="00ED2DAB" w:rsidRPr="00ED2DAB">
        <w:rPr>
          <w:rFonts w:asciiTheme="minorHAnsi" w:hAnsiTheme="minorHAnsi"/>
          <w:szCs w:val="30"/>
        </w:rPr>
        <w:t>........</w:t>
      </w:r>
      <w:r w:rsidRPr="00ED2DAB">
        <w:rPr>
          <w:rFonts w:asciiTheme="minorHAnsi" w:hAnsiTheme="minorHAnsi"/>
          <w:szCs w:val="30"/>
        </w:rPr>
        <w:t>90</w:t>
      </w:r>
    </w:p>
    <w:p w14:paraId="5AB727E2" w14:textId="77777777" w:rsidR="001F22A9" w:rsidRPr="009A15B7" w:rsidRDefault="001F22A9" w:rsidP="001F22A9">
      <w:pPr>
        <w:spacing w:line="360" w:lineRule="auto"/>
        <w:rPr>
          <w:rFonts w:asciiTheme="minorHAnsi" w:hAnsiTheme="minorHAnsi"/>
        </w:rPr>
      </w:pPr>
    </w:p>
    <w:p w14:paraId="49086CC4" w14:textId="136C2008" w:rsidR="00ED2DAB" w:rsidRDefault="00ED2DAB">
      <w:pPr>
        <w:spacing w:after="160" w:line="259" w:lineRule="auto"/>
        <w:rPr>
          <w:rFonts w:asciiTheme="minorHAnsi" w:hAnsiTheme="minorHAnsi"/>
          <w:b/>
        </w:rPr>
      </w:pPr>
      <w:r>
        <w:rPr>
          <w:rFonts w:asciiTheme="minorHAnsi" w:hAnsiTheme="minorHAnsi"/>
          <w:b/>
        </w:rPr>
        <w:br w:type="page"/>
      </w:r>
    </w:p>
    <w:p w14:paraId="654258D5" w14:textId="63F1E27D" w:rsidR="00E46AC8" w:rsidRDefault="00E46AC8" w:rsidP="00E46AC8">
      <w:pPr>
        <w:spacing w:after="240" w:line="360" w:lineRule="auto"/>
        <w:rPr>
          <w:rFonts w:asciiTheme="minorHAnsi" w:hAnsiTheme="minorHAnsi"/>
          <w:b/>
        </w:rPr>
      </w:pPr>
      <w:r>
        <w:rPr>
          <w:rFonts w:asciiTheme="minorHAnsi" w:hAnsiTheme="minorHAnsi"/>
          <w:b/>
        </w:rPr>
        <w:lastRenderedPageBreak/>
        <w:t>Lista de tabelas</w:t>
      </w:r>
    </w:p>
    <w:p w14:paraId="13EE8B03" w14:textId="450D33CE" w:rsidR="009A15B7" w:rsidRPr="00ED2DAB" w:rsidRDefault="009A15B7" w:rsidP="00B34F86">
      <w:pPr>
        <w:spacing w:line="360" w:lineRule="auto"/>
        <w:rPr>
          <w:rFonts w:asciiTheme="minorHAnsi" w:hAnsiTheme="minorHAnsi"/>
        </w:rPr>
      </w:pPr>
      <w:r w:rsidRPr="00ED2DAB">
        <w:rPr>
          <w:rFonts w:asciiTheme="minorHAnsi" w:hAnsiTheme="minorHAnsi"/>
        </w:rPr>
        <w:t>Tabela 1 Taxa de não resposta de indicadores observáveis para as rodadas do Brasil..55</w:t>
      </w:r>
    </w:p>
    <w:p w14:paraId="1655F49E" w14:textId="116EE6F8" w:rsidR="009A15B7" w:rsidRPr="00ED2DAB" w:rsidRDefault="009A15B7" w:rsidP="00B34F86">
      <w:pPr>
        <w:spacing w:line="360" w:lineRule="auto"/>
        <w:rPr>
          <w:rFonts w:asciiTheme="minorHAnsi" w:hAnsiTheme="minorHAnsi"/>
        </w:rPr>
      </w:pPr>
      <w:r w:rsidRPr="00ED2DAB">
        <w:rPr>
          <w:rFonts w:asciiTheme="minorHAnsi" w:hAnsiTheme="minorHAnsi"/>
        </w:rPr>
        <w:t>Tabela 3. Indicadores de aceitação Lapop 2006 e WVS 2006...............................</w:t>
      </w:r>
      <w:r w:rsidR="00ED2DAB" w:rsidRPr="00ED2DAB">
        <w:rPr>
          <w:rFonts w:asciiTheme="minorHAnsi" w:hAnsiTheme="minorHAnsi"/>
        </w:rPr>
        <w:t>....</w:t>
      </w:r>
      <w:r w:rsidRPr="00ED2DAB">
        <w:rPr>
          <w:rFonts w:asciiTheme="minorHAnsi" w:hAnsiTheme="minorHAnsi"/>
        </w:rPr>
        <w:t>......64</w:t>
      </w:r>
    </w:p>
    <w:p w14:paraId="188350B3" w14:textId="6F0FF40D" w:rsidR="009A15B7" w:rsidRPr="00ED2DAB" w:rsidRDefault="009A15B7" w:rsidP="00B34F86">
      <w:pPr>
        <w:spacing w:line="360" w:lineRule="auto"/>
        <w:rPr>
          <w:rFonts w:asciiTheme="minorHAnsi" w:hAnsiTheme="minorHAnsi"/>
        </w:rPr>
      </w:pPr>
      <w:r w:rsidRPr="00ED2DAB">
        <w:rPr>
          <w:rFonts w:asciiTheme="minorHAnsi" w:hAnsiTheme="minorHAnsi"/>
        </w:rPr>
        <w:t>Tabela 4. Conceitos mobilizados na literatura.........................................</w:t>
      </w:r>
      <w:r w:rsidR="00ED2DAB">
        <w:rPr>
          <w:rFonts w:asciiTheme="minorHAnsi" w:hAnsiTheme="minorHAnsi"/>
        </w:rPr>
        <w:t>......</w:t>
      </w:r>
      <w:r w:rsidRPr="00ED2DAB">
        <w:rPr>
          <w:rFonts w:asciiTheme="minorHAnsi" w:hAnsiTheme="minorHAnsi"/>
        </w:rPr>
        <w:t>.................77</w:t>
      </w:r>
    </w:p>
    <w:p w14:paraId="33884BF6" w14:textId="286120AB" w:rsidR="001F22A9" w:rsidRPr="00ED2DAB" w:rsidRDefault="001F22A9" w:rsidP="00B34F86">
      <w:pPr>
        <w:spacing w:line="360" w:lineRule="auto"/>
        <w:rPr>
          <w:rFonts w:asciiTheme="minorHAnsi" w:hAnsiTheme="minorHAnsi"/>
        </w:rPr>
      </w:pPr>
      <w:r w:rsidRPr="00ED2DAB">
        <w:rPr>
          <w:rFonts w:asciiTheme="minorHAnsi" w:hAnsiTheme="minorHAnsi"/>
        </w:rPr>
        <w:t>Tabela 5. Descrição dos indicadores observáveis divergentes......................</w:t>
      </w:r>
      <w:r w:rsidR="00ED2DAB">
        <w:rPr>
          <w:rFonts w:asciiTheme="minorHAnsi" w:hAnsiTheme="minorHAnsi"/>
        </w:rPr>
        <w:t>....</w:t>
      </w:r>
      <w:r w:rsidRPr="00ED2DAB">
        <w:rPr>
          <w:rFonts w:asciiTheme="minorHAnsi" w:hAnsiTheme="minorHAnsi"/>
        </w:rPr>
        <w:t>.............79</w:t>
      </w:r>
    </w:p>
    <w:p w14:paraId="28016321" w14:textId="44303448" w:rsidR="001F22A9" w:rsidRPr="00ED2DAB" w:rsidRDefault="001F22A9" w:rsidP="00B34F86">
      <w:pPr>
        <w:spacing w:line="360" w:lineRule="auto"/>
        <w:rPr>
          <w:rFonts w:asciiTheme="minorHAnsi" w:hAnsiTheme="minorHAnsi"/>
        </w:rPr>
      </w:pPr>
      <w:r w:rsidRPr="00ED2DAB">
        <w:rPr>
          <w:rFonts w:asciiTheme="minorHAnsi" w:hAnsiTheme="minorHAnsi"/>
        </w:rPr>
        <w:t>Tabela 6. Análise fatorial de indicadores divergentes.......................................</w:t>
      </w:r>
      <w:r w:rsidR="00ED2DAB">
        <w:rPr>
          <w:rFonts w:asciiTheme="minorHAnsi" w:hAnsiTheme="minorHAnsi"/>
        </w:rPr>
        <w:t>.....</w:t>
      </w:r>
      <w:r w:rsidRPr="00ED2DAB">
        <w:rPr>
          <w:rFonts w:asciiTheme="minorHAnsi" w:hAnsiTheme="minorHAnsi"/>
        </w:rPr>
        <w:t>........82</w:t>
      </w:r>
    </w:p>
    <w:p w14:paraId="1A76DADC" w14:textId="37319268" w:rsidR="001F22A9" w:rsidRPr="00ED2DAB" w:rsidRDefault="001F22A9" w:rsidP="00B34F86">
      <w:pPr>
        <w:spacing w:line="360" w:lineRule="auto"/>
        <w:rPr>
          <w:rFonts w:asciiTheme="minorHAnsi" w:hAnsiTheme="minorHAnsi"/>
        </w:rPr>
      </w:pPr>
      <w:r w:rsidRPr="00ED2DAB">
        <w:rPr>
          <w:rFonts w:asciiTheme="minorHAnsi" w:hAnsiTheme="minorHAnsi"/>
        </w:rPr>
        <w:t>Tabela 7. Coeficiente alpha de Cronbach para indicadores convergentes.............</w:t>
      </w:r>
      <w:r w:rsidR="00ED2DAB">
        <w:rPr>
          <w:rFonts w:asciiTheme="minorHAnsi" w:hAnsiTheme="minorHAnsi"/>
        </w:rPr>
        <w:t>...</w:t>
      </w:r>
      <w:r w:rsidRPr="00ED2DAB">
        <w:rPr>
          <w:rFonts w:asciiTheme="minorHAnsi" w:hAnsiTheme="minorHAnsi"/>
        </w:rPr>
        <w:t>.....83</w:t>
      </w:r>
    </w:p>
    <w:p w14:paraId="7E83587E" w14:textId="7F709457" w:rsidR="001F22A9" w:rsidRPr="00ED2DAB" w:rsidRDefault="001F22A9" w:rsidP="00B34F86">
      <w:pPr>
        <w:spacing w:line="360" w:lineRule="auto"/>
        <w:rPr>
          <w:rFonts w:asciiTheme="minorHAnsi" w:hAnsiTheme="minorHAnsi"/>
        </w:rPr>
      </w:pPr>
      <w:r w:rsidRPr="00ED2DAB">
        <w:rPr>
          <w:rFonts w:asciiTheme="minorHAnsi" w:hAnsiTheme="minorHAnsi"/>
        </w:rPr>
        <w:t>Tabela 8. Descrição dos Indicadores observáveis convergentes...............................</w:t>
      </w:r>
      <w:r w:rsidR="00ED2DAB">
        <w:rPr>
          <w:rFonts w:asciiTheme="minorHAnsi" w:hAnsiTheme="minorHAnsi"/>
        </w:rPr>
        <w:t>....</w:t>
      </w:r>
      <w:r w:rsidRPr="00ED2DAB">
        <w:rPr>
          <w:rFonts w:asciiTheme="minorHAnsi" w:hAnsiTheme="minorHAnsi"/>
        </w:rPr>
        <w:t>.84</w:t>
      </w:r>
    </w:p>
    <w:p w14:paraId="40D2B1A0" w14:textId="452175BC" w:rsidR="001F22A9" w:rsidRPr="00ED2DAB" w:rsidRDefault="001F22A9" w:rsidP="00B34F86">
      <w:pPr>
        <w:spacing w:line="360" w:lineRule="auto"/>
        <w:rPr>
          <w:rFonts w:asciiTheme="minorHAnsi" w:hAnsiTheme="minorHAnsi"/>
        </w:rPr>
      </w:pPr>
      <w:r w:rsidRPr="00ED2DAB">
        <w:rPr>
          <w:rFonts w:asciiTheme="minorHAnsi" w:hAnsiTheme="minorHAnsi"/>
        </w:rPr>
        <w:t>Tabela 9. Análise fatorial exploratória indicadores convergentes.............................</w:t>
      </w:r>
      <w:r w:rsidR="00ED2DAB">
        <w:rPr>
          <w:rFonts w:asciiTheme="minorHAnsi" w:hAnsiTheme="minorHAnsi"/>
        </w:rPr>
        <w:t>....</w:t>
      </w:r>
      <w:r w:rsidRPr="00ED2DAB">
        <w:rPr>
          <w:rFonts w:asciiTheme="minorHAnsi" w:hAnsiTheme="minorHAnsi"/>
        </w:rPr>
        <w:t>85</w:t>
      </w:r>
    </w:p>
    <w:p w14:paraId="308D4587" w14:textId="6AE9122D" w:rsidR="001F22A9" w:rsidRPr="00ED2DAB" w:rsidRDefault="001F22A9" w:rsidP="00B34F86">
      <w:pPr>
        <w:spacing w:line="360" w:lineRule="auto"/>
        <w:rPr>
          <w:rFonts w:asciiTheme="minorHAnsi" w:hAnsiTheme="minorHAnsi"/>
        </w:rPr>
      </w:pPr>
      <w:r w:rsidRPr="00ED2DAB">
        <w:rPr>
          <w:rFonts w:asciiTheme="minorHAnsi" w:hAnsiTheme="minorHAnsi"/>
        </w:rPr>
        <w:t>Tabela 10. Alpha de Cronbach para indicadores convergentes..................................</w:t>
      </w:r>
      <w:r w:rsidR="00ED2DAB">
        <w:rPr>
          <w:rFonts w:asciiTheme="minorHAnsi" w:hAnsiTheme="minorHAnsi"/>
        </w:rPr>
        <w:t>...</w:t>
      </w:r>
      <w:r w:rsidRPr="00ED2DAB">
        <w:rPr>
          <w:rFonts w:asciiTheme="minorHAnsi" w:hAnsiTheme="minorHAnsi"/>
        </w:rPr>
        <w:t>86</w:t>
      </w:r>
    </w:p>
    <w:p w14:paraId="71AB9427" w14:textId="477EDD39" w:rsidR="001F22A9" w:rsidRPr="00ED2DAB" w:rsidRDefault="00ED2DAB" w:rsidP="00B34F86">
      <w:pPr>
        <w:autoSpaceDE w:val="0"/>
        <w:autoSpaceDN w:val="0"/>
        <w:adjustRightInd w:val="0"/>
        <w:spacing w:line="360" w:lineRule="auto"/>
        <w:ind w:right="-188"/>
        <w:jc w:val="both"/>
        <w:rPr>
          <w:rFonts w:asciiTheme="minorHAnsi" w:hAnsiTheme="minorHAnsi"/>
        </w:rPr>
      </w:pPr>
      <w:r w:rsidRPr="00ED2DAB">
        <w:rPr>
          <w:rFonts w:asciiTheme="minorHAnsi" w:hAnsiTheme="minorHAnsi"/>
          <w:szCs w:val="30"/>
        </w:rPr>
        <w:t>Tabela 11</w:t>
      </w:r>
      <w:r w:rsidR="001F22A9" w:rsidRPr="00ED2DAB">
        <w:rPr>
          <w:rFonts w:asciiTheme="minorHAnsi" w:hAnsiTheme="minorHAnsi"/>
          <w:szCs w:val="30"/>
        </w:rPr>
        <w:t>. Indicadores de associação à medida de Aceitação da Corrupção</w:t>
      </w:r>
      <w:r w:rsidRPr="00ED2DAB">
        <w:rPr>
          <w:rFonts w:asciiTheme="minorHAnsi" w:hAnsiTheme="minorHAnsi"/>
          <w:szCs w:val="30"/>
        </w:rPr>
        <w:t>...........</w:t>
      </w:r>
      <w:r>
        <w:rPr>
          <w:rFonts w:asciiTheme="minorHAnsi" w:hAnsiTheme="minorHAnsi"/>
          <w:szCs w:val="30"/>
        </w:rPr>
        <w:t>......</w:t>
      </w:r>
      <w:r w:rsidRPr="00ED2DAB">
        <w:rPr>
          <w:rFonts w:asciiTheme="minorHAnsi" w:hAnsiTheme="minorHAnsi"/>
          <w:szCs w:val="30"/>
        </w:rPr>
        <w:t>88</w:t>
      </w:r>
    </w:p>
    <w:p w14:paraId="2D092953" w14:textId="019BEAB2" w:rsidR="001F22A9" w:rsidRPr="00ED2DAB" w:rsidRDefault="00ED2DAB" w:rsidP="00B34F86">
      <w:pPr>
        <w:spacing w:line="360" w:lineRule="auto"/>
        <w:rPr>
          <w:rFonts w:asciiTheme="minorHAnsi" w:hAnsiTheme="minorHAnsi"/>
        </w:rPr>
      </w:pPr>
      <w:r w:rsidRPr="00ED2DAB">
        <w:rPr>
          <w:rFonts w:asciiTheme="minorHAnsi" w:hAnsiTheme="minorHAnsi"/>
        </w:rPr>
        <w:t>Tabela 12</w:t>
      </w:r>
      <w:r w:rsidR="001F22A9" w:rsidRPr="00ED2DAB">
        <w:rPr>
          <w:rFonts w:asciiTheme="minorHAnsi" w:hAnsiTheme="minorHAnsi"/>
        </w:rPr>
        <w:t>. AFE dos indicadores de aceitação da corrupção – WVS</w:t>
      </w:r>
      <w:r w:rsidRPr="00ED2DAB">
        <w:rPr>
          <w:rFonts w:asciiTheme="minorHAnsi" w:hAnsiTheme="minorHAnsi"/>
        </w:rPr>
        <w:t xml:space="preserve"> 2006 e 2014........</w:t>
      </w:r>
      <w:r>
        <w:rPr>
          <w:rFonts w:asciiTheme="minorHAnsi" w:hAnsiTheme="minorHAnsi"/>
        </w:rPr>
        <w:t>...</w:t>
      </w:r>
      <w:r w:rsidRPr="00ED2DAB">
        <w:rPr>
          <w:rFonts w:asciiTheme="minorHAnsi" w:hAnsiTheme="minorHAnsi"/>
        </w:rPr>
        <w:t>90</w:t>
      </w:r>
    </w:p>
    <w:p w14:paraId="0105F8FD" w14:textId="3843F3D2" w:rsidR="00ED2DAB" w:rsidRPr="00ED2DAB" w:rsidRDefault="00ED2DAB" w:rsidP="00B34F86">
      <w:pPr>
        <w:spacing w:line="360" w:lineRule="auto"/>
        <w:rPr>
          <w:rFonts w:asciiTheme="minorHAnsi" w:hAnsiTheme="minorHAnsi"/>
        </w:rPr>
      </w:pPr>
      <w:r w:rsidRPr="00ED2DAB">
        <w:rPr>
          <w:rFonts w:asciiTheme="minorHAnsi" w:hAnsiTheme="minorHAnsi"/>
        </w:rPr>
        <w:t>Tabela 13.  Alpha de cronbach dos indicadores de aceitação da corrupção – WVS 2006 e 2014.............................................................................................................</w:t>
      </w:r>
      <w:r>
        <w:rPr>
          <w:rFonts w:asciiTheme="minorHAnsi" w:hAnsiTheme="minorHAnsi"/>
        </w:rPr>
        <w:t>................</w:t>
      </w:r>
      <w:r w:rsidRPr="00ED2DAB">
        <w:rPr>
          <w:rFonts w:asciiTheme="minorHAnsi" w:hAnsiTheme="minorHAnsi"/>
        </w:rPr>
        <w:t>91</w:t>
      </w:r>
    </w:p>
    <w:p w14:paraId="156A73F2" w14:textId="7D48F2AE" w:rsidR="00ED2DAB" w:rsidRPr="00ED2DAB" w:rsidRDefault="00ED2DAB" w:rsidP="00B34F86">
      <w:pPr>
        <w:spacing w:line="360" w:lineRule="auto"/>
        <w:rPr>
          <w:rFonts w:asciiTheme="minorHAnsi" w:hAnsiTheme="minorHAnsi"/>
          <w:b/>
        </w:rPr>
      </w:pPr>
      <w:r w:rsidRPr="00ED2DAB">
        <w:rPr>
          <w:rFonts w:asciiTheme="minorHAnsi" w:hAnsiTheme="minorHAnsi"/>
        </w:rPr>
        <w:t>Tabela 14. AFE e alpha de cronbach para Argentina, Brasil, Chile, México................</w:t>
      </w:r>
      <w:r>
        <w:rPr>
          <w:rFonts w:asciiTheme="minorHAnsi" w:hAnsiTheme="minorHAnsi"/>
        </w:rPr>
        <w:t>....</w:t>
      </w:r>
      <w:r w:rsidRPr="00ED2DAB">
        <w:rPr>
          <w:rFonts w:asciiTheme="minorHAnsi" w:hAnsiTheme="minorHAnsi"/>
        </w:rPr>
        <w:t>93</w:t>
      </w:r>
    </w:p>
    <w:p w14:paraId="7AFEA0C4" w14:textId="6FCB3EB6" w:rsidR="002F795F" w:rsidRDefault="002F795F">
      <w:pPr>
        <w:spacing w:after="160" w:line="259" w:lineRule="auto"/>
        <w:rPr>
          <w:rFonts w:asciiTheme="minorHAnsi" w:hAnsiTheme="minorHAnsi"/>
          <w:b/>
        </w:rPr>
      </w:pPr>
      <w:r>
        <w:rPr>
          <w:rFonts w:asciiTheme="minorHAnsi" w:hAnsiTheme="minorHAnsi"/>
          <w:b/>
        </w:rPr>
        <w:br w:type="page"/>
      </w:r>
    </w:p>
    <w:p w14:paraId="6331B6AA" w14:textId="14C6DD9F" w:rsidR="00ED2DAB" w:rsidRPr="007F2C6A" w:rsidRDefault="002F795F" w:rsidP="00ED2DAB">
      <w:pPr>
        <w:spacing w:after="240" w:line="360" w:lineRule="auto"/>
        <w:rPr>
          <w:rFonts w:asciiTheme="minorHAnsi" w:hAnsiTheme="minorHAnsi"/>
          <w:b/>
          <w:lang w:val="en-US"/>
        </w:rPr>
      </w:pPr>
      <w:r w:rsidRPr="007F2C6A">
        <w:rPr>
          <w:rFonts w:asciiTheme="minorHAnsi" w:hAnsiTheme="minorHAnsi"/>
          <w:b/>
          <w:lang w:val="en-US"/>
        </w:rPr>
        <w:lastRenderedPageBreak/>
        <w:t>Lista de siglas</w:t>
      </w:r>
    </w:p>
    <w:p w14:paraId="2C30C958" w14:textId="1E482BA9" w:rsidR="002F795F" w:rsidRPr="007F2C6A" w:rsidRDefault="002F795F" w:rsidP="00265572">
      <w:pPr>
        <w:spacing w:line="360" w:lineRule="auto"/>
        <w:rPr>
          <w:rFonts w:asciiTheme="minorHAnsi" w:hAnsiTheme="minorHAnsi"/>
          <w:lang w:val="en-US"/>
        </w:rPr>
      </w:pPr>
      <w:r w:rsidRPr="007F2C6A">
        <w:rPr>
          <w:rFonts w:asciiTheme="minorHAnsi" w:hAnsiTheme="minorHAnsi"/>
          <w:lang w:val="en-US"/>
        </w:rPr>
        <w:t>WVS World Value Surveys</w:t>
      </w:r>
    </w:p>
    <w:p w14:paraId="51BFABF0" w14:textId="78159616" w:rsidR="002F795F" w:rsidRPr="00265572" w:rsidRDefault="002F795F" w:rsidP="00265572">
      <w:pPr>
        <w:spacing w:line="360" w:lineRule="auto"/>
        <w:rPr>
          <w:rFonts w:asciiTheme="minorHAnsi" w:hAnsiTheme="minorHAnsi"/>
          <w:lang w:val="en-US"/>
        </w:rPr>
      </w:pPr>
      <w:r w:rsidRPr="00265572">
        <w:rPr>
          <w:rFonts w:asciiTheme="minorHAnsi" w:hAnsiTheme="minorHAnsi"/>
          <w:lang w:val="en-US"/>
        </w:rPr>
        <w:t>LAPOP Latin American Public Opinion Project</w:t>
      </w:r>
    </w:p>
    <w:p w14:paraId="6F2BD14F" w14:textId="62CC68ED" w:rsidR="002F795F" w:rsidRPr="007F2C6A" w:rsidRDefault="002F795F" w:rsidP="00265572">
      <w:pPr>
        <w:spacing w:line="360" w:lineRule="auto"/>
        <w:rPr>
          <w:rFonts w:asciiTheme="minorHAnsi" w:hAnsiTheme="minorHAnsi"/>
        </w:rPr>
      </w:pPr>
      <w:r w:rsidRPr="007F2C6A">
        <w:rPr>
          <w:rFonts w:asciiTheme="minorHAnsi" w:hAnsiTheme="minorHAnsi"/>
        </w:rPr>
        <w:t xml:space="preserve">AFE Análise </w:t>
      </w:r>
      <w:r w:rsidR="007F2C6A" w:rsidRPr="007F2C6A">
        <w:rPr>
          <w:rFonts w:asciiTheme="minorHAnsi" w:hAnsiTheme="minorHAnsi"/>
        </w:rPr>
        <w:t>fatorial</w:t>
      </w:r>
      <w:r w:rsidRPr="007F2C6A">
        <w:rPr>
          <w:rFonts w:asciiTheme="minorHAnsi" w:hAnsiTheme="minorHAnsi"/>
        </w:rPr>
        <w:t xml:space="preserve"> exploratória</w:t>
      </w:r>
    </w:p>
    <w:p w14:paraId="45E5BD99" w14:textId="09121692" w:rsidR="002F795F" w:rsidRPr="007F2C6A" w:rsidRDefault="002F795F" w:rsidP="00265572">
      <w:pPr>
        <w:spacing w:line="360" w:lineRule="auto"/>
        <w:rPr>
          <w:rFonts w:asciiTheme="minorHAnsi" w:hAnsiTheme="minorHAnsi"/>
        </w:rPr>
      </w:pPr>
      <w:r w:rsidRPr="007F2C6A">
        <w:rPr>
          <w:rFonts w:asciiTheme="minorHAnsi" w:hAnsiTheme="minorHAnsi"/>
        </w:rPr>
        <w:t xml:space="preserve">AFC Análise </w:t>
      </w:r>
      <w:r w:rsidR="007F2C6A" w:rsidRPr="007F2C6A">
        <w:rPr>
          <w:rFonts w:asciiTheme="minorHAnsi" w:hAnsiTheme="minorHAnsi"/>
        </w:rPr>
        <w:t>fatorial</w:t>
      </w:r>
      <w:r w:rsidRPr="007F2C6A">
        <w:rPr>
          <w:rFonts w:asciiTheme="minorHAnsi" w:hAnsiTheme="minorHAnsi"/>
        </w:rPr>
        <w:t xml:space="preserve"> confirmatória</w:t>
      </w:r>
    </w:p>
    <w:p w14:paraId="5E09387B" w14:textId="244C04AF" w:rsidR="002F795F" w:rsidRPr="00265572" w:rsidRDefault="002F795F" w:rsidP="00265572">
      <w:pPr>
        <w:spacing w:line="360" w:lineRule="auto"/>
        <w:rPr>
          <w:rFonts w:asciiTheme="minorHAnsi" w:hAnsiTheme="minorHAnsi"/>
          <w:lang w:val="en-US"/>
        </w:rPr>
      </w:pPr>
      <w:r w:rsidRPr="00265572">
        <w:rPr>
          <w:rFonts w:asciiTheme="minorHAnsi" w:hAnsiTheme="minorHAnsi"/>
          <w:lang w:val="en-US"/>
        </w:rPr>
        <w:t>SEM Estructural equation modelling</w:t>
      </w:r>
    </w:p>
    <w:p w14:paraId="135C7CED" w14:textId="38C371A3" w:rsidR="002F795F" w:rsidRPr="00265572" w:rsidRDefault="002F795F" w:rsidP="00265572">
      <w:pPr>
        <w:spacing w:line="360" w:lineRule="auto"/>
        <w:rPr>
          <w:rFonts w:asciiTheme="minorHAnsi" w:hAnsiTheme="minorHAnsi"/>
          <w:lang w:val="en-US"/>
        </w:rPr>
      </w:pPr>
      <w:r w:rsidRPr="00265572">
        <w:rPr>
          <w:rFonts w:asciiTheme="minorHAnsi" w:hAnsiTheme="minorHAnsi"/>
          <w:lang w:val="en-US"/>
        </w:rPr>
        <w:t>SRMR Standardized Root Mean Square Residua</w:t>
      </w:r>
      <w:r w:rsidR="00265572" w:rsidRPr="00265572">
        <w:rPr>
          <w:rFonts w:asciiTheme="minorHAnsi" w:hAnsiTheme="minorHAnsi"/>
          <w:lang w:val="en-US"/>
        </w:rPr>
        <w:t>l</w:t>
      </w:r>
    </w:p>
    <w:p w14:paraId="3420948A" w14:textId="209B995D" w:rsidR="002F795F" w:rsidRPr="00265572" w:rsidRDefault="00265572" w:rsidP="00265572">
      <w:pPr>
        <w:spacing w:line="360" w:lineRule="auto"/>
        <w:rPr>
          <w:rFonts w:asciiTheme="minorHAnsi" w:hAnsiTheme="minorHAnsi"/>
          <w:lang w:val="en-US"/>
        </w:rPr>
      </w:pPr>
      <w:r w:rsidRPr="00265572">
        <w:rPr>
          <w:rFonts w:asciiTheme="minorHAnsi" w:hAnsiTheme="minorHAnsi"/>
          <w:lang w:val="en-US"/>
        </w:rPr>
        <w:t xml:space="preserve">CFI </w:t>
      </w:r>
      <w:r w:rsidR="002F795F" w:rsidRPr="00265572">
        <w:rPr>
          <w:rFonts w:asciiTheme="minorHAnsi" w:hAnsiTheme="minorHAnsi"/>
          <w:lang w:val="en-US"/>
        </w:rPr>
        <w:t>Comparative Fit Index</w:t>
      </w:r>
    </w:p>
    <w:p w14:paraId="60EF3CAF" w14:textId="1121EFE3" w:rsidR="002F795F" w:rsidRPr="00265572" w:rsidRDefault="00265572" w:rsidP="00265572">
      <w:pPr>
        <w:spacing w:line="360" w:lineRule="auto"/>
        <w:rPr>
          <w:rFonts w:asciiTheme="minorHAnsi" w:hAnsiTheme="minorHAnsi"/>
          <w:lang w:val="en-US"/>
        </w:rPr>
      </w:pPr>
      <w:r w:rsidRPr="00265572">
        <w:rPr>
          <w:rFonts w:asciiTheme="minorHAnsi" w:hAnsiTheme="minorHAnsi"/>
          <w:lang w:val="en-US"/>
        </w:rPr>
        <w:t xml:space="preserve">TLI </w:t>
      </w:r>
      <w:r w:rsidR="002F795F" w:rsidRPr="00265572">
        <w:rPr>
          <w:rFonts w:asciiTheme="minorHAnsi" w:hAnsiTheme="minorHAnsi"/>
          <w:lang w:val="en-US"/>
        </w:rPr>
        <w:t>Tucker-Lewis Index)</w:t>
      </w:r>
    </w:p>
    <w:p w14:paraId="620DADCB" w14:textId="52AB798B" w:rsidR="00265572" w:rsidRPr="00265572" w:rsidRDefault="00265572" w:rsidP="00265572">
      <w:pPr>
        <w:spacing w:line="360" w:lineRule="auto"/>
        <w:rPr>
          <w:rFonts w:asciiTheme="minorHAnsi" w:hAnsiTheme="minorHAnsi"/>
          <w:sz w:val="48"/>
          <w:szCs w:val="48"/>
          <w:lang w:val="en-US"/>
        </w:rPr>
      </w:pPr>
      <w:r w:rsidRPr="00265572">
        <w:rPr>
          <w:rFonts w:asciiTheme="minorHAnsi" w:hAnsiTheme="minorHAnsi"/>
          <w:lang w:val="en-US"/>
        </w:rPr>
        <w:t xml:space="preserve">AVE </w:t>
      </w:r>
      <w:r>
        <w:rPr>
          <w:rFonts w:asciiTheme="minorHAnsi" w:hAnsiTheme="minorHAnsi"/>
          <w:lang w:val="en-US"/>
        </w:rPr>
        <w:t>Average Variance E</w:t>
      </w:r>
      <w:r w:rsidRPr="00265572">
        <w:rPr>
          <w:rFonts w:asciiTheme="minorHAnsi" w:hAnsiTheme="minorHAnsi"/>
          <w:lang w:val="en-US"/>
        </w:rPr>
        <w:t xml:space="preserve">xtracted </w:t>
      </w:r>
    </w:p>
    <w:p w14:paraId="41A29900" w14:textId="584C86F5" w:rsidR="00265572" w:rsidRPr="00265572" w:rsidRDefault="00265572" w:rsidP="00265572">
      <w:pPr>
        <w:spacing w:line="360" w:lineRule="auto"/>
        <w:rPr>
          <w:rFonts w:asciiTheme="minorHAnsi" w:hAnsiTheme="minorHAnsi"/>
          <w:sz w:val="48"/>
          <w:szCs w:val="48"/>
          <w:lang w:val="en-US"/>
        </w:rPr>
      </w:pPr>
      <w:r w:rsidRPr="00265572">
        <w:rPr>
          <w:rFonts w:asciiTheme="minorHAnsi" w:hAnsiTheme="minorHAnsi"/>
          <w:lang w:val="en-US"/>
        </w:rPr>
        <w:t xml:space="preserve">CR </w:t>
      </w:r>
      <w:r>
        <w:rPr>
          <w:rFonts w:asciiTheme="minorHAnsi" w:hAnsiTheme="minorHAnsi"/>
          <w:lang w:val="en-US"/>
        </w:rPr>
        <w:t>Composite R</w:t>
      </w:r>
      <w:r w:rsidRPr="00265572">
        <w:rPr>
          <w:rFonts w:asciiTheme="minorHAnsi" w:hAnsiTheme="minorHAnsi"/>
          <w:lang w:val="en-US"/>
        </w:rPr>
        <w:t>eliability</w:t>
      </w:r>
    </w:p>
    <w:p w14:paraId="77829468" w14:textId="77777777" w:rsidR="00265572" w:rsidRPr="00265572" w:rsidRDefault="00265572" w:rsidP="002F795F">
      <w:pPr>
        <w:rPr>
          <w:rFonts w:asciiTheme="minorHAnsi" w:hAnsiTheme="minorHAnsi"/>
          <w:lang w:val="en-US"/>
        </w:rPr>
      </w:pPr>
    </w:p>
    <w:p w14:paraId="497F378F" w14:textId="30B63D83" w:rsidR="00265572" w:rsidRPr="00265572" w:rsidRDefault="00265572" w:rsidP="002F795F">
      <w:pPr>
        <w:rPr>
          <w:lang w:val="en-US"/>
        </w:rPr>
      </w:pPr>
    </w:p>
    <w:p w14:paraId="77CFFC10" w14:textId="77777777" w:rsidR="00ED2DAB" w:rsidRPr="00265572" w:rsidRDefault="00ED2DAB" w:rsidP="001F22A9">
      <w:pPr>
        <w:spacing w:after="240" w:line="360" w:lineRule="auto"/>
        <w:rPr>
          <w:rFonts w:asciiTheme="minorHAnsi" w:hAnsiTheme="minorHAnsi"/>
          <w:b/>
          <w:lang w:val="en-US"/>
        </w:rPr>
      </w:pPr>
    </w:p>
    <w:p w14:paraId="4C56948A" w14:textId="77777777" w:rsidR="001F22A9" w:rsidRPr="00265572" w:rsidRDefault="001F22A9" w:rsidP="001F22A9">
      <w:pPr>
        <w:spacing w:line="360" w:lineRule="auto"/>
        <w:rPr>
          <w:rFonts w:asciiTheme="minorHAnsi" w:hAnsiTheme="minorHAnsi"/>
          <w:b/>
          <w:lang w:val="en-US"/>
        </w:rPr>
      </w:pPr>
    </w:p>
    <w:p w14:paraId="0645DA41" w14:textId="77777777" w:rsidR="001F22A9" w:rsidRPr="00265572" w:rsidRDefault="001F22A9" w:rsidP="001F22A9">
      <w:pPr>
        <w:spacing w:after="240" w:line="360" w:lineRule="auto"/>
        <w:rPr>
          <w:rFonts w:asciiTheme="minorHAnsi" w:hAnsiTheme="minorHAnsi"/>
          <w:b/>
          <w:lang w:val="en-US"/>
        </w:rPr>
      </w:pPr>
    </w:p>
    <w:p w14:paraId="12DE8AE6" w14:textId="77777777" w:rsidR="001F22A9" w:rsidRPr="00265572" w:rsidRDefault="001F22A9" w:rsidP="001F22A9">
      <w:pPr>
        <w:spacing w:after="240" w:line="360" w:lineRule="auto"/>
        <w:rPr>
          <w:rFonts w:asciiTheme="minorHAnsi" w:hAnsiTheme="minorHAnsi"/>
          <w:b/>
          <w:lang w:val="en-US"/>
        </w:rPr>
      </w:pPr>
    </w:p>
    <w:p w14:paraId="46521BCB" w14:textId="77777777" w:rsidR="00B34F86" w:rsidRPr="00265572" w:rsidRDefault="00B34F86" w:rsidP="001F22A9">
      <w:pPr>
        <w:spacing w:after="240" w:line="360" w:lineRule="auto"/>
        <w:rPr>
          <w:rFonts w:asciiTheme="minorHAnsi" w:hAnsiTheme="minorHAnsi"/>
          <w:b/>
          <w:lang w:val="en-US"/>
        </w:rPr>
      </w:pPr>
    </w:p>
    <w:p w14:paraId="57011F26" w14:textId="77777777" w:rsidR="00B34F86" w:rsidRPr="00265572" w:rsidRDefault="00B34F86" w:rsidP="001F22A9">
      <w:pPr>
        <w:spacing w:after="240" w:line="360" w:lineRule="auto"/>
        <w:rPr>
          <w:rFonts w:asciiTheme="minorHAnsi" w:hAnsiTheme="minorHAnsi"/>
          <w:b/>
          <w:lang w:val="en-US"/>
        </w:rPr>
      </w:pPr>
    </w:p>
    <w:p w14:paraId="6114DDED" w14:textId="77777777" w:rsidR="00B34F86" w:rsidRPr="00265572" w:rsidRDefault="00B34F86" w:rsidP="001F22A9">
      <w:pPr>
        <w:spacing w:after="240" w:line="360" w:lineRule="auto"/>
        <w:rPr>
          <w:rFonts w:asciiTheme="minorHAnsi" w:hAnsiTheme="minorHAnsi"/>
          <w:b/>
          <w:lang w:val="en-US"/>
        </w:rPr>
      </w:pPr>
    </w:p>
    <w:p w14:paraId="7892C73A" w14:textId="77777777" w:rsidR="00B34F86" w:rsidRPr="00265572" w:rsidRDefault="00B34F86" w:rsidP="001F22A9">
      <w:pPr>
        <w:spacing w:after="240" w:line="360" w:lineRule="auto"/>
        <w:rPr>
          <w:rFonts w:asciiTheme="minorHAnsi" w:hAnsiTheme="minorHAnsi"/>
          <w:b/>
          <w:lang w:val="en-US"/>
        </w:rPr>
      </w:pPr>
    </w:p>
    <w:p w14:paraId="6DF63C5E" w14:textId="77777777" w:rsidR="001F22A9" w:rsidRDefault="001F22A9" w:rsidP="001F22A9">
      <w:pPr>
        <w:spacing w:line="360" w:lineRule="auto"/>
        <w:rPr>
          <w:rFonts w:asciiTheme="minorHAnsi" w:hAnsiTheme="minorHAnsi"/>
          <w:b/>
          <w:lang w:val="en-US"/>
        </w:rPr>
      </w:pPr>
    </w:p>
    <w:p w14:paraId="1127E87C" w14:textId="77777777" w:rsidR="00574FF8" w:rsidRDefault="00574FF8" w:rsidP="001F22A9">
      <w:pPr>
        <w:spacing w:line="360" w:lineRule="auto"/>
        <w:rPr>
          <w:rFonts w:asciiTheme="minorHAnsi" w:hAnsiTheme="minorHAnsi"/>
          <w:b/>
          <w:lang w:val="en-US"/>
        </w:rPr>
      </w:pPr>
    </w:p>
    <w:p w14:paraId="6F870ECB" w14:textId="77777777" w:rsidR="00574FF8" w:rsidRDefault="00574FF8" w:rsidP="001F22A9">
      <w:pPr>
        <w:spacing w:line="360" w:lineRule="auto"/>
        <w:rPr>
          <w:rFonts w:asciiTheme="minorHAnsi" w:hAnsiTheme="minorHAnsi"/>
          <w:b/>
          <w:lang w:val="en-US"/>
        </w:rPr>
      </w:pPr>
    </w:p>
    <w:p w14:paraId="2B4F7968" w14:textId="77777777" w:rsidR="00574FF8" w:rsidRDefault="00574FF8" w:rsidP="001F22A9">
      <w:pPr>
        <w:spacing w:line="360" w:lineRule="auto"/>
        <w:rPr>
          <w:rFonts w:asciiTheme="minorHAnsi" w:hAnsiTheme="minorHAnsi"/>
          <w:b/>
          <w:lang w:val="en-US"/>
        </w:rPr>
      </w:pPr>
    </w:p>
    <w:p w14:paraId="22F167C5" w14:textId="77777777" w:rsidR="00574FF8" w:rsidRPr="00265572" w:rsidRDefault="00574FF8" w:rsidP="001F22A9">
      <w:pPr>
        <w:spacing w:line="360" w:lineRule="auto"/>
        <w:rPr>
          <w:rFonts w:asciiTheme="minorHAnsi" w:hAnsiTheme="minorHAnsi"/>
          <w:b/>
          <w:lang w:val="en-US"/>
        </w:rPr>
      </w:pPr>
    </w:p>
    <w:p w14:paraId="60E76458" w14:textId="77777777" w:rsidR="001F22A9" w:rsidRPr="00265572" w:rsidRDefault="001F22A9" w:rsidP="001F22A9">
      <w:pPr>
        <w:spacing w:line="360" w:lineRule="auto"/>
        <w:rPr>
          <w:rFonts w:asciiTheme="minorHAnsi" w:hAnsiTheme="minorHAnsi"/>
          <w:b/>
          <w:lang w:val="en-US"/>
        </w:rPr>
      </w:pPr>
    </w:p>
    <w:sdt>
      <w:sdtPr>
        <w:rPr>
          <w:rFonts w:ascii="Times New Roman" w:eastAsia="Times New Roman" w:hAnsi="Times New Roman" w:cs="Times New Roman"/>
          <w:color w:val="auto"/>
          <w:sz w:val="24"/>
          <w:szCs w:val="24"/>
        </w:rPr>
        <w:id w:val="-1081372787"/>
        <w:docPartObj>
          <w:docPartGallery w:val="Table of Contents"/>
          <w:docPartUnique/>
        </w:docPartObj>
      </w:sdtPr>
      <w:sdtEndPr>
        <w:rPr>
          <w:b/>
          <w:bCs/>
        </w:rPr>
      </w:sdtEndPr>
      <w:sdtContent>
        <w:p w14:paraId="73A93AFD" w14:textId="16E163FF" w:rsidR="00CB1429" w:rsidRPr="00AB315F" w:rsidRDefault="00CB1429">
          <w:pPr>
            <w:pStyle w:val="CabealhodoSumrio"/>
            <w:rPr>
              <w:color w:val="auto"/>
            </w:rPr>
          </w:pPr>
          <w:r w:rsidRPr="00AB315F">
            <w:rPr>
              <w:color w:val="auto"/>
            </w:rPr>
            <w:t>Sumário</w:t>
          </w:r>
        </w:p>
        <w:p w14:paraId="6089FD98" w14:textId="77777777" w:rsidR="00574FF8" w:rsidRDefault="00CB1429">
          <w:pPr>
            <w:pStyle w:val="Sumrio1"/>
            <w:tabs>
              <w:tab w:val="right" w:leader="dot" w:pos="8494"/>
            </w:tabs>
            <w:rPr>
              <w:rFonts w:asciiTheme="minorHAnsi" w:eastAsiaTheme="minorEastAsia" w:hAnsiTheme="minorHAnsi" w:cstheme="minorBidi"/>
              <w:noProof/>
              <w:sz w:val="22"/>
              <w:szCs w:val="22"/>
            </w:rPr>
          </w:pPr>
          <w:r w:rsidRPr="00AB315F">
            <w:fldChar w:fldCharType="begin"/>
          </w:r>
          <w:r w:rsidRPr="00AB315F">
            <w:instrText xml:space="preserve"> TOC \o "1-3" \h \z \u </w:instrText>
          </w:r>
          <w:r w:rsidRPr="00AB315F">
            <w:fldChar w:fldCharType="separate"/>
          </w:r>
          <w:hyperlink w:anchor="_Toc456241238" w:history="1">
            <w:r w:rsidR="00574FF8" w:rsidRPr="006D7AF1">
              <w:rPr>
                <w:rStyle w:val="Hyperlink"/>
                <w:b/>
                <w:noProof/>
              </w:rPr>
              <w:t>Introdução</w:t>
            </w:r>
            <w:r w:rsidR="00574FF8">
              <w:rPr>
                <w:noProof/>
                <w:webHidden/>
              </w:rPr>
              <w:tab/>
            </w:r>
            <w:r w:rsidR="00574FF8">
              <w:rPr>
                <w:noProof/>
                <w:webHidden/>
              </w:rPr>
              <w:fldChar w:fldCharType="begin"/>
            </w:r>
            <w:r w:rsidR="00574FF8">
              <w:rPr>
                <w:noProof/>
                <w:webHidden/>
              </w:rPr>
              <w:instrText xml:space="preserve"> PAGEREF _Toc456241238 \h </w:instrText>
            </w:r>
            <w:r w:rsidR="00574FF8">
              <w:rPr>
                <w:noProof/>
                <w:webHidden/>
              </w:rPr>
            </w:r>
            <w:r w:rsidR="00574FF8">
              <w:rPr>
                <w:noProof/>
                <w:webHidden/>
              </w:rPr>
              <w:fldChar w:fldCharType="separate"/>
            </w:r>
            <w:r w:rsidR="00423674">
              <w:rPr>
                <w:noProof/>
                <w:webHidden/>
              </w:rPr>
              <w:t>13</w:t>
            </w:r>
            <w:r w:rsidR="00574FF8">
              <w:rPr>
                <w:noProof/>
                <w:webHidden/>
              </w:rPr>
              <w:fldChar w:fldCharType="end"/>
            </w:r>
          </w:hyperlink>
        </w:p>
        <w:p w14:paraId="28D29C1E" w14:textId="77777777" w:rsidR="00574FF8" w:rsidRDefault="005D065B">
          <w:pPr>
            <w:pStyle w:val="Sumrio1"/>
            <w:tabs>
              <w:tab w:val="right" w:leader="dot" w:pos="8494"/>
            </w:tabs>
            <w:rPr>
              <w:rFonts w:asciiTheme="minorHAnsi" w:eastAsiaTheme="minorEastAsia" w:hAnsiTheme="minorHAnsi" w:cstheme="minorBidi"/>
              <w:noProof/>
              <w:sz w:val="22"/>
              <w:szCs w:val="22"/>
            </w:rPr>
          </w:pPr>
          <w:hyperlink w:anchor="_Toc456241239" w:history="1">
            <w:r w:rsidR="00574FF8" w:rsidRPr="006D7AF1">
              <w:rPr>
                <w:rStyle w:val="Hyperlink"/>
                <w:b/>
                <w:noProof/>
              </w:rPr>
              <w:t>Capítulo 1: Referenciais</w:t>
            </w:r>
            <w:r w:rsidR="00574FF8">
              <w:rPr>
                <w:noProof/>
                <w:webHidden/>
              </w:rPr>
              <w:tab/>
            </w:r>
            <w:r w:rsidR="00574FF8">
              <w:rPr>
                <w:noProof/>
                <w:webHidden/>
              </w:rPr>
              <w:fldChar w:fldCharType="begin"/>
            </w:r>
            <w:r w:rsidR="00574FF8">
              <w:rPr>
                <w:noProof/>
                <w:webHidden/>
              </w:rPr>
              <w:instrText xml:space="preserve"> PAGEREF _Toc456241239 \h </w:instrText>
            </w:r>
            <w:r w:rsidR="00574FF8">
              <w:rPr>
                <w:noProof/>
                <w:webHidden/>
              </w:rPr>
            </w:r>
            <w:r w:rsidR="00574FF8">
              <w:rPr>
                <w:noProof/>
                <w:webHidden/>
              </w:rPr>
              <w:fldChar w:fldCharType="separate"/>
            </w:r>
            <w:r w:rsidR="00423674">
              <w:rPr>
                <w:noProof/>
                <w:webHidden/>
              </w:rPr>
              <w:t>19</w:t>
            </w:r>
            <w:r w:rsidR="00574FF8">
              <w:rPr>
                <w:noProof/>
                <w:webHidden/>
              </w:rPr>
              <w:fldChar w:fldCharType="end"/>
            </w:r>
          </w:hyperlink>
        </w:p>
        <w:p w14:paraId="32BBF3F4"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40" w:history="1">
            <w:r w:rsidR="00574FF8" w:rsidRPr="006D7AF1">
              <w:rPr>
                <w:rStyle w:val="Hyperlink"/>
                <w:noProof/>
              </w:rPr>
              <w:t>1.1 Emergência de erros na de coleta dos dados</w:t>
            </w:r>
            <w:r w:rsidR="00574FF8">
              <w:rPr>
                <w:noProof/>
                <w:webHidden/>
              </w:rPr>
              <w:tab/>
            </w:r>
            <w:r w:rsidR="00574FF8">
              <w:rPr>
                <w:noProof/>
                <w:webHidden/>
              </w:rPr>
              <w:fldChar w:fldCharType="begin"/>
            </w:r>
            <w:r w:rsidR="00574FF8">
              <w:rPr>
                <w:noProof/>
                <w:webHidden/>
              </w:rPr>
              <w:instrText xml:space="preserve"> PAGEREF _Toc456241240 \h </w:instrText>
            </w:r>
            <w:r w:rsidR="00574FF8">
              <w:rPr>
                <w:noProof/>
                <w:webHidden/>
              </w:rPr>
            </w:r>
            <w:r w:rsidR="00574FF8">
              <w:rPr>
                <w:noProof/>
                <w:webHidden/>
              </w:rPr>
              <w:fldChar w:fldCharType="separate"/>
            </w:r>
            <w:r w:rsidR="00423674">
              <w:rPr>
                <w:noProof/>
                <w:webHidden/>
              </w:rPr>
              <w:t>24</w:t>
            </w:r>
            <w:r w:rsidR="00574FF8">
              <w:rPr>
                <w:noProof/>
                <w:webHidden/>
              </w:rPr>
              <w:fldChar w:fldCharType="end"/>
            </w:r>
          </w:hyperlink>
        </w:p>
        <w:p w14:paraId="6F8AB54C" w14:textId="77777777" w:rsidR="00574FF8" w:rsidRDefault="005D065B">
          <w:pPr>
            <w:pStyle w:val="Sumrio3"/>
            <w:tabs>
              <w:tab w:val="right" w:leader="dot" w:pos="8494"/>
            </w:tabs>
            <w:rPr>
              <w:rFonts w:asciiTheme="minorHAnsi" w:eastAsiaTheme="minorEastAsia" w:hAnsiTheme="minorHAnsi" w:cstheme="minorBidi"/>
              <w:noProof/>
              <w:sz w:val="22"/>
              <w:szCs w:val="22"/>
            </w:rPr>
          </w:pPr>
          <w:hyperlink w:anchor="_Toc456241241" w:history="1">
            <w:r w:rsidR="00574FF8" w:rsidRPr="006D7AF1">
              <w:rPr>
                <w:rStyle w:val="Hyperlink"/>
                <w:noProof/>
              </w:rPr>
              <w:t>1.1.1 Desejabilidade Social</w:t>
            </w:r>
            <w:r w:rsidR="00574FF8">
              <w:rPr>
                <w:noProof/>
                <w:webHidden/>
              </w:rPr>
              <w:tab/>
            </w:r>
            <w:r w:rsidR="00574FF8">
              <w:rPr>
                <w:noProof/>
                <w:webHidden/>
              </w:rPr>
              <w:fldChar w:fldCharType="begin"/>
            </w:r>
            <w:r w:rsidR="00574FF8">
              <w:rPr>
                <w:noProof/>
                <w:webHidden/>
              </w:rPr>
              <w:instrText xml:space="preserve"> PAGEREF _Toc456241241 \h </w:instrText>
            </w:r>
            <w:r w:rsidR="00574FF8">
              <w:rPr>
                <w:noProof/>
                <w:webHidden/>
              </w:rPr>
            </w:r>
            <w:r w:rsidR="00574FF8">
              <w:rPr>
                <w:noProof/>
                <w:webHidden/>
              </w:rPr>
              <w:fldChar w:fldCharType="separate"/>
            </w:r>
            <w:r w:rsidR="00423674">
              <w:rPr>
                <w:noProof/>
                <w:webHidden/>
              </w:rPr>
              <w:t>25</w:t>
            </w:r>
            <w:r w:rsidR="00574FF8">
              <w:rPr>
                <w:noProof/>
                <w:webHidden/>
              </w:rPr>
              <w:fldChar w:fldCharType="end"/>
            </w:r>
          </w:hyperlink>
        </w:p>
        <w:p w14:paraId="375A26C3" w14:textId="77777777" w:rsidR="00574FF8" w:rsidRDefault="005D065B">
          <w:pPr>
            <w:pStyle w:val="Sumrio3"/>
            <w:tabs>
              <w:tab w:val="right" w:leader="dot" w:pos="8494"/>
            </w:tabs>
            <w:rPr>
              <w:rFonts w:asciiTheme="minorHAnsi" w:eastAsiaTheme="minorEastAsia" w:hAnsiTheme="minorHAnsi" w:cstheme="minorBidi"/>
              <w:noProof/>
              <w:sz w:val="22"/>
              <w:szCs w:val="22"/>
            </w:rPr>
          </w:pPr>
          <w:hyperlink w:anchor="_Toc456241242" w:history="1">
            <w:r w:rsidR="00574FF8" w:rsidRPr="006D7AF1">
              <w:rPr>
                <w:rStyle w:val="Hyperlink"/>
                <w:noProof/>
              </w:rPr>
              <w:t>1.1.2 Não-atitude</w:t>
            </w:r>
            <w:r w:rsidR="00574FF8">
              <w:rPr>
                <w:noProof/>
                <w:webHidden/>
              </w:rPr>
              <w:tab/>
            </w:r>
            <w:r w:rsidR="00574FF8">
              <w:rPr>
                <w:noProof/>
                <w:webHidden/>
              </w:rPr>
              <w:fldChar w:fldCharType="begin"/>
            </w:r>
            <w:r w:rsidR="00574FF8">
              <w:rPr>
                <w:noProof/>
                <w:webHidden/>
              </w:rPr>
              <w:instrText xml:space="preserve"> PAGEREF _Toc456241242 \h </w:instrText>
            </w:r>
            <w:r w:rsidR="00574FF8">
              <w:rPr>
                <w:noProof/>
                <w:webHidden/>
              </w:rPr>
            </w:r>
            <w:r w:rsidR="00574FF8">
              <w:rPr>
                <w:noProof/>
                <w:webHidden/>
              </w:rPr>
              <w:fldChar w:fldCharType="separate"/>
            </w:r>
            <w:r w:rsidR="00423674">
              <w:rPr>
                <w:noProof/>
                <w:webHidden/>
              </w:rPr>
              <w:t>30</w:t>
            </w:r>
            <w:r w:rsidR="00574FF8">
              <w:rPr>
                <w:noProof/>
                <w:webHidden/>
              </w:rPr>
              <w:fldChar w:fldCharType="end"/>
            </w:r>
          </w:hyperlink>
        </w:p>
        <w:p w14:paraId="188DCDF3" w14:textId="77777777" w:rsidR="00574FF8" w:rsidRDefault="005D065B">
          <w:pPr>
            <w:pStyle w:val="Sumrio3"/>
            <w:tabs>
              <w:tab w:val="right" w:leader="dot" w:pos="8494"/>
            </w:tabs>
            <w:rPr>
              <w:rFonts w:asciiTheme="minorHAnsi" w:eastAsiaTheme="minorEastAsia" w:hAnsiTheme="minorHAnsi" w:cstheme="minorBidi"/>
              <w:noProof/>
              <w:sz w:val="22"/>
              <w:szCs w:val="22"/>
            </w:rPr>
          </w:pPr>
          <w:hyperlink w:anchor="_Toc456241243" w:history="1">
            <w:r w:rsidR="00574FF8" w:rsidRPr="006D7AF1">
              <w:rPr>
                <w:rStyle w:val="Hyperlink"/>
                <w:noProof/>
              </w:rPr>
              <w:t>1.1.3 Não-resposta</w:t>
            </w:r>
            <w:r w:rsidR="00574FF8">
              <w:rPr>
                <w:noProof/>
                <w:webHidden/>
              </w:rPr>
              <w:tab/>
            </w:r>
            <w:r w:rsidR="00574FF8">
              <w:rPr>
                <w:noProof/>
                <w:webHidden/>
              </w:rPr>
              <w:fldChar w:fldCharType="begin"/>
            </w:r>
            <w:r w:rsidR="00574FF8">
              <w:rPr>
                <w:noProof/>
                <w:webHidden/>
              </w:rPr>
              <w:instrText xml:space="preserve"> PAGEREF _Toc456241243 \h </w:instrText>
            </w:r>
            <w:r w:rsidR="00574FF8">
              <w:rPr>
                <w:noProof/>
                <w:webHidden/>
              </w:rPr>
            </w:r>
            <w:r w:rsidR="00574FF8">
              <w:rPr>
                <w:noProof/>
                <w:webHidden/>
              </w:rPr>
              <w:fldChar w:fldCharType="separate"/>
            </w:r>
            <w:r w:rsidR="00423674">
              <w:rPr>
                <w:noProof/>
                <w:webHidden/>
              </w:rPr>
              <w:t>31</w:t>
            </w:r>
            <w:r w:rsidR="00574FF8">
              <w:rPr>
                <w:noProof/>
                <w:webHidden/>
              </w:rPr>
              <w:fldChar w:fldCharType="end"/>
            </w:r>
          </w:hyperlink>
        </w:p>
        <w:p w14:paraId="1322A538" w14:textId="77777777" w:rsidR="00574FF8" w:rsidRDefault="005D065B">
          <w:pPr>
            <w:pStyle w:val="Sumrio3"/>
            <w:tabs>
              <w:tab w:val="right" w:leader="dot" w:pos="8494"/>
            </w:tabs>
            <w:rPr>
              <w:rFonts w:asciiTheme="minorHAnsi" w:eastAsiaTheme="minorEastAsia" w:hAnsiTheme="minorHAnsi" w:cstheme="minorBidi"/>
              <w:noProof/>
              <w:sz w:val="22"/>
              <w:szCs w:val="22"/>
            </w:rPr>
          </w:pPr>
          <w:hyperlink w:anchor="_Toc456241244" w:history="1">
            <w:r w:rsidR="00574FF8" w:rsidRPr="006D7AF1">
              <w:rPr>
                <w:rStyle w:val="Hyperlink"/>
                <w:noProof/>
              </w:rPr>
              <w:t>1.1.4 Escalas enviesadas</w:t>
            </w:r>
            <w:r w:rsidR="00574FF8">
              <w:rPr>
                <w:noProof/>
                <w:webHidden/>
              </w:rPr>
              <w:tab/>
            </w:r>
            <w:r w:rsidR="00574FF8">
              <w:rPr>
                <w:noProof/>
                <w:webHidden/>
              </w:rPr>
              <w:fldChar w:fldCharType="begin"/>
            </w:r>
            <w:r w:rsidR="00574FF8">
              <w:rPr>
                <w:noProof/>
                <w:webHidden/>
              </w:rPr>
              <w:instrText xml:space="preserve"> PAGEREF _Toc456241244 \h </w:instrText>
            </w:r>
            <w:r w:rsidR="00574FF8">
              <w:rPr>
                <w:noProof/>
                <w:webHidden/>
              </w:rPr>
            </w:r>
            <w:r w:rsidR="00574FF8">
              <w:rPr>
                <w:noProof/>
                <w:webHidden/>
              </w:rPr>
              <w:fldChar w:fldCharType="separate"/>
            </w:r>
            <w:r w:rsidR="00423674">
              <w:rPr>
                <w:noProof/>
                <w:webHidden/>
              </w:rPr>
              <w:t>31</w:t>
            </w:r>
            <w:r w:rsidR="00574FF8">
              <w:rPr>
                <w:noProof/>
                <w:webHidden/>
              </w:rPr>
              <w:fldChar w:fldCharType="end"/>
            </w:r>
          </w:hyperlink>
        </w:p>
        <w:p w14:paraId="332902D4"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45" w:history="1">
            <w:r w:rsidR="00574FF8" w:rsidRPr="006D7AF1">
              <w:rPr>
                <w:rStyle w:val="Hyperlink"/>
                <w:noProof/>
              </w:rPr>
              <w:t>1.2 A opinião pública, dinâmica e efeitos</w:t>
            </w:r>
            <w:r w:rsidR="00574FF8">
              <w:rPr>
                <w:noProof/>
                <w:webHidden/>
              </w:rPr>
              <w:tab/>
            </w:r>
            <w:r w:rsidR="00574FF8">
              <w:rPr>
                <w:noProof/>
                <w:webHidden/>
              </w:rPr>
              <w:fldChar w:fldCharType="begin"/>
            </w:r>
            <w:r w:rsidR="00574FF8">
              <w:rPr>
                <w:noProof/>
                <w:webHidden/>
              </w:rPr>
              <w:instrText xml:space="preserve"> PAGEREF _Toc456241245 \h </w:instrText>
            </w:r>
            <w:r w:rsidR="00574FF8">
              <w:rPr>
                <w:noProof/>
                <w:webHidden/>
              </w:rPr>
            </w:r>
            <w:r w:rsidR="00574FF8">
              <w:rPr>
                <w:noProof/>
                <w:webHidden/>
              </w:rPr>
              <w:fldChar w:fldCharType="separate"/>
            </w:r>
            <w:r w:rsidR="00423674">
              <w:rPr>
                <w:noProof/>
                <w:webHidden/>
              </w:rPr>
              <w:t>33</w:t>
            </w:r>
            <w:r w:rsidR="00574FF8">
              <w:rPr>
                <w:noProof/>
                <w:webHidden/>
              </w:rPr>
              <w:fldChar w:fldCharType="end"/>
            </w:r>
          </w:hyperlink>
        </w:p>
        <w:p w14:paraId="475E3C4F"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46" w:history="1">
            <w:r w:rsidR="00574FF8" w:rsidRPr="006D7AF1">
              <w:rPr>
                <w:rStyle w:val="Hyperlink"/>
                <w:b/>
                <w:noProof/>
              </w:rPr>
              <w:t>1.3</w:t>
            </w:r>
            <w:r w:rsidR="00574FF8" w:rsidRPr="006D7AF1">
              <w:rPr>
                <w:rStyle w:val="Hyperlink"/>
                <w:noProof/>
              </w:rPr>
              <w:t xml:space="preserve"> A cultura política, a corrupção e a dimensão da aceitação</w:t>
            </w:r>
            <w:r w:rsidR="00574FF8">
              <w:rPr>
                <w:noProof/>
                <w:webHidden/>
              </w:rPr>
              <w:tab/>
            </w:r>
            <w:r w:rsidR="00574FF8">
              <w:rPr>
                <w:noProof/>
                <w:webHidden/>
              </w:rPr>
              <w:fldChar w:fldCharType="begin"/>
            </w:r>
            <w:r w:rsidR="00574FF8">
              <w:rPr>
                <w:noProof/>
                <w:webHidden/>
              </w:rPr>
              <w:instrText xml:space="preserve"> PAGEREF _Toc456241246 \h </w:instrText>
            </w:r>
            <w:r w:rsidR="00574FF8">
              <w:rPr>
                <w:noProof/>
                <w:webHidden/>
              </w:rPr>
            </w:r>
            <w:r w:rsidR="00574FF8">
              <w:rPr>
                <w:noProof/>
                <w:webHidden/>
              </w:rPr>
              <w:fldChar w:fldCharType="separate"/>
            </w:r>
            <w:r w:rsidR="00423674">
              <w:rPr>
                <w:noProof/>
                <w:webHidden/>
              </w:rPr>
              <w:t>40</w:t>
            </w:r>
            <w:r w:rsidR="00574FF8">
              <w:rPr>
                <w:noProof/>
                <w:webHidden/>
              </w:rPr>
              <w:fldChar w:fldCharType="end"/>
            </w:r>
          </w:hyperlink>
        </w:p>
        <w:p w14:paraId="053C6C82"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47" w:history="1">
            <w:r w:rsidR="00574FF8" w:rsidRPr="006D7AF1">
              <w:rPr>
                <w:rStyle w:val="Hyperlink"/>
                <w:noProof/>
              </w:rPr>
              <w:t>1.4 Achados e operacionalização da “aceitação a corrupção” na literatura</w:t>
            </w:r>
            <w:r w:rsidR="00574FF8">
              <w:rPr>
                <w:noProof/>
                <w:webHidden/>
              </w:rPr>
              <w:tab/>
            </w:r>
            <w:r w:rsidR="00574FF8">
              <w:rPr>
                <w:noProof/>
                <w:webHidden/>
              </w:rPr>
              <w:fldChar w:fldCharType="begin"/>
            </w:r>
            <w:r w:rsidR="00574FF8">
              <w:rPr>
                <w:noProof/>
                <w:webHidden/>
              </w:rPr>
              <w:instrText xml:space="preserve"> PAGEREF _Toc456241247 \h </w:instrText>
            </w:r>
            <w:r w:rsidR="00574FF8">
              <w:rPr>
                <w:noProof/>
                <w:webHidden/>
              </w:rPr>
            </w:r>
            <w:r w:rsidR="00574FF8">
              <w:rPr>
                <w:noProof/>
                <w:webHidden/>
              </w:rPr>
              <w:fldChar w:fldCharType="separate"/>
            </w:r>
            <w:r w:rsidR="00423674">
              <w:rPr>
                <w:noProof/>
                <w:webHidden/>
              </w:rPr>
              <w:t>47</w:t>
            </w:r>
            <w:r w:rsidR="00574FF8">
              <w:rPr>
                <w:noProof/>
                <w:webHidden/>
              </w:rPr>
              <w:fldChar w:fldCharType="end"/>
            </w:r>
          </w:hyperlink>
        </w:p>
        <w:p w14:paraId="7A1B677A" w14:textId="77777777" w:rsidR="00574FF8" w:rsidRDefault="005D065B">
          <w:pPr>
            <w:pStyle w:val="Sumrio1"/>
            <w:tabs>
              <w:tab w:val="right" w:leader="dot" w:pos="8494"/>
            </w:tabs>
            <w:rPr>
              <w:rFonts w:asciiTheme="minorHAnsi" w:eastAsiaTheme="minorEastAsia" w:hAnsiTheme="minorHAnsi" w:cstheme="minorBidi"/>
              <w:noProof/>
              <w:sz w:val="22"/>
              <w:szCs w:val="22"/>
            </w:rPr>
          </w:pPr>
          <w:hyperlink w:anchor="_Toc456241248" w:history="1">
            <w:r w:rsidR="00574FF8" w:rsidRPr="006D7AF1">
              <w:rPr>
                <w:rStyle w:val="Hyperlink"/>
                <w:b/>
                <w:noProof/>
              </w:rPr>
              <w:t>Capítulo 2:  Validade, Confiabilidade e especificidade contextual.</w:t>
            </w:r>
            <w:r w:rsidR="00574FF8">
              <w:rPr>
                <w:noProof/>
                <w:webHidden/>
              </w:rPr>
              <w:tab/>
            </w:r>
            <w:r w:rsidR="00574FF8">
              <w:rPr>
                <w:noProof/>
                <w:webHidden/>
              </w:rPr>
              <w:fldChar w:fldCharType="begin"/>
            </w:r>
            <w:r w:rsidR="00574FF8">
              <w:rPr>
                <w:noProof/>
                <w:webHidden/>
              </w:rPr>
              <w:instrText xml:space="preserve"> PAGEREF _Toc456241248 \h </w:instrText>
            </w:r>
            <w:r w:rsidR="00574FF8">
              <w:rPr>
                <w:noProof/>
                <w:webHidden/>
              </w:rPr>
            </w:r>
            <w:r w:rsidR="00574FF8">
              <w:rPr>
                <w:noProof/>
                <w:webHidden/>
              </w:rPr>
              <w:fldChar w:fldCharType="separate"/>
            </w:r>
            <w:r w:rsidR="00423674">
              <w:rPr>
                <w:noProof/>
                <w:webHidden/>
              </w:rPr>
              <w:t>52</w:t>
            </w:r>
            <w:r w:rsidR="00574FF8">
              <w:rPr>
                <w:noProof/>
                <w:webHidden/>
              </w:rPr>
              <w:fldChar w:fldCharType="end"/>
            </w:r>
          </w:hyperlink>
        </w:p>
        <w:p w14:paraId="085DB2A1"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49" w:history="1">
            <w:r w:rsidR="00574FF8" w:rsidRPr="006D7AF1">
              <w:rPr>
                <w:rStyle w:val="Hyperlink"/>
                <w:b/>
                <w:noProof/>
              </w:rPr>
              <w:t xml:space="preserve">2.1 </w:t>
            </w:r>
            <w:r w:rsidR="00574FF8" w:rsidRPr="006D7AF1">
              <w:rPr>
                <w:rStyle w:val="Hyperlink"/>
                <w:noProof/>
              </w:rPr>
              <w:t>Validade</w:t>
            </w:r>
            <w:r w:rsidR="00574FF8">
              <w:rPr>
                <w:noProof/>
                <w:webHidden/>
              </w:rPr>
              <w:tab/>
            </w:r>
            <w:r w:rsidR="00574FF8">
              <w:rPr>
                <w:noProof/>
                <w:webHidden/>
              </w:rPr>
              <w:fldChar w:fldCharType="begin"/>
            </w:r>
            <w:r w:rsidR="00574FF8">
              <w:rPr>
                <w:noProof/>
                <w:webHidden/>
              </w:rPr>
              <w:instrText xml:space="preserve"> PAGEREF _Toc456241249 \h </w:instrText>
            </w:r>
            <w:r w:rsidR="00574FF8">
              <w:rPr>
                <w:noProof/>
                <w:webHidden/>
              </w:rPr>
            </w:r>
            <w:r w:rsidR="00574FF8">
              <w:rPr>
                <w:noProof/>
                <w:webHidden/>
              </w:rPr>
              <w:fldChar w:fldCharType="separate"/>
            </w:r>
            <w:r w:rsidR="00423674">
              <w:rPr>
                <w:noProof/>
                <w:webHidden/>
              </w:rPr>
              <w:t>53</w:t>
            </w:r>
            <w:r w:rsidR="00574FF8">
              <w:rPr>
                <w:noProof/>
                <w:webHidden/>
              </w:rPr>
              <w:fldChar w:fldCharType="end"/>
            </w:r>
          </w:hyperlink>
        </w:p>
        <w:p w14:paraId="0D9A6EFB"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50" w:history="1">
            <w:r w:rsidR="00574FF8" w:rsidRPr="006D7AF1">
              <w:rPr>
                <w:rStyle w:val="Hyperlink"/>
                <w:noProof/>
              </w:rPr>
              <w:t>2.2 Confiabilidade</w:t>
            </w:r>
            <w:r w:rsidR="00574FF8">
              <w:rPr>
                <w:noProof/>
                <w:webHidden/>
              </w:rPr>
              <w:tab/>
            </w:r>
            <w:r w:rsidR="00574FF8">
              <w:rPr>
                <w:noProof/>
                <w:webHidden/>
              </w:rPr>
              <w:fldChar w:fldCharType="begin"/>
            </w:r>
            <w:r w:rsidR="00574FF8">
              <w:rPr>
                <w:noProof/>
                <w:webHidden/>
              </w:rPr>
              <w:instrText xml:space="preserve"> PAGEREF _Toc456241250 \h </w:instrText>
            </w:r>
            <w:r w:rsidR="00574FF8">
              <w:rPr>
                <w:noProof/>
                <w:webHidden/>
              </w:rPr>
            </w:r>
            <w:r w:rsidR="00574FF8">
              <w:rPr>
                <w:noProof/>
                <w:webHidden/>
              </w:rPr>
              <w:fldChar w:fldCharType="separate"/>
            </w:r>
            <w:r w:rsidR="00423674">
              <w:rPr>
                <w:noProof/>
                <w:webHidden/>
              </w:rPr>
              <w:t>56</w:t>
            </w:r>
            <w:r w:rsidR="00574FF8">
              <w:rPr>
                <w:noProof/>
                <w:webHidden/>
              </w:rPr>
              <w:fldChar w:fldCharType="end"/>
            </w:r>
          </w:hyperlink>
        </w:p>
        <w:p w14:paraId="78A05844"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51" w:history="1">
            <w:r w:rsidR="00574FF8" w:rsidRPr="006D7AF1">
              <w:rPr>
                <w:rStyle w:val="Hyperlink"/>
                <w:noProof/>
              </w:rPr>
              <w:t>2.3 Especificidade Contextual</w:t>
            </w:r>
            <w:r w:rsidR="00574FF8">
              <w:rPr>
                <w:noProof/>
                <w:webHidden/>
              </w:rPr>
              <w:tab/>
            </w:r>
            <w:r w:rsidR="00574FF8">
              <w:rPr>
                <w:noProof/>
                <w:webHidden/>
              </w:rPr>
              <w:fldChar w:fldCharType="begin"/>
            </w:r>
            <w:r w:rsidR="00574FF8">
              <w:rPr>
                <w:noProof/>
                <w:webHidden/>
              </w:rPr>
              <w:instrText xml:space="preserve"> PAGEREF _Toc456241251 \h </w:instrText>
            </w:r>
            <w:r w:rsidR="00574FF8">
              <w:rPr>
                <w:noProof/>
                <w:webHidden/>
              </w:rPr>
            </w:r>
            <w:r w:rsidR="00574FF8">
              <w:rPr>
                <w:noProof/>
                <w:webHidden/>
              </w:rPr>
              <w:fldChar w:fldCharType="separate"/>
            </w:r>
            <w:r w:rsidR="00423674">
              <w:rPr>
                <w:noProof/>
                <w:webHidden/>
              </w:rPr>
              <w:t>56</w:t>
            </w:r>
            <w:r w:rsidR="00574FF8">
              <w:rPr>
                <w:noProof/>
                <w:webHidden/>
              </w:rPr>
              <w:fldChar w:fldCharType="end"/>
            </w:r>
          </w:hyperlink>
        </w:p>
        <w:p w14:paraId="3A6714AD" w14:textId="77777777" w:rsidR="00574FF8" w:rsidRDefault="005D065B">
          <w:pPr>
            <w:pStyle w:val="Sumrio1"/>
            <w:tabs>
              <w:tab w:val="right" w:leader="dot" w:pos="8494"/>
            </w:tabs>
            <w:rPr>
              <w:rFonts w:asciiTheme="minorHAnsi" w:eastAsiaTheme="minorEastAsia" w:hAnsiTheme="minorHAnsi" w:cstheme="minorBidi"/>
              <w:noProof/>
              <w:sz w:val="22"/>
              <w:szCs w:val="22"/>
            </w:rPr>
          </w:pPr>
          <w:hyperlink w:anchor="_Toc456241252" w:history="1">
            <w:r w:rsidR="00574FF8" w:rsidRPr="006D7AF1">
              <w:rPr>
                <w:rStyle w:val="Hyperlink"/>
                <w:b/>
                <w:noProof/>
              </w:rPr>
              <w:t>Capítulo 3: Busca por evidências.</w:t>
            </w:r>
            <w:r w:rsidR="00574FF8">
              <w:rPr>
                <w:noProof/>
                <w:webHidden/>
              </w:rPr>
              <w:tab/>
            </w:r>
            <w:r w:rsidR="00574FF8">
              <w:rPr>
                <w:noProof/>
                <w:webHidden/>
              </w:rPr>
              <w:fldChar w:fldCharType="begin"/>
            </w:r>
            <w:r w:rsidR="00574FF8">
              <w:rPr>
                <w:noProof/>
                <w:webHidden/>
              </w:rPr>
              <w:instrText xml:space="preserve"> PAGEREF _Toc456241252 \h </w:instrText>
            </w:r>
            <w:r w:rsidR="00574FF8">
              <w:rPr>
                <w:noProof/>
                <w:webHidden/>
              </w:rPr>
            </w:r>
            <w:r w:rsidR="00574FF8">
              <w:rPr>
                <w:noProof/>
                <w:webHidden/>
              </w:rPr>
              <w:fldChar w:fldCharType="separate"/>
            </w:r>
            <w:r w:rsidR="00423674">
              <w:rPr>
                <w:noProof/>
                <w:webHidden/>
              </w:rPr>
              <w:t>57</w:t>
            </w:r>
            <w:r w:rsidR="00574FF8">
              <w:rPr>
                <w:noProof/>
                <w:webHidden/>
              </w:rPr>
              <w:fldChar w:fldCharType="end"/>
            </w:r>
          </w:hyperlink>
        </w:p>
        <w:p w14:paraId="1F9100F3"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53" w:history="1">
            <w:r w:rsidR="00574FF8" w:rsidRPr="006D7AF1">
              <w:rPr>
                <w:rStyle w:val="Hyperlink"/>
                <w:noProof/>
              </w:rPr>
              <w:t>2.4 Problematização e análise descritiva</w:t>
            </w:r>
            <w:r w:rsidR="00574FF8">
              <w:rPr>
                <w:noProof/>
                <w:webHidden/>
              </w:rPr>
              <w:tab/>
            </w:r>
            <w:r w:rsidR="00574FF8">
              <w:rPr>
                <w:noProof/>
                <w:webHidden/>
              </w:rPr>
              <w:fldChar w:fldCharType="begin"/>
            </w:r>
            <w:r w:rsidR="00574FF8">
              <w:rPr>
                <w:noProof/>
                <w:webHidden/>
              </w:rPr>
              <w:instrText xml:space="preserve"> PAGEREF _Toc456241253 \h </w:instrText>
            </w:r>
            <w:r w:rsidR="00574FF8">
              <w:rPr>
                <w:noProof/>
                <w:webHidden/>
              </w:rPr>
            </w:r>
            <w:r w:rsidR="00574FF8">
              <w:rPr>
                <w:noProof/>
                <w:webHidden/>
              </w:rPr>
              <w:fldChar w:fldCharType="separate"/>
            </w:r>
            <w:r w:rsidR="00423674">
              <w:rPr>
                <w:noProof/>
                <w:webHidden/>
              </w:rPr>
              <w:t>57</w:t>
            </w:r>
            <w:r w:rsidR="00574FF8">
              <w:rPr>
                <w:noProof/>
                <w:webHidden/>
              </w:rPr>
              <w:fldChar w:fldCharType="end"/>
            </w:r>
          </w:hyperlink>
        </w:p>
        <w:p w14:paraId="18DE246D"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54" w:history="1">
            <w:r w:rsidR="00574FF8" w:rsidRPr="006D7AF1">
              <w:rPr>
                <w:rStyle w:val="Hyperlink"/>
                <w:noProof/>
              </w:rPr>
              <w:t>3.1 Metodologia</w:t>
            </w:r>
            <w:r w:rsidR="00574FF8">
              <w:rPr>
                <w:noProof/>
                <w:webHidden/>
              </w:rPr>
              <w:tab/>
            </w:r>
            <w:r w:rsidR="00574FF8">
              <w:rPr>
                <w:noProof/>
                <w:webHidden/>
              </w:rPr>
              <w:fldChar w:fldCharType="begin"/>
            </w:r>
            <w:r w:rsidR="00574FF8">
              <w:rPr>
                <w:noProof/>
                <w:webHidden/>
              </w:rPr>
              <w:instrText xml:space="preserve"> PAGEREF _Toc456241254 \h </w:instrText>
            </w:r>
            <w:r w:rsidR="00574FF8">
              <w:rPr>
                <w:noProof/>
                <w:webHidden/>
              </w:rPr>
            </w:r>
            <w:r w:rsidR="00574FF8">
              <w:rPr>
                <w:noProof/>
                <w:webHidden/>
              </w:rPr>
              <w:fldChar w:fldCharType="separate"/>
            </w:r>
            <w:r w:rsidR="00423674">
              <w:rPr>
                <w:noProof/>
                <w:webHidden/>
              </w:rPr>
              <w:t>69</w:t>
            </w:r>
            <w:r w:rsidR="00574FF8">
              <w:rPr>
                <w:noProof/>
                <w:webHidden/>
              </w:rPr>
              <w:fldChar w:fldCharType="end"/>
            </w:r>
          </w:hyperlink>
        </w:p>
        <w:p w14:paraId="1D281B47"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55" w:history="1">
            <w:r w:rsidR="00574FF8" w:rsidRPr="006D7AF1">
              <w:rPr>
                <w:rStyle w:val="Hyperlink"/>
                <w:noProof/>
              </w:rPr>
              <w:t>3.2 Evidências de validade</w:t>
            </w:r>
            <w:r w:rsidR="00574FF8">
              <w:rPr>
                <w:noProof/>
                <w:webHidden/>
              </w:rPr>
              <w:tab/>
            </w:r>
            <w:r w:rsidR="00574FF8">
              <w:rPr>
                <w:noProof/>
                <w:webHidden/>
              </w:rPr>
              <w:fldChar w:fldCharType="begin"/>
            </w:r>
            <w:r w:rsidR="00574FF8">
              <w:rPr>
                <w:noProof/>
                <w:webHidden/>
              </w:rPr>
              <w:instrText xml:space="preserve"> PAGEREF _Toc456241255 \h </w:instrText>
            </w:r>
            <w:r w:rsidR="00574FF8">
              <w:rPr>
                <w:noProof/>
                <w:webHidden/>
              </w:rPr>
            </w:r>
            <w:r w:rsidR="00574FF8">
              <w:rPr>
                <w:noProof/>
                <w:webHidden/>
              </w:rPr>
              <w:fldChar w:fldCharType="separate"/>
            </w:r>
            <w:r w:rsidR="00423674">
              <w:rPr>
                <w:noProof/>
                <w:webHidden/>
              </w:rPr>
              <w:t>76</w:t>
            </w:r>
            <w:r w:rsidR="00574FF8">
              <w:rPr>
                <w:noProof/>
                <w:webHidden/>
              </w:rPr>
              <w:fldChar w:fldCharType="end"/>
            </w:r>
          </w:hyperlink>
        </w:p>
        <w:p w14:paraId="26AB36AE" w14:textId="77777777" w:rsidR="00574FF8" w:rsidRDefault="005D065B">
          <w:pPr>
            <w:pStyle w:val="Sumrio3"/>
            <w:tabs>
              <w:tab w:val="right" w:leader="dot" w:pos="8494"/>
            </w:tabs>
            <w:rPr>
              <w:rFonts w:asciiTheme="minorHAnsi" w:eastAsiaTheme="minorEastAsia" w:hAnsiTheme="minorHAnsi" w:cstheme="minorBidi"/>
              <w:noProof/>
              <w:sz w:val="22"/>
              <w:szCs w:val="22"/>
            </w:rPr>
          </w:pPr>
          <w:hyperlink w:anchor="_Toc456241256" w:history="1">
            <w:r w:rsidR="00574FF8" w:rsidRPr="006D7AF1">
              <w:rPr>
                <w:rStyle w:val="Hyperlink"/>
                <w:noProof/>
              </w:rPr>
              <w:t>3.2.1 Validação de conteúdo</w:t>
            </w:r>
            <w:r w:rsidR="00574FF8">
              <w:rPr>
                <w:noProof/>
                <w:webHidden/>
              </w:rPr>
              <w:tab/>
            </w:r>
            <w:r w:rsidR="00574FF8">
              <w:rPr>
                <w:noProof/>
                <w:webHidden/>
              </w:rPr>
              <w:fldChar w:fldCharType="begin"/>
            </w:r>
            <w:r w:rsidR="00574FF8">
              <w:rPr>
                <w:noProof/>
                <w:webHidden/>
              </w:rPr>
              <w:instrText xml:space="preserve"> PAGEREF _Toc456241256 \h </w:instrText>
            </w:r>
            <w:r w:rsidR="00574FF8">
              <w:rPr>
                <w:noProof/>
                <w:webHidden/>
              </w:rPr>
            </w:r>
            <w:r w:rsidR="00574FF8">
              <w:rPr>
                <w:noProof/>
                <w:webHidden/>
              </w:rPr>
              <w:fldChar w:fldCharType="separate"/>
            </w:r>
            <w:r w:rsidR="00423674">
              <w:rPr>
                <w:noProof/>
                <w:webHidden/>
              </w:rPr>
              <w:t>77</w:t>
            </w:r>
            <w:r w:rsidR="00574FF8">
              <w:rPr>
                <w:noProof/>
                <w:webHidden/>
              </w:rPr>
              <w:fldChar w:fldCharType="end"/>
            </w:r>
          </w:hyperlink>
        </w:p>
        <w:p w14:paraId="115D7A6B" w14:textId="77777777" w:rsidR="00574FF8" w:rsidRDefault="005D065B">
          <w:pPr>
            <w:pStyle w:val="Sumrio3"/>
            <w:tabs>
              <w:tab w:val="right" w:leader="dot" w:pos="8494"/>
            </w:tabs>
            <w:rPr>
              <w:rFonts w:asciiTheme="minorHAnsi" w:eastAsiaTheme="minorEastAsia" w:hAnsiTheme="minorHAnsi" w:cstheme="minorBidi"/>
              <w:noProof/>
              <w:sz w:val="22"/>
              <w:szCs w:val="22"/>
            </w:rPr>
          </w:pPr>
          <w:hyperlink w:anchor="_Toc456241257" w:history="1">
            <w:r w:rsidR="00574FF8" w:rsidRPr="006D7AF1">
              <w:rPr>
                <w:rStyle w:val="Hyperlink"/>
                <w:noProof/>
              </w:rPr>
              <w:t>3.2.2 Validade discriminante</w:t>
            </w:r>
            <w:r w:rsidR="00574FF8">
              <w:rPr>
                <w:noProof/>
                <w:webHidden/>
              </w:rPr>
              <w:tab/>
            </w:r>
            <w:r w:rsidR="00574FF8">
              <w:rPr>
                <w:noProof/>
                <w:webHidden/>
              </w:rPr>
              <w:fldChar w:fldCharType="begin"/>
            </w:r>
            <w:r w:rsidR="00574FF8">
              <w:rPr>
                <w:noProof/>
                <w:webHidden/>
              </w:rPr>
              <w:instrText xml:space="preserve"> PAGEREF _Toc456241257 \h </w:instrText>
            </w:r>
            <w:r w:rsidR="00574FF8">
              <w:rPr>
                <w:noProof/>
                <w:webHidden/>
              </w:rPr>
            </w:r>
            <w:r w:rsidR="00574FF8">
              <w:rPr>
                <w:noProof/>
                <w:webHidden/>
              </w:rPr>
              <w:fldChar w:fldCharType="separate"/>
            </w:r>
            <w:r w:rsidR="00423674">
              <w:rPr>
                <w:noProof/>
                <w:webHidden/>
              </w:rPr>
              <w:t>82</w:t>
            </w:r>
            <w:r w:rsidR="00574FF8">
              <w:rPr>
                <w:noProof/>
                <w:webHidden/>
              </w:rPr>
              <w:fldChar w:fldCharType="end"/>
            </w:r>
          </w:hyperlink>
        </w:p>
        <w:p w14:paraId="4A2E201B" w14:textId="77777777" w:rsidR="00574FF8" w:rsidRDefault="005D065B">
          <w:pPr>
            <w:pStyle w:val="Sumrio3"/>
            <w:tabs>
              <w:tab w:val="right" w:leader="dot" w:pos="8494"/>
            </w:tabs>
            <w:rPr>
              <w:rFonts w:asciiTheme="minorHAnsi" w:eastAsiaTheme="minorEastAsia" w:hAnsiTheme="minorHAnsi" w:cstheme="minorBidi"/>
              <w:noProof/>
              <w:sz w:val="22"/>
              <w:szCs w:val="22"/>
            </w:rPr>
          </w:pPr>
          <w:hyperlink w:anchor="_Toc456241258" w:history="1">
            <w:r w:rsidR="00574FF8" w:rsidRPr="006D7AF1">
              <w:rPr>
                <w:rStyle w:val="Hyperlink"/>
                <w:noProof/>
              </w:rPr>
              <w:t>3.2.3 Validação convergente</w:t>
            </w:r>
            <w:r w:rsidR="00574FF8">
              <w:rPr>
                <w:noProof/>
                <w:webHidden/>
              </w:rPr>
              <w:tab/>
            </w:r>
            <w:r w:rsidR="00574FF8">
              <w:rPr>
                <w:noProof/>
                <w:webHidden/>
              </w:rPr>
              <w:fldChar w:fldCharType="begin"/>
            </w:r>
            <w:r w:rsidR="00574FF8">
              <w:rPr>
                <w:noProof/>
                <w:webHidden/>
              </w:rPr>
              <w:instrText xml:space="preserve"> PAGEREF _Toc456241258 \h </w:instrText>
            </w:r>
            <w:r w:rsidR="00574FF8">
              <w:rPr>
                <w:noProof/>
                <w:webHidden/>
              </w:rPr>
            </w:r>
            <w:r w:rsidR="00574FF8">
              <w:rPr>
                <w:noProof/>
                <w:webHidden/>
              </w:rPr>
              <w:fldChar w:fldCharType="separate"/>
            </w:r>
            <w:r w:rsidR="00423674">
              <w:rPr>
                <w:noProof/>
                <w:webHidden/>
              </w:rPr>
              <w:t>86</w:t>
            </w:r>
            <w:r w:rsidR="00574FF8">
              <w:rPr>
                <w:noProof/>
                <w:webHidden/>
              </w:rPr>
              <w:fldChar w:fldCharType="end"/>
            </w:r>
          </w:hyperlink>
        </w:p>
        <w:p w14:paraId="66927F5A" w14:textId="77777777" w:rsidR="00574FF8" w:rsidRDefault="005D065B">
          <w:pPr>
            <w:pStyle w:val="Sumrio3"/>
            <w:tabs>
              <w:tab w:val="right" w:leader="dot" w:pos="8494"/>
            </w:tabs>
            <w:rPr>
              <w:rFonts w:asciiTheme="minorHAnsi" w:eastAsiaTheme="minorEastAsia" w:hAnsiTheme="minorHAnsi" w:cstheme="minorBidi"/>
              <w:noProof/>
              <w:sz w:val="22"/>
              <w:szCs w:val="22"/>
            </w:rPr>
          </w:pPr>
          <w:hyperlink w:anchor="_Toc456241259" w:history="1">
            <w:r w:rsidR="00574FF8" w:rsidRPr="006D7AF1">
              <w:rPr>
                <w:rStyle w:val="Hyperlink"/>
                <w:noProof/>
              </w:rPr>
              <w:t>3.2.4 Validação nomológica</w:t>
            </w:r>
            <w:r w:rsidR="00574FF8">
              <w:rPr>
                <w:noProof/>
                <w:webHidden/>
              </w:rPr>
              <w:tab/>
            </w:r>
            <w:r w:rsidR="00574FF8">
              <w:rPr>
                <w:noProof/>
                <w:webHidden/>
              </w:rPr>
              <w:fldChar w:fldCharType="begin"/>
            </w:r>
            <w:r w:rsidR="00574FF8">
              <w:rPr>
                <w:noProof/>
                <w:webHidden/>
              </w:rPr>
              <w:instrText xml:space="preserve"> PAGEREF _Toc456241259 \h </w:instrText>
            </w:r>
            <w:r w:rsidR="00574FF8">
              <w:rPr>
                <w:noProof/>
                <w:webHidden/>
              </w:rPr>
            </w:r>
            <w:r w:rsidR="00574FF8">
              <w:rPr>
                <w:noProof/>
                <w:webHidden/>
              </w:rPr>
              <w:fldChar w:fldCharType="separate"/>
            </w:r>
            <w:r w:rsidR="00423674">
              <w:rPr>
                <w:noProof/>
                <w:webHidden/>
              </w:rPr>
              <w:t>89</w:t>
            </w:r>
            <w:r w:rsidR="00574FF8">
              <w:rPr>
                <w:noProof/>
                <w:webHidden/>
              </w:rPr>
              <w:fldChar w:fldCharType="end"/>
            </w:r>
          </w:hyperlink>
        </w:p>
        <w:p w14:paraId="1D2C8DD8"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60" w:history="1">
            <w:r w:rsidR="00574FF8" w:rsidRPr="006D7AF1">
              <w:rPr>
                <w:rStyle w:val="Hyperlink"/>
                <w:noProof/>
              </w:rPr>
              <w:t>3.3 Evidências de confiabilidade</w:t>
            </w:r>
            <w:r w:rsidR="00574FF8">
              <w:rPr>
                <w:noProof/>
                <w:webHidden/>
              </w:rPr>
              <w:tab/>
            </w:r>
            <w:r w:rsidR="00574FF8">
              <w:rPr>
                <w:noProof/>
                <w:webHidden/>
              </w:rPr>
              <w:fldChar w:fldCharType="begin"/>
            </w:r>
            <w:r w:rsidR="00574FF8">
              <w:rPr>
                <w:noProof/>
                <w:webHidden/>
              </w:rPr>
              <w:instrText xml:space="preserve"> PAGEREF _Toc456241260 \h </w:instrText>
            </w:r>
            <w:r w:rsidR="00574FF8">
              <w:rPr>
                <w:noProof/>
                <w:webHidden/>
              </w:rPr>
            </w:r>
            <w:r w:rsidR="00574FF8">
              <w:rPr>
                <w:noProof/>
                <w:webHidden/>
              </w:rPr>
              <w:fldChar w:fldCharType="separate"/>
            </w:r>
            <w:r w:rsidR="00423674">
              <w:rPr>
                <w:noProof/>
                <w:webHidden/>
              </w:rPr>
              <w:t>93</w:t>
            </w:r>
            <w:r w:rsidR="00574FF8">
              <w:rPr>
                <w:noProof/>
                <w:webHidden/>
              </w:rPr>
              <w:fldChar w:fldCharType="end"/>
            </w:r>
          </w:hyperlink>
        </w:p>
        <w:p w14:paraId="514A4B65" w14:textId="77777777" w:rsidR="00574FF8" w:rsidRDefault="005D065B">
          <w:pPr>
            <w:pStyle w:val="Sumrio2"/>
            <w:tabs>
              <w:tab w:val="right" w:leader="dot" w:pos="8494"/>
            </w:tabs>
            <w:rPr>
              <w:rFonts w:asciiTheme="minorHAnsi" w:eastAsiaTheme="minorEastAsia" w:hAnsiTheme="minorHAnsi" w:cstheme="minorBidi"/>
              <w:noProof/>
              <w:sz w:val="22"/>
              <w:szCs w:val="22"/>
            </w:rPr>
          </w:pPr>
          <w:hyperlink w:anchor="_Toc456241261" w:history="1">
            <w:r w:rsidR="00574FF8" w:rsidRPr="006D7AF1">
              <w:rPr>
                <w:rStyle w:val="Hyperlink"/>
                <w:noProof/>
              </w:rPr>
              <w:t>3.4 Evidências de especificidade contextual</w:t>
            </w:r>
            <w:r w:rsidR="00574FF8">
              <w:rPr>
                <w:noProof/>
                <w:webHidden/>
              </w:rPr>
              <w:tab/>
            </w:r>
            <w:r w:rsidR="00574FF8">
              <w:rPr>
                <w:noProof/>
                <w:webHidden/>
              </w:rPr>
              <w:fldChar w:fldCharType="begin"/>
            </w:r>
            <w:r w:rsidR="00574FF8">
              <w:rPr>
                <w:noProof/>
                <w:webHidden/>
              </w:rPr>
              <w:instrText xml:space="preserve"> PAGEREF _Toc456241261 \h </w:instrText>
            </w:r>
            <w:r w:rsidR="00574FF8">
              <w:rPr>
                <w:noProof/>
                <w:webHidden/>
              </w:rPr>
            </w:r>
            <w:r w:rsidR="00574FF8">
              <w:rPr>
                <w:noProof/>
                <w:webHidden/>
              </w:rPr>
              <w:fldChar w:fldCharType="separate"/>
            </w:r>
            <w:r w:rsidR="00423674">
              <w:rPr>
                <w:noProof/>
                <w:webHidden/>
              </w:rPr>
              <w:t>99</w:t>
            </w:r>
            <w:r w:rsidR="00574FF8">
              <w:rPr>
                <w:noProof/>
                <w:webHidden/>
              </w:rPr>
              <w:fldChar w:fldCharType="end"/>
            </w:r>
          </w:hyperlink>
        </w:p>
        <w:p w14:paraId="2A3B36D0" w14:textId="77777777" w:rsidR="00574FF8" w:rsidRDefault="005D065B">
          <w:pPr>
            <w:pStyle w:val="Sumrio1"/>
            <w:tabs>
              <w:tab w:val="right" w:leader="dot" w:pos="8494"/>
            </w:tabs>
            <w:rPr>
              <w:rFonts w:asciiTheme="minorHAnsi" w:eastAsiaTheme="minorEastAsia" w:hAnsiTheme="minorHAnsi" w:cstheme="minorBidi"/>
              <w:noProof/>
              <w:sz w:val="22"/>
              <w:szCs w:val="22"/>
            </w:rPr>
          </w:pPr>
          <w:hyperlink w:anchor="_Toc456241262" w:history="1">
            <w:r w:rsidR="00574FF8" w:rsidRPr="006D7AF1">
              <w:rPr>
                <w:rStyle w:val="Hyperlink"/>
                <w:b/>
                <w:noProof/>
              </w:rPr>
              <w:t>Conclusões: Achados</w:t>
            </w:r>
            <w:r w:rsidR="00574FF8">
              <w:rPr>
                <w:noProof/>
                <w:webHidden/>
              </w:rPr>
              <w:tab/>
            </w:r>
            <w:r w:rsidR="00574FF8">
              <w:rPr>
                <w:noProof/>
                <w:webHidden/>
              </w:rPr>
              <w:fldChar w:fldCharType="begin"/>
            </w:r>
            <w:r w:rsidR="00574FF8">
              <w:rPr>
                <w:noProof/>
                <w:webHidden/>
              </w:rPr>
              <w:instrText xml:space="preserve"> PAGEREF _Toc456241262 \h </w:instrText>
            </w:r>
            <w:r w:rsidR="00574FF8">
              <w:rPr>
                <w:noProof/>
                <w:webHidden/>
              </w:rPr>
            </w:r>
            <w:r w:rsidR="00574FF8">
              <w:rPr>
                <w:noProof/>
                <w:webHidden/>
              </w:rPr>
              <w:fldChar w:fldCharType="separate"/>
            </w:r>
            <w:r w:rsidR="00423674">
              <w:rPr>
                <w:noProof/>
                <w:webHidden/>
              </w:rPr>
              <w:t>103</w:t>
            </w:r>
            <w:r w:rsidR="00574FF8">
              <w:rPr>
                <w:noProof/>
                <w:webHidden/>
              </w:rPr>
              <w:fldChar w:fldCharType="end"/>
            </w:r>
          </w:hyperlink>
        </w:p>
        <w:p w14:paraId="3CB28A3A" w14:textId="77777777" w:rsidR="00574FF8" w:rsidRDefault="005D065B">
          <w:pPr>
            <w:pStyle w:val="Sumrio1"/>
            <w:tabs>
              <w:tab w:val="right" w:leader="dot" w:pos="8494"/>
            </w:tabs>
            <w:rPr>
              <w:rFonts w:asciiTheme="minorHAnsi" w:eastAsiaTheme="minorEastAsia" w:hAnsiTheme="minorHAnsi" w:cstheme="minorBidi"/>
              <w:noProof/>
              <w:sz w:val="22"/>
              <w:szCs w:val="22"/>
            </w:rPr>
          </w:pPr>
          <w:hyperlink w:anchor="_Toc456241263" w:history="1">
            <w:r w:rsidR="00574FF8" w:rsidRPr="006D7AF1">
              <w:rPr>
                <w:rStyle w:val="Hyperlink"/>
                <w:b/>
                <w:noProof/>
              </w:rPr>
              <w:t>Referencias Bibliográficas</w:t>
            </w:r>
            <w:r w:rsidR="00574FF8">
              <w:rPr>
                <w:noProof/>
                <w:webHidden/>
              </w:rPr>
              <w:tab/>
            </w:r>
            <w:r w:rsidR="00574FF8">
              <w:rPr>
                <w:noProof/>
                <w:webHidden/>
              </w:rPr>
              <w:fldChar w:fldCharType="begin"/>
            </w:r>
            <w:r w:rsidR="00574FF8">
              <w:rPr>
                <w:noProof/>
                <w:webHidden/>
              </w:rPr>
              <w:instrText xml:space="preserve"> PAGEREF _Toc456241263 \h </w:instrText>
            </w:r>
            <w:r w:rsidR="00574FF8">
              <w:rPr>
                <w:noProof/>
                <w:webHidden/>
              </w:rPr>
            </w:r>
            <w:r w:rsidR="00574FF8">
              <w:rPr>
                <w:noProof/>
                <w:webHidden/>
              </w:rPr>
              <w:fldChar w:fldCharType="separate"/>
            </w:r>
            <w:r w:rsidR="00423674">
              <w:rPr>
                <w:noProof/>
                <w:webHidden/>
              </w:rPr>
              <w:t>106</w:t>
            </w:r>
            <w:r w:rsidR="00574FF8">
              <w:rPr>
                <w:noProof/>
                <w:webHidden/>
              </w:rPr>
              <w:fldChar w:fldCharType="end"/>
            </w:r>
          </w:hyperlink>
        </w:p>
        <w:p w14:paraId="286DA38C" w14:textId="77777777" w:rsidR="00574FF8" w:rsidRDefault="005D065B">
          <w:pPr>
            <w:pStyle w:val="Sumrio1"/>
            <w:tabs>
              <w:tab w:val="right" w:leader="dot" w:pos="8494"/>
            </w:tabs>
            <w:rPr>
              <w:rFonts w:asciiTheme="minorHAnsi" w:eastAsiaTheme="minorEastAsia" w:hAnsiTheme="minorHAnsi" w:cstheme="minorBidi"/>
              <w:noProof/>
              <w:sz w:val="22"/>
              <w:szCs w:val="22"/>
            </w:rPr>
          </w:pPr>
          <w:hyperlink w:anchor="_Toc456241264" w:history="1">
            <w:r w:rsidR="00574FF8" w:rsidRPr="006D7AF1">
              <w:rPr>
                <w:rStyle w:val="Hyperlink"/>
                <w:b/>
                <w:noProof/>
              </w:rPr>
              <w:t>Anexo</w:t>
            </w:r>
            <w:r w:rsidR="00574FF8">
              <w:rPr>
                <w:noProof/>
                <w:webHidden/>
              </w:rPr>
              <w:tab/>
            </w:r>
            <w:r w:rsidR="00574FF8">
              <w:rPr>
                <w:noProof/>
                <w:webHidden/>
              </w:rPr>
              <w:fldChar w:fldCharType="begin"/>
            </w:r>
            <w:r w:rsidR="00574FF8">
              <w:rPr>
                <w:noProof/>
                <w:webHidden/>
              </w:rPr>
              <w:instrText xml:space="preserve"> PAGEREF _Toc456241264 \h </w:instrText>
            </w:r>
            <w:r w:rsidR="00574FF8">
              <w:rPr>
                <w:noProof/>
                <w:webHidden/>
              </w:rPr>
            </w:r>
            <w:r w:rsidR="00574FF8">
              <w:rPr>
                <w:noProof/>
                <w:webHidden/>
              </w:rPr>
              <w:fldChar w:fldCharType="separate"/>
            </w:r>
            <w:r w:rsidR="00423674">
              <w:rPr>
                <w:noProof/>
                <w:webHidden/>
              </w:rPr>
              <w:t>111</w:t>
            </w:r>
            <w:r w:rsidR="00574FF8">
              <w:rPr>
                <w:noProof/>
                <w:webHidden/>
              </w:rPr>
              <w:fldChar w:fldCharType="end"/>
            </w:r>
          </w:hyperlink>
        </w:p>
        <w:p w14:paraId="3E48E303" w14:textId="3331C1B7" w:rsidR="00CB1429" w:rsidRPr="00AB315F" w:rsidRDefault="00CB1429">
          <w:r w:rsidRPr="00AB315F">
            <w:rPr>
              <w:b/>
              <w:bCs/>
            </w:rPr>
            <w:fldChar w:fldCharType="end"/>
          </w:r>
        </w:p>
      </w:sdtContent>
    </w:sdt>
    <w:p w14:paraId="59DDFCAE" w14:textId="64AF4F05" w:rsidR="00CB1429" w:rsidRPr="00AB315F" w:rsidRDefault="00CB1429">
      <w:pPr>
        <w:spacing w:after="160" w:line="259" w:lineRule="auto"/>
        <w:rPr>
          <w:rFonts w:asciiTheme="majorHAnsi" w:eastAsiaTheme="majorEastAsia" w:hAnsiTheme="majorHAnsi" w:cstheme="majorBidi"/>
          <w:b/>
          <w:sz w:val="32"/>
          <w:szCs w:val="32"/>
        </w:rPr>
      </w:pPr>
      <w:r w:rsidRPr="00AB315F">
        <w:rPr>
          <w:b/>
        </w:rPr>
        <w:br w:type="page"/>
      </w:r>
    </w:p>
    <w:p w14:paraId="347765E8" w14:textId="551E34B3" w:rsidR="0005370B" w:rsidRPr="00AB315F" w:rsidRDefault="00B717EC" w:rsidP="005A7075">
      <w:pPr>
        <w:pStyle w:val="Ttulo1"/>
        <w:rPr>
          <w:b/>
          <w:color w:val="auto"/>
        </w:rPr>
      </w:pPr>
      <w:bookmarkStart w:id="1" w:name="_Toc456241238"/>
      <w:r w:rsidRPr="00AB315F">
        <w:rPr>
          <w:b/>
          <w:color w:val="auto"/>
        </w:rPr>
        <w:lastRenderedPageBreak/>
        <w:t>Introdução</w:t>
      </w:r>
      <w:bookmarkEnd w:id="1"/>
      <w:r w:rsidRPr="00AB315F">
        <w:rPr>
          <w:b/>
          <w:color w:val="auto"/>
        </w:rPr>
        <w:t xml:space="preserve"> </w:t>
      </w:r>
    </w:p>
    <w:p w14:paraId="37B6D75D" w14:textId="77777777" w:rsidR="00B717EC" w:rsidRPr="00AB315F" w:rsidRDefault="00B717EC" w:rsidP="00B717EC"/>
    <w:p w14:paraId="7C34401B" w14:textId="7CB1FCC4" w:rsidR="004F2956" w:rsidRPr="00AB315F" w:rsidRDefault="004F2956" w:rsidP="004F2956">
      <w:pPr>
        <w:spacing w:line="276" w:lineRule="auto"/>
        <w:jc w:val="both"/>
        <w:rPr>
          <w:rFonts w:asciiTheme="minorHAnsi" w:hAnsiTheme="minorHAnsi"/>
          <w:i/>
        </w:rPr>
      </w:pPr>
      <w:r w:rsidRPr="00AB315F">
        <w:rPr>
          <w:rFonts w:asciiTheme="minorHAnsi" w:hAnsiTheme="minorHAnsi"/>
          <w:i/>
        </w:rPr>
        <w:t>“– Senhora, a</w:t>
      </w:r>
      <w:r w:rsidR="00BF4602">
        <w:rPr>
          <w:rFonts w:asciiTheme="minorHAnsi" w:hAnsiTheme="minorHAnsi"/>
          <w:i/>
        </w:rPr>
        <w:t xml:space="preserve">onde você trabalha? – </w:t>
      </w:r>
      <w:r w:rsidR="007F2C6A">
        <w:rPr>
          <w:rFonts w:asciiTheme="minorHAnsi" w:hAnsiTheme="minorHAnsi"/>
          <w:i/>
        </w:rPr>
        <w:t>Questiona</w:t>
      </w:r>
      <w:r w:rsidRPr="00AB315F">
        <w:rPr>
          <w:rFonts w:asciiTheme="minorHAnsi" w:hAnsiTheme="minorHAnsi"/>
          <w:i/>
        </w:rPr>
        <w:t xml:space="preserve"> a repórter.</w:t>
      </w:r>
    </w:p>
    <w:p w14:paraId="7B8C35AE" w14:textId="755B718B" w:rsidR="004F2956" w:rsidRPr="00AB315F" w:rsidRDefault="004F2956" w:rsidP="004F2956">
      <w:pPr>
        <w:spacing w:line="276" w:lineRule="auto"/>
        <w:jc w:val="both"/>
        <w:rPr>
          <w:rFonts w:asciiTheme="minorHAnsi" w:hAnsiTheme="minorHAnsi"/>
          <w:i/>
        </w:rPr>
      </w:pPr>
      <w:r w:rsidRPr="00AB315F">
        <w:rPr>
          <w:rFonts w:asciiTheme="minorHAnsi" w:hAnsiTheme="minorHAnsi"/>
          <w:i/>
        </w:rPr>
        <w:t>- Por enquant</w:t>
      </w:r>
      <w:r w:rsidR="00BF4602">
        <w:rPr>
          <w:rFonts w:asciiTheme="minorHAnsi" w:hAnsiTheme="minorHAnsi"/>
          <w:i/>
        </w:rPr>
        <w:t>o estou sem trabalho – responde</w:t>
      </w:r>
      <w:r w:rsidRPr="00AB315F">
        <w:rPr>
          <w:rFonts w:asciiTheme="minorHAnsi" w:hAnsiTheme="minorHAnsi"/>
          <w:i/>
        </w:rPr>
        <w:t xml:space="preserve">. </w:t>
      </w:r>
    </w:p>
    <w:p w14:paraId="4CF44760" w14:textId="1817D314" w:rsidR="004F2956" w:rsidRPr="00AB315F" w:rsidRDefault="004F2956" w:rsidP="004F2956">
      <w:pPr>
        <w:spacing w:line="276" w:lineRule="auto"/>
        <w:jc w:val="both"/>
        <w:rPr>
          <w:rFonts w:asciiTheme="minorHAnsi" w:hAnsiTheme="minorHAnsi"/>
          <w:i/>
        </w:rPr>
      </w:pPr>
      <w:r w:rsidRPr="00AB315F">
        <w:rPr>
          <w:rFonts w:asciiTheme="minorHAnsi" w:hAnsiTheme="minorHAnsi"/>
          <w:i/>
        </w:rPr>
        <w:t>- E porque a senh</w:t>
      </w:r>
      <w:r w:rsidR="00EF41E1">
        <w:rPr>
          <w:rFonts w:asciiTheme="minorHAnsi" w:hAnsiTheme="minorHAnsi"/>
          <w:i/>
        </w:rPr>
        <w:t>o</w:t>
      </w:r>
      <w:r w:rsidR="00BF4602">
        <w:rPr>
          <w:rFonts w:asciiTheme="minorHAnsi" w:hAnsiTheme="minorHAnsi"/>
          <w:i/>
        </w:rPr>
        <w:t xml:space="preserve">ra vem à Assembleia? – </w:t>
      </w:r>
      <w:r w:rsidR="007F2C6A">
        <w:rPr>
          <w:rFonts w:asciiTheme="minorHAnsi" w:hAnsiTheme="minorHAnsi"/>
          <w:i/>
        </w:rPr>
        <w:t>Pergunta</w:t>
      </w:r>
      <w:r w:rsidRPr="00AB315F">
        <w:rPr>
          <w:rFonts w:asciiTheme="minorHAnsi" w:hAnsiTheme="minorHAnsi"/>
          <w:i/>
        </w:rPr>
        <w:t xml:space="preserve"> a repórter se referindo aos três dias consecutivos em que a servidora pública, no caso a “senhora”, se di</w:t>
      </w:r>
      <w:r w:rsidR="00BF4602">
        <w:rPr>
          <w:rFonts w:asciiTheme="minorHAnsi" w:hAnsiTheme="minorHAnsi"/>
          <w:i/>
        </w:rPr>
        <w:t>rigia ao seu local de trabalho na assembleia legislativa</w:t>
      </w:r>
      <w:r w:rsidRPr="00AB315F">
        <w:rPr>
          <w:rFonts w:asciiTheme="minorHAnsi" w:hAnsiTheme="minorHAnsi"/>
          <w:i/>
        </w:rPr>
        <w:t>, “batia o ponto” e ia embora.</w:t>
      </w:r>
    </w:p>
    <w:p w14:paraId="52630EC2" w14:textId="77777777" w:rsidR="004F2956" w:rsidRPr="00AB315F" w:rsidRDefault="004F2956" w:rsidP="004F2956">
      <w:pPr>
        <w:spacing w:line="276" w:lineRule="auto"/>
        <w:jc w:val="both"/>
        <w:rPr>
          <w:rFonts w:asciiTheme="minorHAnsi" w:hAnsiTheme="minorHAnsi"/>
          <w:i/>
        </w:rPr>
      </w:pPr>
      <w:r w:rsidRPr="00AB315F">
        <w:rPr>
          <w:rFonts w:asciiTheme="minorHAnsi" w:hAnsiTheme="minorHAnsi"/>
          <w:i/>
        </w:rPr>
        <w:t xml:space="preserve">- Vim à Assembleia para participar de uma reunião. </w:t>
      </w:r>
    </w:p>
    <w:p w14:paraId="3D39FCFF" w14:textId="77777777" w:rsidR="004F2956" w:rsidRPr="00AB315F" w:rsidRDefault="004F2956" w:rsidP="004F2956">
      <w:pPr>
        <w:spacing w:line="276" w:lineRule="auto"/>
        <w:jc w:val="both"/>
        <w:rPr>
          <w:rFonts w:asciiTheme="minorHAnsi" w:hAnsiTheme="minorHAnsi"/>
          <w:i/>
        </w:rPr>
      </w:pPr>
      <w:r w:rsidRPr="00AB315F">
        <w:rPr>
          <w:rFonts w:asciiTheme="minorHAnsi" w:hAnsiTheme="minorHAnsi"/>
          <w:i/>
        </w:rPr>
        <w:t>- Nós já filmamos a senhora, pelo terceiro dia consecutivo a senhora vem até a Assembleia bate o ponto e sai.</w:t>
      </w:r>
    </w:p>
    <w:p w14:paraId="74AB9847" w14:textId="77777777" w:rsidR="004F2956" w:rsidRDefault="004F2956" w:rsidP="004F2956">
      <w:pPr>
        <w:spacing w:line="276" w:lineRule="auto"/>
        <w:jc w:val="both"/>
        <w:rPr>
          <w:rFonts w:asciiTheme="minorHAnsi" w:hAnsiTheme="minorHAnsi"/>
          <w:i/>
        </w:rPr>
      </w:pPr>
      <w:r w:rsidRPr="00AB315F">
        <w:rPr>
          <w:rFonts w:asciiTheme="minorHAnsi" w:hAnsiTheme="minorHAnsi"/>
          <w:i/>
        </w:rPr>
        <w:t>- Não! Eu nunca fiz isso!</w:t>
      </w:r>
    </w:p>
    <w:p w14:paraId="75FDCD3B" w14:textId="33853708" w:rsidR="004F2956" w:rsidRPr="00AB315F" w:rsidRDefault="00BF4602" w:rsidP="004F2956">
      <w:pPr>
        <w:spacing w:line="276" w:lineRule="auto"/>
        <w:jc w:val="both"/>
        <w:rPr>
          <w:rFonts w:asciiTheme="minorHAnsi" w:hAnsiTheme="minorHAnsi"/>
          <w:i/>
        </w:rPr>
      </w:pPr>
      <w:r>
        <w:rPr>
          <w:rFonts w:asciiTheme="minorHAnsi" w:hAnsiTheme="minorHAnsi"/>
          <w:i/>
        </w:rPr>
        <w:t>- Fez sim senhora, nós gravamos a senhora... Senhora! Senhora,</w:t>
      </w:r>
      <w:r w:rsidR="004F2956" w:rsidRPr="00AB315F">
        <w:rPr>
          <w:rFonts w:asciiTheme="minorHAnsi" w:hAnsiTheme="minorHAnsi"/>
          <w:i/>
        </w:rPr>
        <w:t xml:space="preserve"> volta aqui senhora! –</w:t>
      </w:r>
      <w:r w:rsidR="007F2C6A">
        <w:rPr>
          <w:rFonts w:asciiTheme="minorHAnsi" w:hAnsiTheme="minorHAnsi"/>
          <w:i/>
        </w:rPr>
        <w:t>Inicia-se</w:t>
      </w:r>
      <w:r>
        <w:rPr>
          <w:rFonts w:asciiTheme="minorHAnsi" w:hAnsiTheme="minorHAnsi"/>
          <w:i/>
        </w:rPr>
        <w:t xml:space="preserve"> a perseguição.</w:t>
      </w:r>
    </w:p>
    <w:p w14:paraId="24B750F0" w14:textId="77777777" w:rsidR="004F2956" w:rsidRPr="00AB315F" w:rsidRDefault="004F2956" w:rsidP="004F2956">
      <w:pPr>
        <w:spacing w:line="360" w:lineRule="auto"/>
        <w:jc w:val="both"/>
        <w:rPr>
          <w:rFonts w:asciiTheme="minorHAnsi" w:hAnsiTheme="minorHAnsi"/>
        </w:rPr>
      </w:pPr>
    </w:p>
    <w:p w14:paraId="19048215" w14:textId="77777777" w:rsidR="00346F87" w:rsidRPr="00AB315F" w:rsidRDefault="00346F87" w:rsidP="00FC37B4">
      <w:pPr>
        <w:spacing w:line="360" w:lineRule="auto"/>
        <w:jc w:val="both"/>
        <w:rPr>
          <w:rFonts w:asciiTheme="minorHAnsi" w:hAnsiTheme="minorHAnsi"/>
        </w:rPr>
      </w:pPr>
    </w:p>
    <w:p w14:paraId="3FD8F6E5" w14:textId="7C0AAC98" w:rsidR="00D50181" w:rsidRPr="00AA0849" w:rsidRDefault="00D50181" w:rsidP="00FC37B4">
      <w:pPr>
        <w:spacing w:after="240" w:line="360" w:lineRule="auto"/>
        <w:ind w:firstLine="708"/>
        <w:jc w:val="both"/>
        <w:rPr>
          <w:rFonts w:asciiTheme="minorHAnsi" w:hAnsiTheme="minorHAnsi"/>
        </w:rPr>
      </w:pPr>
      <w:r w:rsidRPr="00AA0849">
        <w:rPr>
          <w:rFonts w:asciiTheme="minorHAnsi" w:hAnsiTheme="minorHAnsi"/>
        </w:rPr>
        <w:t xml:space="preserve">“Senhora, volta aqui” se tornou um “viral” nos canais de comunicação do Brasil durante o ano de 2015. Ainda que cômico, é trágico </w:t>
      </w:r>
      <w:r w:rsidR="00F26793">
        <w:rPr>
          <w:rFonts w:asciiTheme="minorHAnsi" w:hAnsiTheme="minorHAnsi"/>
        </w:rPr>
        <w:t>e desnuda a face</w:t>
      </w:r>
      <w:r w:rsidRPr="00AA0849">
        <w:rPr>
          <w:rFonts w:asciiTheme="minorHAnsi" w:hAnsiTheme="minorHAnsi"/>
        </w:rPr>
        <w:t xml:space="preserve"> de um c</w:t>
      </w:r>
      <w:r w:rsidR="00F26793">
        <w:rPr>
          <w:rFonts w:asciiTheme="minorHAnsi" w:hAnsiTheme="minorHAnsi"/>
        </w:rPr>
        <w:t>omportamento pouco</w:t>
      </w:r>
      <w:r w:rsidR="004846BA">
        <w:rPr>
          <w:rFonts w:asciiTheme="minorHAnsi" w:hAnsiTheme="minorHAnsi"/>
        </w:rPr>
        <w:t xml:space="preserve"> surpreendente</w:t>
      </w:r>
      <w:r w:rsidR="00040263">
        <w:rPr>
          <w:rFonts w:asciiTheme="minorHAnsi" w:hAnsiTheme="minorHAnsi"/>
        </w:rPr>
        <w:t>: a corrupção no cotidiano do cidadão comum</w:t>
      </w:r>
      <w:r w:rsidR="004846BA">
        <w:rPr>
          <w:rFonts w:asciiTheme="minorHAnsi" w:hAnsiTheme="minorHAnsi"/>
        </w:rPr>
        <w:t>.  P</w:t>
      </w:r>
      <w:r w:rsidR="00174480">
        <w:rPr>
          <w:rFonts w:asciiTheme="minorHAnsi" w:hAnsiTheme="minorHAnsi"/>
        </w:rPr>
        <w:t>ara o senso comum</w:t>
      </w:r>
      <w:r w:rsidRPr="00AA0849">
        <w:rPr>
          <w:rFonts w:asciiTheme="minorHAnsi" w:hAnsiTheme="minorHAnsi"/>
        </w:rPr>
        <w:t xml:space="preserve">, </w:t>
      </w:r>
      <w:r w:rsidR="004846BA">
        <w:rPr>
          <w:rFonts w:asciiTheme="minorHAnsi" w:hAnsiTheme="minorHAnsi"/>
        </w:rPr>
        <w:t xml:space="preserve">algo </w:t>
      </w:r>
      <w:r w:rsidRPr="00AA0849">
        <w:rPr>
          <w:rFonts w:asciiTheme="minorHAnsi" w:hAnsiTheme="minorHAnsi"/>
        </w:rPr>
        <w:t>“natu</w:t>
      </w:r>
      <w:r w:rsidR="00174480">
        <w:rPr>
          <w:rFonts w:asciiTheme="minorHAnsi" w:hAnsiTheme="minorHAnsi"/>
        </w:rPr>
        <w:t>ral” à conduta do brasileiro.</w:t>
      </w:r>
    </w:p>
    <w:p w14:paraId="2AA40B93" w14:textId="4FF4793D" w:rsidR="00174480" w:rsidRPr="004846BA" w:rsidRDefault="004846BA" w:rsidP="00FC37B4">
      <w:pPr>
        <w:spacing w:after="240" w:line="360" w:lineRule="auto"/>
        <w:ind w:firstLine="708"/>
        <w:jc w:val="both"/>
        <w:rPr>
          <w:rFonts w:asciiTheme="minorHAnsi" w:hAnsiTheme="minorHAnsi"/>
        </w:rPr>
      </w:pPr>
      <w:r>
        <w:rPr>
          <w:rFonts w:asciiTheme="minorHAnsi" w:hAnsiTheme="minorHAnsi"/>
        </w:rPr>
        <w:t>D</w:t>
      </w:r>
      <w:r w:rsidR="00174480" w:rsidRPr="004846BA">
        <w:rPr>
          <w:rFonts w:asciiTheme="minorHAnsi" w:hAnsiTheme="minorHAnsi"/>
        </w:rPr>
        <w:t>iversos</w:t>
      </w:r>
      <w:r w:rsidR="00D50181" w:rsidRPr="004846BA">
        <w:rPr>
          <w:rFonts w:asciiTheme="minorHAnsi" w:hAnsiTheme="minorHAnsi"/>
        </w:rPr>
        <w:t xml:space="preserve"> trabalhos demonstram que este não é um comportamento naturalizado, tampouco exclusivo da popula</w:t>
      </w:r>
      <w:r w:rsidR="00E664F2">
        <w:rPr>
          <w:rFonts w:asciiTheme="minorHAnsi" w:hAnsiTheme="minorHAnsi"/>
        </w:rPr>
        <w:t>ção brasileira (FILGUEIRAS, 2008</w:t>
      </w:r>
      <w:r w:rsidR="00D50181" w:rsidRPr="004846BA">
        <w:rPr>
          <w:rFonts w:asciiTheme="minorHAnsi" w:hAnsiTheme="minorHAnsi"/>
        </w:rPr>
        <w:t>)</w:t>
      </w:r>
      <w:r w:rsidR="00F26793">
        <w:rPr>
          <w:rFonts w:asciiTheme="minorHAnsi" w:hAnsiTheme="minorHAnsi"/>
        </w:rPr>
        <w:t>. C</w:t>
      </w:r>
      <w:r w:rsidR="00F26793" w:rsidRPr="004846BA">
        <w:rPr>
          <w:rFonts w:asciiTheme="minorHAnsi" w:hAnsiTheme="minorHAnsi"/>
        </w:rPr>
        <w:t>omo objeto de pesquisa da ciência política</w:t>
      </w:r>
      <w:r w:rsidR="00F26793">
        <w:rPr>
          <w:rFonts w:asciiTheme="minorHAnsi" w:hAnsiTheme="minorHAnsi"/>
        </w:rPr>
        <w:t>, a extensa literatura persegue</w:t>
      </w:r>
      <w:r w:rsidR="00D50181" w:rsidRPr="004846BA">
        <w:rPr>
          <w:rFonts w:asciiTheme="minorHAnsi" w:hAnsiTheme="minorHAnsi"/>
        </w:rPr>
        <w:t xml:space="preserve"> conhecimento sistemático d</w:t>
      </w:r>
      <w:r w:rsidR="00F26793">
        <w:rPr>
          <w:rFonts w:asciiTheme="minorHAnsi" w:hAnsiTheme="minorHAnsi"/>
        </w:rPr>
        <w:t>e</w:t>
      </w:r>
      <w:r w:rsidR="00D50181" w:rsidRPr="004846BA">
        <w:rPr>
          <w:rFonts w:asciiTheme="minorHAnsi" w:hAnsiTheme="minorHAnsi"/>
        </w:rPr>
        <w:t xml:space="preserve"> relações de causa e efeito das práticas corruptas</w:t>
      </w:r>
      <w:r w:rsidR="00040263">
        <w:rPr>
          <w:rFonts w:asciiTheme="minorHAnsi" w:hAnsiTheme="minorHAnsi"/>
        </w:rPr>
        <w:t xml:space="preserve"> em diversos contextos político-sociais</w:t>
      </w:r>
      <w:r>
        <w:rPr>
          <w:rFonts w:asciiTheme="minorHAnsi" w:hAnsiTheme="minorHAnsi"/>
        </w:rPr>
        <w:t>.</w:t>
      </w:r>
      <w:r w:rsidR="00D50181" w:rsidRPr="004846BA">
        <w:rPr>
          <w:rFonts w:asciiTheme="minorHAnsi" w:hAnsiTheme="minorHAnsi"/>
        </w:rPr>
        <w:t xml:space="preserve"> </w:t>
      </w:r>
      <w:r w:rsidR="005B6E27" w:rsidRPr="004846BA">
        <w:rPr>
          <w:rFonts w:asciiTheme="minorHAnsi" w:hAnsiTheme="minorHAnsi"/>
        </w:rPr>
        <w:t>Grande parte das pesquisas atuais (</w:t>
      </w:r>
      <w:r w:rsidR="005B6E27" w:rsidRPr="004846BA">
        <w:rPr>
          <w:rFonts w:asciiTheme="minorHAnsi" w:hAnsiTheme="minorHAnsi"/>
          <w:spacing w:val="-6"/>
        </w:rPr>
        <w:t xml:space="preserve">LAMBSDORFF 2006; MAURO, 2002; </w:t>
      </w:r>
      <w:r w:rsidR="005B6E27" w:rsidRPr="004846BA">
        <w:rPr>
          <w:rFonts w:asciiTheme="minorHAnsi" w:hAnsiTheme="minorHAnsi"/>
        </w:rPr>
        <w:t xml:space="preserve">TREISMAN, 2007; </w:t>
      </w:r>
      <w:r w:rsidR="005B6E27" w:rsidRPr="004846BA">
        <w:rPr>
          <w:rFonts w:asciiTheme="minorHAnsi" w:hAnsiTheme="minorHAnsi"/>
          <w:spacing w:val="-6"/>
        </w:rPr>
        <w:t>JAIN, 2001; KAUFMANN, 1997; KLITGAARD, 1991)</w:t>
      </w:r>
      <w:r w:rsidR="005B6E27" w:rsidRPr="004846BA">
        <w:rPr>
          <w:rFonts w:asciiTheme="minorHAnsi" w:hAnsiTheme="minorHAnsi"/>
        </w:rPr>
        <w:t xml:space="preserve"> canalizam esforços para entender os impactos das práticas corruptas nos indicadores de crescimento econômico, desenvolvimento social e, em menor medida, na confiança institucional, estabilidade e legitimidade política (</w:t>
      </w:r>
      <w:r w:rsidR="00E877E4">
        <w:rPr>
          <w:rFonts w:asciiTheme="minorHAnsi" w:hAnsiTheme="minorHAnsi"/>
        </w:rPr>
        <w:t xml:space="preserve">HUSTED, 1999; </w:t>
      </w:r>
      <w:r w:rsidR="005B6E27" w:rsidRPr="004846BA">
        <w:rPr>
          <w:rFonts w:asciiTheme="minorHAnsi" w:hAnsiTheme="minorHAnsi"/>
        </w:rPr>
        <w:t>SELIGSON, 2002; JOHNSTON 2005; WARREN 2004</w:t>
      </w:r>
      <w:r w:rsidR="00E877E4">
        <w:rPr>
          <w:rFonts w:asciiTheme="minorHAnsi" w:hAnsiTheme="minorHAnsi"/>
        </w:rPr>
        <w:t>;</w:t>
      </w:r>
      <w:r w:rsidR="005B6E27" w:rsidRPr="004846BA">
        <w:rPr>
          <w:rFonts w:asciiTheme="minorHAnsi" w:hAnsiTheme="minorHAnsi"/>
        </w:rPr>
        <w:t>).</w:t>
      </w:r>
    </w:p>
    <w:p w14:paraId="51E927D7" w14:textId="51454ABD" w:rsidR="00D50181" w:rsidRPr="00AA0849" w:rsidRDefault="00D50181" w:rsidP="00FC37B4">
      <w:pPr>
        <w:spacing w:after="240" w:line="360" w:lineRule="auto"/>
        <w:ind w:firstLine="708"/>
        <w:jc w:val="both"/>
        <w:rPr>
          <w:rFonts w:asciiTheme="minorHAnsi" w:hAnsiTheme="minorHAnsi"/>
        </w:rPr>
      </w:pPr>
      <w:r w:rsidRPr="00AA0849">
        <w:rPr>
          <w:rFonts w:asciiTheme="minorHAnsi" w:hAnsiTheme="minorHAnsi"/>
        </w:rPr>
        <w:t xml:space="preserve">Quando o fenômeno é debatido no âmbito do </w:t>
      </w:r>
      <w:r w:rsidR="002C6B1F">
        <w:rPr>
          <w:rFonts w:asciiTheme="minorHAnsi" w:hAnsiTheme="minorHAnsi"/>
        </w:rPr>
        <w:t>dia a dia do</w:t>
      </w:r>
      <w:r w:rsidRPr="00AA0849">
        <w:rPr>
          <w:rFonts w:asciiTheme="minorHAnsi" w:hAnsiTheme="minorHAnsi"/>
        </w:rPr>
        <w:t>s</w:t>
      </w:r>
      <w:r w:rsidR="002C6B1F">
        <w:rPr>
          <w:rFonts w:asciiTheme="minorHAnsi" w:hAnsiTheme="minorHAnsi"/>
        </w:rPr>
        <w:t xml:space="preserve"> cidadãos</w:t>
      </w:r>
      <w:r w:rsidRPr="00AA0849">
        <w:rPr>
          <w:rFonts w:asciiTheme="minorHAnsi" w:hAnsiTheme="minorHAnsi"/>
        </w:rPr>
        <w:t>, pesquisas frequentemente mobilizam a dimensão da “tolerância” ou “aceitação” da corrupção</w:t>
      </w:r>
      <w:r w:rsidRPr="00AA0849">
        <w:t xml:space="preserve"> </w:t>
      </w:r>
      <w:r w:rsidRPr="00AA0849">
        <w:rPr>
          <w:rFonts w:asciiTheme="minorHAnsi" w:hAnsiTheme="minorHAnsi"/>
        </w:rPr>
        <w:t xml:space="preserve">(MORENO 2002; CATTERBERG E MORENO 2005; </w:t>
      </w:r>
      <w:r w:rsidRPr="00AA0849">
        <w:rPr>
          <w:rFonts w:asciiTheme="minorHAnsi" w:hAnsiTheme="minorHAnsi" w:cs="Minion-Regular"/>
        </w:rPr>
        <w:t xml:space="preserve">MELGAR E ROSSI, 2012; </w:t>
      </w:r>
      <w:r w:rsidRPr="00AA0849">
        <w:rPr>
          <w:rFonts w:asciiTheme="minorHAnsi" w:hAnsiTheme="minorHAnsi"/>
        </w:rPr>
        <w:t xml:space="preserve">JAIN </w:t>
      </w:r>
      <w:hyperlink r:id="rId8" w:history="1">
        <w:r w:rsidRPr="00AA0849">
          <w:rPr>
            <w:rFonts w:asciiTheme="minorHAnsi" w:hAnsiTheme="minorHAnsi"/>
          </w:rPr>
          <w:t>E PANDEY</w:t>
        </w:r>
      </w:hyperlink>
      <w:r w:rsidRPr="00AA0849">
        <w:rPr>
          <w:rFonts w:asciiTheme="minorHAnsi" w:hAnsiTheme="minorHAnsi" w:cs="Arial"/>
        </w:rPr>
        <w:t>, 2014;</w:t>
      </w:r>
      <w:r w:rsidRPr="00AA0849">
        <w:rPr>
          <w:rFonts w:asciiTheme="minorHAnsi" w:hAnsiTheme="minorHAnsi"/>
        </w:rPr>
        <w:t xml:space="preserve"> LAVENA, 2013</w:t>
      </w:r>
      <w:r w:rsidR="00E877E4">
        <w:rPr>
          <w:rFonts w:asciiTheme="minorHAnsi" w:hAnsiTheme="minorHAnsi"/>
        </w:rPr>
        <w:t>;</w:t>
      </w:r>
      <w:r w:rsidR="004846BA">
        <w:rPr>
          <w:rFonts w:asciiTheme="minorHAnsi" w:hAnsiTheme="minorHAnsi"/>
        </w:rPr>
        <w:t xml:space="preserve"> TELL</w:t>
      </w:r>
      <w:r w:rsidR="00EB14EC">
        <w:rPr>
          <w:rFonts w:asciiTheme="minorHAnsi" w:hAnsiTheme="minorHAnsi"/>
        </w:rPr>
        <w:t>ES et al 2013, TELLES et al 2013B</w:t>
      </w:r>
      <w:r w:rsidRPr="00AA0849">
        <w:rPr>
          <w:rFonts w:asciiTheme="minorHAnsi" w:hAnsiTheme="minorHAnsi"/>
        </w:rPr>
        <w:t>). Em outras palavras, pesquisadores procur</w:t>
      </w:r>
      <w:r w:rsidR="00A86733">
        <w:rPr>
          <w:rFonts w:asciiTheme="minorHAnsi" w:hAnsiTheme="minorHAnsi"/>
        </w:rPr>
        <w:t xml:space="preserve">am entender porque a população </w:t>
      </w:r>
      <w:r w:rsidR="00F903E8">
        <w:rPr>
          <w:rFonts w:asciiTheme="minorHAnsi" w:hAnsiTheme="minorHAnsi"/>
        </w:rPr>
        <w:t>julga</w:t>
      </w:r>
      <w:r w:rsidRPr="00AA0849">
        <w:rPr>
          <w:rFonts w:asciiTheme="minorHAnsi" w:hAnsiTheme="minorHAnsi"/>
        </w:rPr>
        <w:t xml:space="preserve"> justificável ou aceitável a </w:t>
      </w:r>
      <w:r w:rsidRPr="00AA0849">
        <w:rPr>
          <w:rFonts w:asciiTheme="minorHAnsi" w:hAnsiTheme="minorHAnsi"/>
        </w:rPr>
        <w:lastRenderedPageBreak/>
        <w:t>prática de ações cotidianas consideradas corruptas</w:t>
      </w:r>
      <w:r w:rsidR="002C6B1F">
        <w:rPr>
          <w:rFonts w:asciiTheme="minorHAnsi" w:hAnsiTheme="minorHAnsi"/>
        </w:rPr>
        <w:t>, por exemplo, receber benefícios do governo sem ter direito a eles, sonegar impostos ou oferecer propina</w:t>
      </w:r>
      <w:r w:rsidRPr="00AA0849">
        <w:rPr>
          <w:rFonts w:asciiTheme="minorHAnsi" w:hAnsiTheme="minorHAnsi"/>
        </w:rPr>
        <w:t xml:space="preserve">. </w:t>
      </w:r>
    </w:p>
    <w:p w14:paraId="78AA41BD" w14:textId="039D88B3" w:rsidR="00D50181" w:rsidRPr="00AA0849" w:rsidRDefault="00D50181" w:rsidP="00FC37B4">
      <w:pPr>
        <w:spacing w:after="240" w:line="360" w:lineRule="auto"/>
        <w:jc w:val="both"/>
        <w:rPr>
          <w:rFonts w:asciiTheme="minorHAnsi" w:hAnsiTheme="minorHAnsi"/>
        </w:rPr>
      </w:pPr>
      <w:r w:rsidRPr="00AA0849">
        <w:rPr>
          <w:rFonts w:asciiTheme="minorHAnsi" w:hAnsiTheme="minorHAnsi"/>
        </w:rPr>
        <w:tab/>
      </w:r>
      <w:r w:rsidR="00BF4602">
        <w:rPr>
          <w:rFonts w:asciiTheme="minorHAnsi" w:hAnsiTheme="minorHAnsi"/>
        </w:rPr>
        <w:t>A</w:t>
      </w:r>
      <w:r w:rsidRPr="00AA0849">
        <w:rPr>
          <w:rFonts w:asciiTheme="minorHAnsi" w:hAnsiTheme="minorHAnsi"/>
        </w:rPr>
        <w:t xml:space="preserve"> necessidade de se descrever e estabelecer relações de causa e efeito da aceitação da corrupção motivou pesquisadores ao exercício de atribuir operacionalidade ao conceito. Logo, um dos principais desafios neste campo de pesquisa é justamente mensurar o nível de aceitação à</w:t>
      </w:r>
      <w:r w:rsidR="005B6E27">
        <w:rPr>
          <w:rFonts w:asciiTheme="minorHAnsi" w:hAnsiTheme="minorHAnsi"/>
        </w:rPr>
        <w:t>s práticas de</w:t>
      </w:r>
      <w:r w:rsidRPr="00AA0849">
        <w:rPr>
          <w:rFonts w:asciiTheme="minorHAnsi" w:hAnsiTheme="minorHAnsi"/>
        </w:rPr>
        <w:t xml:space="preserve"> corrupção. </w:t>
      </w:r>
    </w:p>
    <w:p w14:paraId="36A8E4C6" w14:textId="4C4B19FA" w:rsidR="00D50181" w:rsidRPr="00AA0849" w:rsidRDefault="00F903E8" w:rsidP="00FC37B4">
      <w:pPr>
        <w:spacing w:after="240" w:line="360" w:lineRule="auto"/>
        <w:ind w:firstLine="708"/>
        <w:jc w:val="both"/>
        <w:rPr>
          <w:rFonts w:asciiTheme="minorHAnsi" w:hAnsiTheme="minorHAnsi"/>
        </w:rPr>
      </w:pPr>
      <w:r>
        <w:rPr>
          <w:rFonts w:asciiTheme="minorHAnsi" w:hAnsiTheme="minorHAnsi"/>
        </w:rPr>
        <w:t>Como captar de forma clara a</w:t>
      </w:r>
      <w:r w:rsidR="00D50181" w:rsidRPr="00AA0849">
        <w:rPr>
          <w:rFonts w:asciiTheme="minorHAnsi" w:hAnsiTheme="minorHAnsi"/>
        </w:rPr>
        <w:t xml:space="preserve"> “aceitação” ou “tolerância” de um indivíduo em relação às práticas corruptas? Se o fizermos através de surveys ou entrev</w:t>
      </w:r>
      <w:r w:rsidR="00FC37B4">
        <w:rPr>
          <w:rFonts w:asciiTheme="minorHAnsi" w:hAnsiTheme="minorHAnsi"/>
        </w:rPr>
        <w:t>istas, é possível ter um indicador</w:t>
      </w:r>
      <w:r w:rsidR="00D50181" w:rsidRPr="00AA0849">
        <w:rPr>
          <w:rFonts w:asciiTheme="minorHAnsi" w:hAnsiTheme="minorHAnsi"/>
        </w:rPr>
        <w:t xml:space="preserve"> que expresse significativamente a verdadeira medida de aceitação?</w:t>
      </w:r>
      <w:r w:rsidR="00D50181" w:rsidRPr="00AA0849">
        <w:rPr>
          <w:rFonts w:asciiTheme="minorHAnsi" w:hAnsiTheme="minorHAnsi"/>
          <w:vertAlign w:val="superscript"/>
        </w:rPr>
        <w:footnoteReference w:id="1"/>
      </w:r>
    </w:p>
    <w:p w14:paraId="207A6D39" w14:textId="3CD66E4C" w:rsidR="009D5E43" w:rsidRDefault="00D50181" w:rsidP="009D5E43">
      <w:pPr>
        <w:spacing w:after="240" w:line="360" w:lineRule="auto"/>
        <w:jc w:val="both"/>
        <w:rPr>
          <w:rFonts w:asciiTheme="minorHAnsi" w:hAnsiTheme="minorHAnsi"/>
        </w:rPr>
      </w:pPr>
      <w:r w:rsidRPr="00AA0849">
        <w:rPr>
          <w:rFonts w:asciiTheme="minorHAnsi" w:hAnsiTheme="minorHAnsi"/>
        </w:rPr>
        <w:tab/>
        <w:t>Assim como fez a “senhora”, é possível que entrevistados</w:t>
      </w:r>
      <w:r w:rsidR="00F26793">
        <w:rPr>
          <w:rFonts w:asciiTheme="minorHAnsi" w:hAnsiTheme="minorHAnsi"/>
        </w:rPr>
        <w:t xml:space="preserve"> considerem inaceitáveis algumas ações cotidianas tidas como corruptas e, portanto,</w:t>
      </w:r>
      <w:r w:rsidRPr="00AA0849">
        <w:rPr>
          <w:rFonts w:asciiTheme="minorHAnsi" w:hAnsiTheme="minorHAnsi"/>
        </w:rPr>
        <w:t xml:space="preserve"> deem respost</w:t>
      </w:r>
      <w:r w:rsidR="00F26793">
        <w:rPr>
          <w:rFonts w:asciiTheme="minorHAnsi" w:hAnsiTheme="minorHAnsi"/>
        </w:rPr>
        <w:t>as do tipo “não, eu nunca</w:t>
      </w:r>
      <w:r w:rsidRPr="00AA0849">
        <w:rPr>
          <w:rFonts w:asciiTheme="minorHAnsi" w:hAnsiTheme="minorHAnsi"/>
        </w:rPr>
        <w:t xml:space="preserve"> faria</w:t>
      </w:r>
      <w:r w:rsidR="00854DFE">
        <w:rPr>
          <w:rFonts w:asciiTheme="minorHAnsi" w:hAnsiTheme="minorHAnsi"/>
        </w:rPr>
        <w:t xml:space="preserve"> isso”. Deste modo</w:t>
      </w:r>
      <w:r w:rsidR="00F26793">
        <w:rPr>
          <w:rFonts w:asciiTheme="minorHAnsi" w:hAnsiTheme="minorHAnsi"/>
        </w:rPr>
        <w:t>, saberíamos que o indivíduo</w:t>
      </w:r>
      <w:r w:rsidRPr="00AA0849">
        <w:rPr>
          <w:rFonts w:asciiTheme="minorHAnsi" w:hAnsiTheme="minorHAnsi"/>
        </w:rPr>
        <w:t xml:space="preserve"> não tolera a prática ao nível do discurso, mas não podemos </w:t>
      </w:r>
      <w:r w:rsidR="005B6E27">
        <w:rPr>
          <w:rFonts w:asciiTheme="minorHAnsi" w:hAnsiTheme="minorHAnsi"/>
        </w:rPr>
        <w:t>afirmar</w:t>
      </w:r>
      <w:r w:rsidRPr="00AA0849">
        <w:rPr>
          <w:rFonts w:asciiTheme="minorHAnsi" w:hAnsiTheme="minorHAnsi"/>
        </w:rPr>
        <w:t xml:space="preserve"> s</w:t>
      </w:r>
      <w:r w:rsidR="005B6E27">
        <w:rPr>
          <w:rFonts w:asciiTheme="minorHAnsi" w:hAnsiTheme="minorHAnsi"/>
        </w:rPr>
        <w:t>e a opinião condiz com a</w:t>
      </w:r>
      <w:r w:rsidR="00F26793">
        <w:rPr>
          <w:rFonts w:asciiTheme="minorHAnsi" w:hAnsiTheme="minorHAnsi"/>
        </w:rPr>
        <w:t xml:space="preserve"> atitude </w:t>
      </w:r>
      <w:r w:rsidRPr="00AA0849">
        <w:rPr>
          <w:rFonts w:asciiTheme="minorHAnsi" w:hAnsiTheme="minorHAnsi"/>
        </w:rPr>
        <w:t xml:space="preserve">prática. </w:t>
      </w:r>
      <w:r w:rsidR="00DC5E9B">
        <w:rPr>
          <w:rFonts w:asciiTheme="minorHAnsi" w:hAnsiTheme="minorHAnsi"/>
        </w:rPr>
        <w:t>Portanto, quando a aceitação de práticas corruptas é mensurada a partir de opiniões individuais, deve-se considerar os possíveis vieses que afetam as respostas dos entrevistados.</w:t>
      </w:r>
      <w:r w:rsidRPr="00AA0849">
        <w:rPr>
          <w:rFonts w:asciiTheme="minorHAnsi" w:hAnsiTheme="minorHAnsi"/>
        </w:rPr>
        <w:t xml:space="preserve"> </w:t>
      </w:r>
      <w:r w:rsidR="009D5E43">
        <w:rPr>
          <w:rFonts w:asciiTheme="minorHAnsi" w:hAnsiTheme="minorHAnsi"/>
        </w:rPr>
        <w:t xml:space="preserve">A exigência de coerência e consistência de indicadores são critérios de validade e confiabilidade. </w:t>
      </w:r>
    </w:p>
    <w:p w14:paraId="7FBFB271" w14:textId="0D06C311" w:rsidR="00D50181" w:rsidRDefault="00D50181" w:rsidP="009D5E43">
      <w:pPr>
        <w:spacing w:after="240" w:line="360" w:lineRule="auto"/>
        <w:ind w:firstLine="708"/>
        <w:jc w:val="both"/>
        <w:rPr>
          <w:rFonts w:asciiTheme="minorHAnsi" w:hAnsiTheme="minorHAnsi"/>
        </w:rPr>
      </w:pPr>
      <w:r w:rsidRPr="00AA0849">
        <w:rPr>
          <w:rFonts w:asciiTheme="minorHAnsi" w:hAnsiTheme="minorHAnsi"/>
        </w:rPr>
        <w:t>Dado que erros são uma grande ameaça à mensuração, Adcock e Collier (2001) argumentam que pesquisadores deveriam considerar a validade e confiabilidade de suas medidas tão importante quanto suas hipóteses causais.</w:t>
      </w:r>
      <w:r>
        <w:rPr>
          <w:rFonts w:asciiTheme="minorHAnsi" w:hAnsiTheme="minorHAnsi"/>
        </w:rPr>
        <w:t xml:space="preserve"> Este trabalho busca evidências de validade e confiabilidade de </w:t>
      </w:r>
      <w:r w:rsidRPr="00AA0849">
        <w:rPr>
          <w:rFonts w:asciiTheme="minorHAnsi" w:hAnsiTheme="minorHAnsi"/>
        </w:rPr>
        <w:t xml:space="preserve">um </w:t>
      </w:r>
      <w:r w:rsidR="00040263">
        <w:rPr>
          <w:rFonts w:asciiTheme="minorHAnsi" w:hAnsiTheme="minorHAnsi"/>
        </w:rPr>
        <w:t>indicador frequentemente</w:t>
      </w:r>
      <w:r w:rsidR="00040263" w:rsidRPr="00040263">
        <w:rPr>
          <w:rFonts w:asciiTheme="minorHAnsi" w:hAnsiTheme="minorHAnsi"/>
        </w:rPr>
        <w:t xml:space="preserve"> </w:t>
      </w:r>
      <w:r w:rsidR="00040263" w:rsidRPr="00AA0849">
        <w:rPr>
          <w:rFonts w:asciiTheme="minorHAnsi" w:hAnsiTheme="minorHAnsi"/>
        </w:rPr>
        <w:t>mobilizado pela literatura</w:t>
      </w:r>
      <w:r w:rsidRPr="00AA0849">
        <w:rPr>
          <w:rFonts w:asciiTheme="minorHAnsi" w:hAnsiTheme="minorHAnsi"/>
        </w:rPr>
        <w:t xml:space="preserve"> </w:t>
      </w:r>
      <w:r w:rsidR="00040263">
        <w:rPr>
          <w:rFonts w:asciiTheme="minorHAnsi" w:hAnsiTheme="minorHAnsi"/>
        </w:rPr>
        <w:t>sobre a</w:t>
      </w:r>
      <w:r w:rsidRPr="00AA0849">
        <w:rPr>
          <w:rFonts w:asciiTheme="minorHAnsi" w:hAnsiTheme="minorHAnsi"/>
        </w:rPr>
        <w:t xml:space="preserve"> aceitação da corrupção </w:t>
      </w:r>
      <w:r w:rsidR="00493601">
        <w:rPr>
          <w:rFonts w:asciiTheme="minorHAnsi" w:hAnsiTheme="minorHAnsi"/>
        </w:rPr>
        <w:t>no</w:t>
      </w:r>
      <w:r w:rsidR="00040263">
        <w:rPr>
          <w:rFonts w:asciiTheme="minorHAnsi" w:hAnsiTheme="minorHAnsi"/>
        </w:rPr>
        <w:t xml:space="preserve"> âmbito do</w:t>
      </w:r>
      <w:r w:rsidR="00493601">
        <w:rPr>
          <w:rFonts w:asciiTheme="minorHAnsi" w:hAnsiTheme="minorHAnsi"/>
        </w:rPr>
        <w:t xml:space="preserve"> cotidiano</w:t>
      </w:r>
      <w:r w:rsidRPr="00AA0849">
        <w:rPr>
          <w:rFonts w:asciiTheme="minorHAnsi" w:hAnsiTheme="minorHAnsi"/>
        </w:rPr>
        <w:t>: o indicador de tolerância</w:t>
      </w:r>
      <w:r>
        <w:rPr>
          <w:rFonts w:asciiTheme="minorHAnsi" w:hAnsiTheme="minorHAnsi"/>
        </w:rPr>
        <w:t xml:space="preserve"> ou aceitação da corrupção</w:t>
      </w:r>
      <w:r w:rsidR="007635F7">
        <w:rPr>
          <w:rFonts w:asciiTheme="minorHAnsi" w:hAnsiTheme="minorHAnsi"/>
        </w:rPr>
        <w:t xml:space="preserve"> </w:t>
      </w:r>
      <w:r w:rsidR="00544756">
        <w:rPr>
          <w:rFonts w:asciiTheme="minorHAnsi" w:hAnsiTheme="minorHAnsi"/>
        </w:rPr>
        <w:t>(</w:t>
      </w:r>
      <w:r w:rsidR="00544756" w:rsidRPr="00AA0849">
        <w:rPr>
          <w:rFonts w:asciiTheme="minorHAnsi" w:hAnsiTheme="minorHAnsi"/>
        </w:rPr>
        <w:t xml:space="preserve">MORENO 2002; CATTERBERG E MORENO 2005; </w:t>
      </w:r>
      <w:r w:rsidR="00544756" w:rsidRPr="00AA0849">
        <w:rPr>
          <w:rFonts w:asciiTheme="minorHAnsi" w:hAnsiTheme="minorHAnsi" w:cs="Minion-Regular"/>
        </w:rPr>
        <w:t xml:space="preserve">MELGAR E ROSSI, 2012; </w:t>
      </w:r>
      <w:r w:rsidR="00544756" w:rsidRPr="00AA0849">
        <w:rPr>
          <w:rFonts w:asciiTheme="minorHAnsi" w:hAnsiTheme="minorHAnsi"/>
        </w:rPr>
        <w:t xml:space="preserve">JAIN </w:t>
      </w:r>
      <w:hyperlink r:id="rId9" w:history="1">
        <w:r w:rsidR="00544756" w:rsidRPr="00AA0849">
          <w:rPr>
            <w:rFonts w:asciiTheme="minorHAnsi" w:hAnsiTheme="minorHAnsi"/>
          </w:rPr>
          <w:t>E PANDEY</w:t>
        </w:r>
      </w:hyperlink>
      <w:r w:rsidR="00544756" w:rsidRPr="00AA0849">
        <w:rPr>
          <w:rFonts w:asciiTheme="minorHAnsi" w:hAnsiTheme="minorHAnsi" w:cs="Arial"/>
        </w:rPr>
        <w:t>, 2014;</w:t>
      </w:r>
      <w:r w:rsidR="00544756" w:rsidRPr="00AA0849">
        <w:rPr>
          <w:rFonts w:asciiTheme="minorHAnsi" w:hAnsiTheme="minorHAnsi"/>
        </w:rPr>
        <w:t xml:space="preserve"> LAVENA, 2013</w:t>
      </w:r>
      <w:r w:rsidR="00544756">
        <w:rPr>
          <w:rFonts w:asciiTheme="minorHAnsi" w:hAnsiTheme="minorHAnsi"/>
        </w:rPr>
        <w:t>;</w:t>
      </w:r>
      <w:r w:rsidR="00544756" w:rsidRPr="00544756">
        <w:rPr>
          <w:rFonts w:asciiTheme="minorHAnsi" w:hAnsiTheme="minorHAnsi" w:cs="Times-Roman"/>
        </w:rPr>
        <w:t xml:space="preserve"> </w:t>
      </w:r>
      <w:r w:rsidR="00544756" w:rsidRPr="00AB315F">
        <w:rPr>
          <w:rFonts w:asciiTheme="minorHAnsi" w:hAnsiTheme="minorHAnsi" w:cs="Times-Roman"/>
        </w:rPr>
        <w:t>CANACHE 2002; CANACH</w:t>
      </w:r>
      <w:r w:rsidR="00DC6CC6">
        <w:rPr>
          <w:rFonts w:asciiTheme="minorHAnsi" w:hAnsiTheme="minorHAnsi" w:cs="Times-Roman"/>
        </w:rPr>
        <w:t>E AND ALLISON 2005; USLANER 2007</w:t>
      </w:r>
      <w:r w:rsidR="00544756" w:rsidRPr="00AB315F">
        <w:rPr>
          <w:rFonts w:asciiTheme="minorHAnsi" w:hAnsiTheme="minorHAnsi" w:cs="Times-Roman"/>
        </w:rPr>
        <w:t>; YOU AND KHAGRAM, 2005</w:t>
      </w:r>
      <w:r w:rsidR="00544756">
        <w:rPr>
          <w:rFonts w:asciiTheme="minorHAnsi" w:hAnsiTheme="minorHAnsi" w:cs="Times-Roman"/>
        </w:rPr>
        <w:t>)</w:t>
      </w:r>
    </w:p>
    <w:p w14:paraId="782D9ECB" w14:textId="77777777" w:rsidR="00D50181" w:rsidRPr="00AA0849" w:rsidRDefault="00D50181" w:rsidP="00947E8A">
      <w:pPr>
        <w:spacing w:after="240" w:line="360" w:lineRule="auto"/>
        <w:ind w:firstLine="708"/>
        <w:jc w:val="both"/>
        <w:rPr>
          <w:rFonts w:asciiTheme="minorHAnsi" w:hAnsiTheme="minorHAnsi"/>
        </w:rPr>
      </w:pPr>
      <w:r w:rsidRPr="00AA0849">
        <w:rPr>
          <w:rFonts w:asciiTheme="minorHAnsi" w:hAnsiTheme="minorHAnsi"/>
        </w:rPr>
        <w:lastRenderedPageBreak/>
        <w:t>A medida em questão é baseada em quatro itens de resposta os quais questionam o entrevistado se práticas cotidianas de quebra de normas sociais podem ser consideradas justificáveis ou não. A escala de resposta varia de 1 a 10, sendo 1 “nunca justificável” e 10 “sempre justificável”.</w:t>
      </w:r>
    </w:p>
    <w:p w14:paraId="0931DACB" w14:textId="77777777" w:rsidR="00D50181" w:rsidRDefault="00D50181" w:rsidP="00947E8A">
      <w:pPr>
        <w:spacing w:after="240" w:line="360" w:lineRule="auto"/>
        <w:ind w:firstLine="708"/>
        <w:jc w:val="both"/>
        <w:rPr>
          <w:rFonts w:asciiTheme="minorHAnsi" w:hAnsiTheme="minorHAnsi"/>
        </w:rPr>
      </w:pPr>
      <w:r w:rsidRPr="00AA0849">
        <w:rPr>
          <w:rFonts w:asciiTheme="minorHAnsi" w:hAnsiTheme="minorHAnsi"/>
        </w:rPr>
        <w:t>Assim, o constructo</w:t>
      </w:r>
      <w:r w:rsidRPr="00AA0849">
        <w:rPr>
          <w:rFonts w:asciiTheme="minorHAnsi" w:hAnsiTheme="minorHAnsi"/>
          <w:vertAlign w:val="superscript"/>
        </w:rPr>
        <w:footnoteReference w:id="2"/>
      </w:r>
      <w:r w:rsidRPr="00AA0849">
        <w:rPr>
          <w:rFonts w:asciiTheme="minorHAnsi" w:hAnsiTheme="minorHAnsi"/>
        </w:rPr>
        <w:t xml:space="preserve"> “Tolerância à Corrupção” é uma variável latente baseada em 4 indicadores observáveis e reflexivos</w:t>
      </w:r>
      <w:r w:rsidRPr="00AA0849">
        <w:rPr>
          <w:rFonts w:asciiTheme="minorHAnsi" w:hAnsiTheme="minorHAnsi"/>
          <w:vertAlign w:val="superscript"/>
        </w:rPr>
        <w:footnoteReference w:id="3"/>
      </w:r>
      <w:r w:rsidRPr="00AA0849">
        <w:rPr>
          <w:rFonts w:asciiTheme="minorHAnsi" w:hAnsiTheme="minorHAnsi"/>
        </w:rPr>
        <w:t>.</w:t>
      </w:r>
    </w:p>
    <w:p w14:paraId="4EC2EF17" w14:textId="37B4D714" w:rsidR="006B073D" w:rsidRPr="006B073D" w:rsidRDefault="006B073D" w:rsidP="006B073D">
      <w:pPr>
        <w:spacing w:after="240" w:line="360" w:lineRule="auto"/>
        <w:ind w:firstLine="708"/>
        <w:jc w:val="center"/>
        <w:rPr>
          <w:rFonts w:asciiTheme="minorHAnsi" w:hAnsiTheme="minorHAnsi"/>
          <w:b/>
        </w:rPr>
      </w:pPr>
      <w:r w:rsidRPr="006B073D">
        <w:rPr>
          <w:rFonts w:asciiTheme="minorHAnsi" w:hAnsiTheme="minorHAnsi"/>
          <w:b/>
        </w:rPr>
        <w:t>Figura 1</w:t>
      </w:r>
      <w:r w:rsidR="000073A3">
        <w:rPr>
          <w:rFonts w:asciiTheme="minorHAnsi" w:hAnsiTheme="minorHAnsi"/>
          <w:b/>
        </w:rPr>
        <w:t>. Medida de aceitação da corrupção de 4 itens observáveis</w:t>
      </w:r>
    </w:p>
    <w:p w14:paraId="58A359C3" w14:textId="77777777" w:rsidR="00D50181" w:rsidRPr="00AA0849" w:rsidRDefault="00D50181" w:rsidP="00D50181">
      <w:pPr>
        <w:spacing w:line="360" w:lineRule="auto"/>
        <w:ind w:firstLine="708"/>
        <w:rPr>
          <w:rFonts w:asciiTheme="minorHAnsi" w:hAnsiTheme="minorHAnsi"/>
        </w:rPr>
      </w:pPr>
      <w:r>
        <w:rPr>
          <w:rFonts w:asciiTheme="minorHAnsi" w:hAnsiTheme="minorHAnsi"/>
          <w:noProof/>
        </w:rPr>
        <mc:AlternateContent>
          <mc:Choice Requires="wps">
            <w:drawing>
              <wp:anchor distT="0" distB="0" distL="114300" distR="114300" simplePos="0" relativeHeight="251914240" behindDoc="0" locked="0" layoutInCell="1" allowOverlap="1" wp14:anchorId="6A501C5D" wp14:editId="1E5D0A15">
                <wp:simplePos x="0" y="0"/>
                <wp:positionH relativeFrom="column">
                  <wp:posOffset>1022350</wp:posOffset>
                </wp:positionH>
                <wp:positionV relativeFrom="paragraph">
                  <wp:posOffset>213995</wp:posOffset>
                </wp:positionV>
                <wp:extent cx="1549400" cy="0"/>
                <wp:effectExtent l="38100" t="76200" r="12700" b="95250"/>
                <wp:wrapNone/>
                <wp:docPr id="224" name="Conector de seta reta 224"/>
                <wp:cNvGraphicFramePr/>
                <a:graphic xmlns:a="http://schemas.openxmlformats.org/drawingml/2006/main">
                  <a:graphicData uri="http://schemas.microsoft.com/office/word/2010/wordprocessingShape">
                    <wps:wsp>
                      <wps:cNvCnPr/>
                      <wps:spPr>
                        <a:xfrm>
                          <a:off x="0" y="0"/>
                          <a:ext cx="154940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F8A835B" id="_x0000_t32" coordsize="21600,21600" o:spt="32" o:oned="t" path="m,l21600,21600e" filled="f">
                <v:path arrowok="t" fillok="f" o:connecttype="none"/>
                <o:lock v:ext="edit" shapetype="t"/>
              </v:shapetype>
              <v:shape id="Conector de seta reta 224" o:spid="_x0000_s1026" type="#_x0000_t32" style="position:absolute;margin-left:80.5pt;margin-top:16.85pt;width:122pt;height:0;z-index:251914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" strokecolor="black [3200]" strokeweight=".5pt">
                <v:stroke startarrow="block" endarrow="block" joinstyle="miter"/>
              </v:shape>
            </w:pict>
          </mc:Fallback>
        </mc:AlternateContent>
      </w:r>
      <w:r w:rsidRPr="00AA0849">
        <w:rPr>
          <w:rFonts w:asciiTheme="minorHAnsi" w:hAnsiTheme="minorHAnsi"/>
          <w:noProof/>
        </w:rPr>
        <mc:AlternateContent>
          <mc:Choice Requires="wps">
            <w:drawing>
              <wp:anchor distT="45720" distB="45720" distL="114300" distR="114300" simplePos="0" relativeHeight="251912192" behindDoc="0" locked="0" layoutInCell="1" allowOverlap="1" wp14:anchorId="7258897D" wp14:editId="499F73A6">
                <wp:simplePos x="0" y="0"/>
                <wp:positionH relativeFrom="column">
                  <wp:posOffset>-173355</wp:posOffset>
                </wp:positionH>
                <wp:positionV relativeFrom="paragraph">
                  <wp:posOffset>53340</wp:posOffset>
                </wp:positionV>
                <wp:extent cx="1210310" cy="1404620"/>
                <wp:effectExtent l="0" t="0" r="8890" b="0"/>
                <wp:wrapSquare wrapText="bothSides"/>
                <wp:docPr id="50"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0310" cy="1404620"/>
                        </a:xfrm>
                        <a:prstGeom prst="rect">
                          <a:avLst/>
                        </a:prstGeom>
                        <a:solidFill>
                          <a:srgbClr val="FFFFFF"/>
                        </a:solidFill>
                        <a:ln w="9525">
                          <a:noFill/>
                          <a:miter lim="800000"/>
                          <a:headEnd/>
                          <a:tailEnd/>
                        </a:ln>
                      </wps:spPr>
                      <wps:txbx>
                        <w:txbxContent>
                          <w:p w14:paraId="390A496C" w14:textId="77777777" w:rsidR="005D065B" w:rsidRPr="00B77A44" w:rsidRDefault="005D065B" w:rsidP="00D50181">
                            <w:pPr>
                              <w:rPr>
                                <w:rFonts w:asciiTheme="minorHAnsi" w:hAnsiTheme="minorHAnsi"/>
                                <w:sz w:val="22"/>
                              </w:rPr>
                            </w:pPr>
                            <w:r w:rsidRPr="00B77A44">
                              <w:rPr>
                                <w:rFonts w:asciiTheme="minorHAnsi" w:hAnsiTheme="minorHAnsi"/>
                                <w:sz w:val="22"/>
                              </w:rPr>
                              <w:t>Nunca se justifica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258897D" id="_x0000_t202" coordsize="21600,21600" o:spt="202" path="m,l,21600r21600,l21600,xe">
                <v:stroke joinstyle="miter"/>
                <v:path gradientshapeok="t" o:connecttype="rect"/>
              </v:shapetype>
              <v:shape id="Caixa de Texto 2" o:spid="_x0000_s1026" type="#_x0000_t202" style="position:absolute;left:0;text-align:left;margin-left:-13.65pt;margin-top:4.2pt;width:95.3pt;height:110.6pt;z-index:2519121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" stroked="f">
                <v:textbox style="mso-fit-shape-to-text:t">
                  <w:txbxContent>
                    <w:p w14:paraId="390A496C" w14:textId="77777777" w:rsidR="005D065B" w:rsidRPr="00B77A44" w:rsidRDefault="005D065B" w:rsidP="00D50181">
                      <w:pPr>
                        <w:rPr>
                          <w:rFonts w:asciiTheme="minorHAnsi" w:hAnsiTheme="minorHAnsi"/>
                          <w:sz w:val="22"/>
                        </w:rPr>
                      </w:pPr>
                      <w:r w:rsidRPr="00B77A44">
                        <w:rPr>
                          <w:rFonts w:asciiTheme="minorHAnsi" w:hAnsiTheme="minorHAnsi"/>
                          <w:sz w:val="22"/>
                        </w:rPr>
                        <w:t>Nunca se justifica</w:t>
                      </w:r>
                    </w:p>
                  </w:txbxContent>
                </v:textbox>
                <w10:wrap type="square"/>
              </v:shape>
            </w:pict>
          </mc:Fallback>
        </mc:AlternateContent>
      </w:r>
      <w:r w:rsidRPr="00AA0849">
        <w:rPr>
          <w:rFonts w:asciiTheme="minorHAnsi" w:hAnsiTheme="minorHAnsi"/>
          <w:noProof/>
        </w:rPr>
        <mc:AlternateContent>
          <mc:Choice Requires="wps">
            <w:drawing>
              <wp:anchor distT="45720" distB="45720" distL="114300" distR="114300" simplePos="0" relativeHeight="251913216" behindDoc="0" locked="0" layoutInCell="1" allowOverlap="1" wp14:anchorId="05248F3C" wp14:editId="6697A1CC">
                <wp:simplePos x="0" y="0"/>
                <wp:positionH relativeFrom="column">
                  <wp:posOffset>2546350</wp:posOffset>
                </wp:positionH>
                <wp:positionV relativeFrom="paragraph">
                  <wp:posOffset>86995</wp:posOffset>
                </wp:positionV>
                <wp:extent cx="1739900" cy="1404620"/>
                <wp:effectExtent l="0" t="0" r="0" b="0"/>
                <wp:wrapSquare wrapText="bothSides"/>
                <wp:docPr id="5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900" cy="1404620"/>
                        </a:xfrm>
                        <a:prstGeom prst="rect">
                          <a:avLst/>
                        </a:prstGeom>
                        <a:solidFill>
                          <a:srgbClr val="FFFFFF"/>
                        </a:solidFill>
                        <a:ln w="9525">
                          <a:noFill/>
                          <a:miter lim="800000"/>
                          <a:headEnd/>
                          <a:tailEnd/>
                        </a:ln>
                      </wps:spPr>
                      <wps:txbx>
                        <w:txbxContent>
                          <w:p w14:paraId="5AAF7DF6" w14:textId="77777777" w:rsidR="005D065B" w:rsidRPr="00B77A44" w:rsidRDefault="005D065B" w:rsidP="00D50181">
                            <w:pPr>
                              <w:rPr>
                                <w:rFonts w:asciiTheme="minorHAnsi" w:hAnsiTheme="minorHAnsi"/>
                                <w:sz w:val="22"/>
                              </w:rPr>
                            </w:pPr>
                            <w:r w:rsidRPr="00B77A44">
                              <w:rPr>
                                <w:rFonts w:asciiTheme="minorHAnsi" w:hAnsiTheme="minorHAnsi"/>
                                <w:sz w:val="22"/>
                              </w:rPr>
                              <w:t>Sempre se justifica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5248F3C" id="_x0000_s1027" type="#_x0000_t202" style="position:absolute;left:0;text-align:left;margin-left:200.5pt;margin-top:6.85pt;width:137pt;height:110.6pt;z-index:2519132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" stroked="f">
                <v:textbox style="mso-fit-shape-to-text:t">
                  <w:txbxContent>
                    <w:p w14:paraId="5AAF7DF6" w14:textId="77777777" w:rsidR="005D065B" w:rsidRPr="00B77A44" w:rsidRDefault="005D065B" w:rsidP="00D50181">
                      <w:pPr>
                        <w:rPr>
                          <w:rFonts w:asciiTheme="minorHAnsi" w:hAnsiTheme="minorHAnsi"/>
                          <w:sz w:val="22"/>
                        </w:rPr>
                      </w:pPr>
                      <w:r w:rsidRPr="00B77A44">
                        <w:rPr>
                          <w:rFonts w:asciiTheme="minorHAnsi" w:hAnsiTheme="minorHAnsi"/>
                          <w:sz w:val="22"/>
                        </w:rPr>
                        <w:t>Sempre se justifica</w:t>
                      </w:r>
                    </w:p>
                  </w:txbxContent>
                </v:textbox>
                <w10:wrap type="square"/>
              </v:shape>
            </w:pict>
          </mc:Fallback>
        </mc:AlternateContent>
      </w:r>
    </w:p>
    <w:p w14:paraId="0DB77AA4" w14:textId="77777777" w:rsidR="00D50181" w:rsidRPr="00AA0849" w:rsidRDefault="00D50181" w:rsidP="00D50181">
      <w:pPr>
        <w:spacing w:line="360" w:lineRule="auto"/>
        <w:ind w:firstLine="708"/>
        <w:rPr>
          <w:rFonts w:asciiTheme="minorHAnsi" w:hAnsiTheme="minorHAnsi"/>
        </w:rPr>
      </w:pPr>
      <w:r w:rsidRPr="00AA0849">
        <w:rPr>
          <w:rFonts w:asciiTheme="minorHAnsi" w:hAnsiTheme="minorHAnsi"/>
          <w:noProof/>
        </w:rPr>
        <mc:AlternateContent>
          <mc:Choice Requires="wps">
            <w:drawing>
              <wp:anchor distT="0" distB="0" distL="114300" distR="114300" simplePos="0" relativeHeight="251907072" behindDoc="0" locked="0" layoutInCell="1" allowOverlap="1" wp14:anchorId="6227075E" wp14:editId="0E528F72">
                <wp:simplePos x="0" y="0"/>
                <wp:positionH relativeFrom="column">
                  <wp:posOffset>-205105</wp:posOffset>
                </wp:positionH>
                <wp:positionV relativeFrom="paragraph">
                  <wp:posOffset>134620</wp:posOffset>
                </wp:positionV>
                <wp:extent cx="3993266" cy="266218"/>
                <wp:effectExtent l="0" t="0" r="26670" b="19685"/>
                <wp:wrapNone/>
                <wp:docPr id="19" name="Retângulo 19"/>
                <wp:cNvGraphicFramePr/>
                <a:graphic xmlns:a="http://schemas.openxmlformats.org/drawingml/2006/main">
                  <a:graphicData uri="http://schemas.microsoft.com/office/word/2010/wordprocessingShape">
                    <wps:wsp>
                      <wps:cNvSpPr/>
                      <wps:spPr>
                        <a:xfrm>
                          <a:off x="0" y="0"/>
                          <a:ext cx="3993266" cy="26621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9803C62"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Aceitar suborno para cumprir o seu dever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27075E" id="Retângulo 19" o:spid="_x0000_s1028" style="position:absolute;left:0;text-align:left;margin-left:-16.15pt;margin-top:10.6pt;width:314.45pt;height:20.95pt;z-index:25190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" fillcolor="window" strokecolor="windowText" strokeweight="1pt">
                <v:textbox>
                  <w:txbxContent>
                    <w:p w14:paraId="19803C62"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Aceitar suborno para cumprir o seu dever</w:t>
                      </w:r>
                    </w:p>
                  </w:txbxContent>
                </v:textbox>
              </v:rect>
            </w:pict>
          </mc:Fallback>
        </mc:AlternateContent>
      </w:r>
    </w:p>
    <w:p w14:paraId="52E88F2A" w14:textId="77777777" w:rsidR="00D50181" w:rsidRPr="00AA0849" w:rsidRDefault="00D50181" w:rsidP="00D50181">
      <w:pPr>
        <w:spacing w:line="360" w:lineRule="auto"/>
        <w:rPr>
          <w:rFonts w:asciiTheme="minorHAnsi" w:hAnsiTheme="minorHAnsi"/>
        </w:rPr>
      </w:pPr>
      <w:r w:rsidRPr="00AA0849">
        <w:rPr>
          <w:rFonts w:asciiTheme="minorHAnsi" w:hAnsiTheme="minorHAnsi"/>
          <w:noProof/>
        </w:rPr>
        <mc:AlternateContent>
          <mc:Choice Requires="wps">
            <w:drawing>
              <wp:anchor distT="0" distB="0" distL="114300" distR="114300" simplePos="0" relativeHeight="251911168" behindDoc="0" locked="0" layoutInCell="1" allowOverlap="1" wp14:anchorId="1055CA47" wp14:editId="463DD2AB">
                <wp:simplePos x="0" y="0"/>
                <wp:positionH relativeFrom="column">
                  <wp:posOffset>3798594</wp:posOffset>
                </wp:positionH>
                <wp:positionV relativeFrom="paragraph">
                  <wp:posOffset>166611</wp:posOffset>
                </wp:positionV>
                <wp:extent cx="1024360" cy="532436"/>
                <wp:effectExtent l="38100" t="38100" r="23495" b="20320"/>
                <wp:wrapNone/>
                <wp:docPr id="23" name="Conector de seta reta 23"/>
                <wp:cNvGraphicFramePr/>
                <a:graphic xmlns:a="http://schemas.openxmlformats.org/drawingml/2006/main">
                  <a:graphicData uri="http://schemas.microsoft.com/office/word/2010/wordprocessingShape">
                    <wps:wsp>
                      <wps:cNvCnPr/>
                      <wps:spPr>
                        <a:xfrm flipH="1" flipV="1">
                          <a:off x="0" y="0"/>
                          <a:ext cx="1024360" cy="532436"/>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8EE3C65" id="Conector de seta reta 23" o:spid="_x0000_s1026" type="#_x0000_t32" style="position:absolute;margin-left:299.1pt;margin-top:13.1pt;width:80.65pt;height:41.9pt;flip:x y;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" strokecolor="windowText" strokeweight=".5pt">
                <v:stroke endarrow="block" joinstyle="miter"/>
              </v:shape>
            </w:pict>
          </mc:Fallback>
        </mc:AlternateContent>
      </w:r>
    </w:p>
    <w:p w14:paraId="3EC910D4" w14:textId="77777777" w:rsidR="00D50181" w:rsidRPr="00AA0849" w:rsidRDefault="00D50181" w:rsidP="00D50181">
      <w:pPr>
        <w:spacing w:line="360" w:lineRule="auto"/>
        <w:rPr>
          <w:rFonts w:asciiTheme="minorHAnsi" w:hAnsiTheme="minorHAnsi"/>
        </w:rPr>
      </w:pPr>
      <w:r w:rsidRPr="00AA0849">
        <w:rPr>
          <w:rFonts w:asciiTheme="minorHAnsi" w:hAnsiTheme="minorHAnsi"/>
          <w:noProof/>
        </w:rPr>
        <mc:AlternateContent>
          <mc:Choice Requires="wps">
            <w:drawing>
              <wp:anchor distT="0" distB="0" distL="114300" distR="114300" simplePos="0" relativeHeight="251906048" behindDoc="0" locked="0" layoutInCell="1" allowOverlap="1" wp14:anchorId="4CC7D1E5" wp14:editId="28CC2DFC">
                <wp:simplePos x="0" y="0"/>
                <wp:positionH relativeFrom="column">
                  <wp:posOffset>-224155</wp:posOffset>
                </wp:positionH>
                <wp:positionV relativeFrom="paragraph">
                  <wp:posOffset>135255</wp:posOffset>
                </wp:positionV>
                <wp:extent cx="4010025" cy="283210"/>
                <wp:effectExtent l="0" t="0" r="28575" b="21590"/>
                <wp:wrapNone/>
                <wp:docPr id="18" name="Retângulo 18"/>
                <wp:cNvGraphicFramePr/>
                <a:graphic xmlns:a="http://schemas.openxmlformats.org/drawingml/2006/main">
                  <a:graphicData uri="http://schemas.microsoft.com/office/word/2010/wordprocessingShape">
                    <wps:wsp>
                      <wps:cNvSpPr/>
                      <wps:spPr>
                        <a:xfrm>
                          <a:off x="0" y="0"/>
                          <a:ext cx="4010025" cy="28321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799324C"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Deixar de pagar algum imposto se tiver a oportunidade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C7D1E5" id="Retângulo 18" o:spid="_x0000_s1029" style="position:absolute;margin-left:-17.65pt;margin-top:10.65pt;width:315.75pt;height:22.3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" fillcolor="window" strokecolor="windowText" strokeweight="1pt">
                <v:textbox>
                  <w:txbxContent>
                    <w:p w14:paraId="6799324C"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Deixar de pagar algum imposto se tiver a oportunidade</w:t>
                      </w:r>
                    </w:p>
                  </w:txbxContent>
                </v:textbox>
              </v:rect>
            </w:pict>
          </mc:Fallback>
        </mc:AlternateContent>
      </w:r>
    </w:p>
    <w:p w14:paraId="4297754C" w14:textId="77777777" w:rsidR="00D50181" w:rsidRPr="00AA0849" w:rsidRDefault="00D50181" w:rsidP="00D50181">
      <w:pPr>
        <w:spacing w:line="360" w:lineRule="auto"/>
        <w:rPr>
          <w:rFonts w:asciiTheme="minorHAnsi" w:hAnsiTheme="minorHAnsi"/>
        </w:rPr>
      </w:pPr>
      <w:r w:rsidRPr="00AA0849">
        <w:rPr>
          <w:rFonts w:asciiTheme="minorHAnsi" w:hAnsiTheme="minorHAnsi"/>
          <w:noProof/>
        </w:rPr>
        <mc:AlternateContent>
          <mc:Choice Requires="wps">
            <w:drawing>
              <wp:anchor distT="0" distB="0" distL="114300" distR="114300" simplePos="0" relativeHeight="251902976" behindDoc="0" locked="0" layoutInCell="1" allowOverlap="1" wp14:anchorId="3C0CF6B0" wp14:editId="5860851E">
                <wp:simplePos x="0" y="0"/>
                <wp:positionH relativeFrom="column">
                  <wp:posOffset>4679950</wp:posOffset>
                </wp:positionH>
                <wp:positionV relativeFrom="paragraph">
                  <wp:posOffset>26035</wp:posOffset>
                </wp:positionV>
                <wp:extent cx="1409700" cy="863600"/>
                <wp:effectExtent l="0" t="0" r="19050" b="12700"/>
                <wp:wrapNone/>
                <wp:docPr id="3" name="Elipse 3"/>
                <wp:cNvGraphicFramePr/>
                <a:graphic xmlns:a="http://schemas.openxmlformats.org/drawingml/2006/main">
                  <a:graphicData uri="http://schemas.microsoft.com/office/word/2010/wordprocessingShape">
                    <wps:wsp>
                      <wps:cNvSpPr/>
                      <wps:spPr>
                        <a:xfrm>
                          <a:off x="0" y="0"/>
                          <a:ext cx="1409700" cy="863600"/>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7B2B7E60"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Aceitação da corrupção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0CF6B0" id="Elipse 3" o:spid="_x0000_s1030" style="position:absolute;margin-left:368.5pt;margin-top:2.05pt;width:111pt;height:68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" fillcolor="window" strokecolor="windowText" strokeweight="1pt">
                <v:stroke joinstyle="miter"/>
                <v:textbox>
                  <w:txbxContent>
                    <w:p w14:paraId="7B2B7E60"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Aceitação da corrupção</w:t>
                      </w:r>
                    </w:p>
                  </w:txbxContent>
                </v:textbox>
              </v:oval>
            </w:pict>
          </mc:Fallback>
        </mc:AlternateContent>
      </w:r>
      <w:r w:rsidRPr="00AA0849">
        <w:rPr>
          <w:rFonts w:asciiTheme="minorHAnsi" w:hAnsiTheme="minorHAnsi"/>
          <w:noProof/>
        </w:rPr>
        <mc:AlternateContent>
          <mc:Choice Requires="wps">
            <w:drawing>
              <wp:anchor distT="0" distB="0" distL="114300" distR="114300" simplePos="0" relativeHeight="251910144" behindDoc="0" locked="0" layoutInCell="1" allowOverlap="1" wp14:anchorId="09DFBF2C" wp14:editId="67B5A458">
                <wp:simplePos x="0" y="0"/>
                <wp:positionH relativeFrom="column">
                  <wp:posOffset>3787018</wp:posOffset>
                </wp:positionH>
                <wp:positionV relativeFrom="paragraph">
                  <wp:posOffset>94583</wp:posOffset>
                </wp:positionV>
                <wp:extent cx="891251" cy="237281"/>
                <wp:effectExtent l="38100" t="57150" r="23495" b="29845"/>
                <wp:wrapNone/>
                <wp:docPr id="22" name="Conector de seta reta 22"/>
                <wp:cNvGraphicFramePr/>
                <a:graphic xmlns:a="http://schemas.openxmlformats.org/drawingml/2006/main">
                  <a:graphicData uri="http://schemas.microsoft.com/office/word/2010/wordprocessingShape">
                    <wps:wsp>
                      <wps:cNvCnPr/>
                      <wps:spPr>
                        <a:xfrm flipH="1" flipV="1">
                          <a:off x="0" y="0"/>
                          <a:ext cx="891251" cy="237281"/>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E91739E" id="Conector de seta reta 22" o:spid="_x0000_s1026" type="#_x0000_t32" style="position:absolute;margin-left:298.2pt;margin-top:7.45pt;width:70.2pt;height:18.7pt;flip:x y;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" strokecolor="windowText" strokeweight=".5pt">
                <v:stroke endarrow="block" joinstyle="miter"/>
              </v:shape>
            </w:pict>
          </mc:Fallback>
        </mc:AlternateContent>
      </w:r>
    </w:p>
    <w:p w14:paraId="477BCE1C" w14:textId="77777777" w:rsidR="00D50181" w:rsidRPr="00AA0849" w:rsidRDefault="00D50181" w:rsidP="00D50181">
      <w:pPr>
        <w:spacing w:line="360" w:lineRule="auto"/>
        <w:rPr>
          <w:rFonts w:asciiTheme="minorHAnsi" w:hAnsiTheme="minorHAnsi"/>
        </w:rPr>
      </w:pPr>
      <w:r w:rsidRPr="00AA0849">
        <w:rPr>
          <w:rFonts w:asciiTheme="minorHAnsi" w:hAnsiTheme="minorHAnsi"/>
          <w:noProof/>
        </w:rPr>
        <mc:AlternateContent>
          <mc:Choice Requires="wps">
            <w:drawing>
              <wp:anchor distT="0" distB="0" distL="114300" distR="114300" simplePos="0" relativeHeight="251909120" behindDoc="0" locked="0" layoutInCell="1" allowOverlap="1" wp14:anchorId="3E6EA800" wp14:editId="362FCE49">
                <wp:simplePos x="0" y="0"/>
                <wp:positionH relativeFrom="column">
                  <wp:posOffset>3810000</wp:posOffset>
                </wp:positionH>
                <wp:positionV relativeFrom="paragraph">
                  <wp:posOffset>240031</wp:posOffset>
                </wp:positionV>
                <wp:extent cx="928370" cy="45719"/>
                <wp:effectExtent l="0" t="57150" r="24130" b="50165"/>
                <wp:wrapNone/>
                <wp:docPr id="21" name="Conector de seta reta 21"/>
                <wp:cNvGraphicFramePr/>
                <a:graphic xmlns:a="http://schemas.openxmlformats.org/drawingml/2006/main">
                  <a:graphicData uri="http://schemas.microsoft.com/office/word/2010/wordprocessingShape">
                    <wps:wsp>
                      <wps:cNvCnPr/>
                      <wps:spPr>
                        <a:xfrm flipH="1" flipV="1">
                          <a:off x="0" y="0"/>
                          <a:ext cx="928370" cy="4571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79DC942" id="Conector de seta reta 21" o:spid="_x0000_s1026" type="#_x0000_t32" style="position:absolute;margin-left:300pt;margin-top:18.9pt;width:73.1pt;height:3.6pt;flip:x y;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" strokecolor="windowText" strokeweight=".5pt">
                <v:stroke endarrow="block" joinstyle="miter"/>
              </v:shape>
            </w:pict>
          </mc:Fallback>
        </mc:AlternateContent>
      </w:r>
      <w:r w:rsidRPr="00AA0849">
        <w:rPr>
          <w:rFonts w:asciiTheme="minorHAnsi" w:hAnsiTheme="minorHAnsi"/>
          <w:noProof/>
        </w:rPr>
        <mc:AlternateContent>
          <mc:Choice Requires="wps">
            <w:drawing>
              <wp:anchor distT="0" distB="0" distL="114300" distR="114300" simplePos="0" relativeHeight="251905024" behindDoc="0" locked="0" layoutInCell="1" allowOverlap="1" wp14:anchorId="63098888" wp14:editId="7FC7A437">
                <wp:simplePos x="0" y="0"/>
                <wp:positionH relativeFrom="column">
                  <wp:posOffset>-203835</wp:posOffset>
                </wp:positionH>
                <wp:positionV relativeFrom="paragraph">
                  <wp:posOffset>86995</wp:posOffset>
                </wp:positionV>
                <wp:extent cx="3993266" cy="277792"/>
                <wp:effectExtent l="0" t="0" r="26670" b="27305"/>
                <wp:wrapNone/>
                <wp:docPr id="17" name="Retângulo 17"/>
                <wp:cNvGraphicFramePr/>
                <a:graphic xmlns:a="http://schemas.openxmlformats.org/drawingml/2006/main">
                  <a:graphicData uri="http://schemas.microsoft.com/office/word/2010/wordprocessingShape">
                    <wps:wsp>
                      <wps:cNvSpPr/>
                      <wps:spPr>
                        <a:xfrm>
                          <a:off x="0" y="0"/>
                          <a:ext cx="3993266" cy="27779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E9C10E0"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Evitar pagar passagem em transporte público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098888" id="Retângulo 17" o:spid="_x0000_s1031" style="position:absolute;margin-left:-16.05pt;margin-top:6.85pt;width:314.45pt;height:21.85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" fillcolor="window" strokecolor="windowText" strokeweight="1pt">
                <v:textbox>
                  <w:txbxContent>
                    <w:p w14:paraId="4E9C10E0"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Evitar pagar passagem em transporte público</w:t>
                      </w:r>
                    </w:p>
                  </w:txbxContent>
                </v:textbox>
              </v:rect>
            </w:pict>
          </mc:Fallback>
        </mc:AlternateContent>
      </w:r>
    </w:p>
    <w:p w14:paraId="739ED86B" w14:textId="77777777" w:rsidR="00D50181" w:rsidRPr="00AA0849" w:rsidRDefault="00D50181" w:rsidP="00D50181">
      <w:pPr>
        <w:spacing w:line="360" w:lineRule="auto"/>
        <w:rPr>
          <w:rFonts w:asciiTheme="minorHAnsi" w:hAnsiTheme="minorHAnsi"/>
        </w:rPr>
      </w:pPr>
      <w:r w:rsidRPr="00AA0849">
        <w:rPr>
          <w:rFonts w:asciiTheme="minorHAnsi" w:hAnsiTheme="minorHAnsi"/>
          <w:noProof/>
        </w:rPr>
        <mc:AlternateContent>
          <mc:Choice Requires="wps">
            <w:drawing>
              <wp:anchor distT="0" distB="0" distL="114300" distR="114300" simplePos="0" relativeHeight="251908096" behindDoc="0" locked="0" layoutInCell="1" allowOverlap="1" wp14:anchorId="28F3D7E1" wp14:editId="2DAD9CFE">
                <wp:simplePos x="0" y="0"/>
                <wp:positionH relativeFrom="column">
                  <wp:posOffset>3810000</wp:posOffset>
                </wp:positionH>
                <wp:positionV relativeFrom="paragraph">
                  <wp:posOffset>120650</wp:posOffset>
                </wp:positionV>
                <wp:extent cx="1079500" cy="408940"/>
                <wp:effectExtent l="38100" t="0" r="25400" b="67310"/>
                <wp:wrapNone/>
                <wp:docPr id="20" name="Conector de seta reta 20"/>
                <wp:cNvGraphicFramePr/>
                <a:graphic xmlns:a="http://schemas.openxmlformats.org/drawingml/2006/main">
                  <a:graphicData uri="http://schemas.microsoft.com/office/word/2010/wordprocessingShape">
                    <wps:wsp>
                      <wps:cNvCnPr/>
                      <wps:spPr>
                        <a:xfrm flipH="1">
                          <a:off x="0" y="0"/>
                          <a:ext cx="1079500" cy="40894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1771EB5" id="Conector de seta reta 20" o:spid="_x0000_s1026" type="#_x0000_t32" style="position:absolute;margin-left:300pt;margin-top:9.5pt;width:85pt;height:32.2pt;flip:x;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" strokecolor="windowText" strokeweight=".5pt">
                <v:stroke endarrow="block" joinstyle="miter"/>
              </v:shape>
            </w:pict>
          </mc:Fallback>
        </mc:AlternateContent>
      </w:r>
    </w:p>
    <w:p w14:paraId="2FE16F51" w14:textId="77777777" w:rsidR="00D50181" w:rsidRPr="00AA0849" w:rsidRDefault="00D50181" w:rsidP="00D50181">
      <w:pPr>
        <w:spacing w:line="360" w:lineRule="auto"/>
        <w:rPr>
          <w:rFonts w:asciiTheme="minorHAnsi" w:hAnsiTheme="minorHAnsi"/>
        </w:rPr>
      </w:pPr>
      <w:r w:rsidRPr="00AA0849">
        <w:rPr>
          <w:rFonts w:asciiTheme="minorHAnsi" w:hAnsiTheme="minorHAnsi"/>
          <w:noProof/>
        </w:rPr>
        <mc:AlternateContent>
          <mc:Choice Requires="wps">
            <w:drawing>
              <wp:anchor distT="0" distB="0" distL="114300" distR="114300" simplePos="0" relativeHeight="251904000" behindDoc="0" locked="0" layoutInCell="1" allowOverlap="1" wp14:anchorId="786C9656" wp14:editId="78D047D1">
                <wp:simplePos x="0" y="0"/>
                <wp:positionH relativeFrom="column">
                  <wp:posOffset>-206375</wp:posOffset>
                </wp:positionH>
                <wp:positionV relativeFrom="paragraph">
                  <wp:posOffset>73660</wp:posOffset>
                </wp:positionV>
                <wp:extent cx="4016415" cy="277792"/>
                <wp:effectExtent l="0" t="0" r="22225" b="27305"/>
                <wp:wrapNone/>
                <wp:docPr id="6" name="Retângulo 6"/>
                <wp:cNvGraphicFramePr/>
                <a:graphic xmlns:a="http://schemas.openxmlformats.org/drawingml/2006/main">
                  <a:graphicData uri="http://schemas.microsoft.com/office/word/2010/wordprocessingShape">
                    <wps:wsp>
                      <wps:cNvSpPr/>
                      <wps:spPr>
                        <a:xfrm>
                          <a:off x="0" y="0"/>
                          <a:ext cx="4016415" cy="27779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4403FB5"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Receber Benefícios do Governo mesmo sabendo que não tem direito a eles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6C9656" id="Retângulo 6" o:spid="_x0000_s1032" style="position:absolute;margin-left:-16.25pt;margin-top:5.8pt;width:316.25pt;height:21.85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" fillcolor="window" strokecolor="windowText" strokeweight="1pt">
                <v:textbox>
                  <w:txbxContent>
                    <w:p w14:paraId="54403FB5" w14:textId="77777777" w:rsidR="005D065B" w:rsidRPr="00B77A44" w:rsidRDefault="005D065B" w:rsidP="00D50181">
                      <w:pPr>
                        <w:jc w:val="center"/>
                        <w:rPr>
                          <w:rFonts w:asciiTheme="minorHAnsi" w:hAnsiTheme="minorHAnsi"/>
                          <w:sz w:val="22"/>
                        </w:rPr>
                      </w:pPr>
                      <w:r w:rsidRPr="00B77A44">
                        <w:rPr>
                          <w:rFonts w:asciiTheme="minorHAnsi" w:hAnsiTheme="minorHAnsi"/>
                          <w:sz w:val="22"/>
                        </w:rPr>
                        <w:t>Receber Benefícios do Governo mesmo sabendo que não tem direito a eles</w:t>
                      </w:r>
                    </w:p>
                  </w:txbxContent>
                </v:textbox>
              </v:rect>
            </w:pict>
          </mc:Fallback>
        </mc:AlternateContent>
      </w:r>
    </w:p>
    <w:p w14:paraId="7678465F" w14:textId="77777777" w:rsidR="00D50181" w:rsidRPr="00AA0849" w:rsidRDefault="00D50181" w:rsidP="00D50181">
      <w:pPr>
        <w:spacing w:line="360" w:lineRule="auto"/>
        <w:rPr>
          <w:rFonts w:asciiTheme="minorHAnsi" w:hAnsiTheme="minorHAnsi"/>
        </w:rPr>
      </w:pPr>
    </w:p>
    <w:p w14:paraId="76AD7911" w14:textId="44E13A1F" w:rsidR="009C4DC1" w:rsidRPr="001F728A" w:rsidRDefault="001F728A" w:rsidP="001F728A">
      <w:pPr>
        <w:spacing w:after="240" w:line="360" w:lineRule="auto"/>
        <w:jc w:val="both"/>
        <w:rPr>
          <w:rFonts w:asciiTheme="minorHAnsi" w:hAnsiTheme="minorHAnsi"/>
          <w:sz w:val="20"/>
        </w:rPr>
      </w:pPr>
      <w:r w:rsidRPr="001F728A">
        <w:rPr>
          <w:rFonts w:asciiTheme="minorHAnsi" w:hAnsiTheme="minorHAnsi"/>
          <w:sz w:val="20"/>
        </w:rPr>
        <w:t>Fonte: elaboração própria</w:t>
      </w:r>
    </w:p>
    <w:p w14:paraId="64BE7231" w14:textId="1D984D9B" w:rsidR="002C6B1F" w:rsidRDefault="009C4DC1" w:rsidP="002C6B1F">
      <w:pPr>
        <w:spacing w:after="240" w:line="360" w:lineRule="auto"/>
        <w:ind w:firstLine="708"/>
        <w:jc w:val="both"/>
        <w:rPr>
          <w:rFonts w:asciiTheme="minorHAnsi" w:hAnsiTheme="minorHAnsi"/>
        </w:rPr>
      </w:pPr>
      <w:r>
        <w:rPr>
          <w:rFonts w:asciiTheme="minorHAnsi" w:hAnsiTheme="minorHAnsi"/>
        </w:rPr>
        <w:t>A partir</w:t>
      </w:r>
      <w:r w:rsidR="00F903E8">
        <w:rPr>
          <w:rFonts w:asciiTheme="minorHAnsi" w:hAnsiTheme="minorHAnsi"/>
        </w:rPr>
        <w:t xml:space="preserve"> dos achados </w:t>
      </w:r>
      <w:r w:rsidR="00947E8A">
        <w:rPr>
          <w:rFonts w:asciiTheme="minorHAnsi" w:hAnsiTheme="minorHAnsi"/>
        </w:rPr>
        <w:t>de</w:t>
      </w:r>
      <w:r w:rsidR="00F903E8">
        <w:rPr>
          <w:rFonts w:asciiTheme="minorHAnsi" w:hAnsiTheme="minorHAnsi"/>
        </w:rPr>
        <w:t xml:space="preserve"> Catterberg et al (2013)</w:t>
      </w:r>
      <w:r w:rsidR="000073A3">
        <w:rPr>
          <w:rFonts w:asciiTheme="minorHAnsi" w:hAnsiTheme="minorHAnsi"/>
        </w:rPr>
        <w:t xml:space="preserve"> das constatações de Johnston (</w:t>
      </w:r>
      <w:r w:rsidR="00F903E8" w:rsidRPr="00AA0849">
        <w:rPr>
          <w:rFonts w:asciiTheme="minorHAnsi" w:hAnsiTheme="minorHAnsi"/>
        </w:rPr>
        <w:t xml:space="preserve">2001) e dos </w:t>
      </w:r>
      <w:r w:rsidR="00F903E8">
        <w:rPr>
          <w:rFonts w:asciiTheme="minorHAnsi" w:hAnsiTheme="minorHAnsi"/>
        </w:rPr>
        <w:t xml:space="preserve">trabalhos pioneiros de </w:t>
      </w:r>
      <w:r w:rsidR="00F903E8" w:rsidRPr="00AA0849">
        <w:rPr>
          <w:rFonts w:asciiTheme="minorHAnsi" w:hAnsiTheme="minorHAnsi"/>
        </w:rPr>
        <w:t>Peters e Welchs (1978)</w:t>
      </w:r>
      <w:r w:rsidR="00854DFE">
        <w:rPr>
          <w:rFonts w:asciiTheme="minorHAnsi" w:hAnsiTheme="minorHAnsi"/>
        </w:rPr>
        <w:t>,</w:t>
      </w:r>
      <w:r w:rsidR="00F903E8">
        <w:rPr>
          <w:rFonts w:asciiTheme="minorHAnsi" w:hAnsiTheme="minorHAnsi"/>
        </w:rPr>
        <w:t xml:space="preserve"> </w:t>
      </w:r>
      <w:r>
        <w:rPr>
          <w:rFonts w:asciiTheme="minorHAnsi" w:hAnsiTheme="minorHAnsi"/>
        </w:rPr>
        <w:t>argumenta-se</w:t>
      </w:r>
      <w:r w:rsidR="00040263">
        <w:rPr>
          <w:rFonts w:asciiTheme="minorHAnsi" w:hAnsiTheme="minorHAnsi"/>
        </w:rPr>
        <w:t xml:space="preserve"> aqui</w:t>
      </w:r>
      <w:r w:rsidR="00854DFE">
        <w:rPr>
          <w:rFonts w:asciiTheme="minorHAnsi" w:hAnsiTheme="minorHAnsi"/>
        </w:rPr>
        <w:t xml:space="preserve"> que a tentativa de</w:t>
      </w:r>
      <w:r w:rsidR="00F903E8">
        <w:rPr>
          <w:rFonts w:asciiTheme="minorHAnsi" w:hAnsiTheme="minorHAnsi"/>
        </w:rPr>
        <w:t xml:space="preserve"> mensurar o constructo</w:t>
      </w:r>
      <w:r w:rsidR="00EE1BDE">
        <w:rPr>
          <w:rFonts w:asciiTheme="minorHAnsi" w:hAnsiTheme="minorHAnsi"/>
        </w:rPr>
        <w:t xml:space="preserve"> </w:t>
      </w:r>
      <w:r w:rsidR="00F903E8">
        <w:rPr>
          <w:rFonts w:asciiTheme="minorHAnsi" w:hAnsiTheme="minorHAnsi"/>
        </w:rPr>
        <w:t xml:space="preserve">da aceitação da corrupção através dos quatro indicadores observáveis </w:t>
      </w:r>
      <w:r w:rsidR="00405C32">
        <w:rPr>
          <w:rFonts w:asciiTheme="minorHAnsi" w:hAnsiTheme="minorHAnsi"/>
        </w:rPr>
        <w:t xml:space="preserve">apresentados acima </w:t>
      </w:r>
      <w:r w:rsidR="00F903E8">
        <w:rPr>
          <w:rFonts w:asciiTheme="minorHAnsi" w:hAnsiTheme="minorHAnsi"/>
        </w:rPr>
        <w:t>pode</w:t>
      </w:r>
      <w:r w:rsidR="00947E8A">
        <w:rPr>
          <w:rFonts w:asciiTheme="minorHAnsi" w:hAnsiTheme="minorHAnsi"/>
        </w:rPr>
        <w:t xml:space="preserve"> </w:t>
      </w:r>
      <w:r w:rsidR="00F903E8">
        <w:rPr>
          <w:rFonts w:asciiTheme="minorHAnsi" w:hAnsiTheme="minorHAnsi"/>
        </w:rPr>
        <w:t>implicar em erros de</w:t>
      </w:r>
      <w:r w:rsidR="000547C8">
        <w:rPr>
          <w:rFonts w:asciiTheme="minorHAnsi" w:hAnsiTheme="minorHAnsi"/>
        </w:rPr>
        <w:t xml:space="preserve"> mensuração</w:t>
      </w:r>
      <w:r w:rsidR="00947E8A">
        <w:rPr>
          <w:rFonts w:asciiTheme="minorHAnsi" w:hAnsiTheme="minorHAnsi"/>
        </w:rPr>
        <w:t xml:space="preserve">. </w:t>
      </w:r>
      <w:r w:rsidR="002C6B1F">
        <w:rPr>
          <w:rFonts w:asciiTheme="minorHAnsi" w:hAnsiTheme="minorHAnsi"/>
        </w:rPr>
        <w:t>Err</w:t>
      </w:r>
      <w:r w:rsidR="002C6B1F" w:rsidRPr="00AA0849">
        <w:rPr>
          <w:rFonts w:asciiTheme="minorHAnsi" w:hAnsiTheme="minorHAnsi"/>
        </w:rPr>
        <w:t>os</w:t>
      </w:r>
      <w:r w:rsidR="002C6B1F">
        <w:rPr>
          <w:rFonts w:asciiTheme="minorHAnsi" w:hAnsiTheme="minorHAnsi"/>
        </w:rPr>
        <w:t xml:space="preserve"> de mensuração</w:t>
      </w:r>
      <w:r w:rsidR="002C6B1F" w:rsidRPr="00AA0849">
        <w:rPr>
          <w:rFonts w:asciiTheme="minorHAnsi" w:hAnsiTheme="minorHAnsi"/>
        </w:rPr>
        <w:t>, quando sistemáticos, podem distorcer resultados e, se aleatórios, podem gerar inconsistência</w:t>
      </w:r>
      <w:r w:rsidR="002C6B1F">
        <w:rPr>
          <w:rFonts w:asciiTheme="minorHAnsi" w:hAnsiTheme="minorHAnsi"/>
        </w:rPr>
        <w:t>.</w:t>
      </w:r>
    </w:p>
    <w:p w14:paraId="293BC6C2" w14:textId="57B13200" w:rsidR="002C6B1F" w:rsidRDefault="00A17609" w:rsidP="002C6B1F">
      <w:pPr>
        <w:spacing w:after="240" w:line="360" w:lineRule="auto"/>
        <w:ind w:firstLine="708"/>
        <w:jc w:val="both"/>
        <w:rPr>
          <w:rFonts w:asciiTheme="minorHAnsi" w:hAnsiTheme="minorHAnsi"/>
        </w:rPr>
      </w:pPr>
      <w:r>
        <w:rPr>
          <w:rFonts w:asciiTheme="minorHAnsi" w:hAnsiTheme="minorHAnsi"/>
        </w:rPr>
        <w:t>A construção da medida</w:t>
      </w:r>
      <w:r w:rsidR="008B4E59">
        <w:rPr>
          <w:rFonts w:asciiTheme="minorHAnsi" w:hAnsiTheme="minorHAnsi"/>
        </w:rPr>
        <w:t xml:space="preserve"> está sujeita às dificuldades </w:t>
      </w:r>
      <w:r w:rsidR="00040263">
        <w:rPr>
          <w:rFonts w:asciiTheme="minorHAnsi" w:hAnsiTheme="minorHAnsi"/>
        </w:rPr>
        <w:t xml:space="preserve">inerentes às técnicas de coleta </w:t>
      </w:r>
      <w:r w:rsidR="008B4E59">
        <w:rPr>
          <w:rFonts w:asciiTheme="minorHAnsi" w:hAnsiTheme="minorHAnsi"/>
        </w:rPr>
        <w:t xml:space="preserve">de </w:t>
      </w:r>
      <w:r w:rsidR="00040263">
        <w:rPr>
          <w:rFonts w:asciiTheme="minorHAnsi" w:hAnsiTheme="minorHAnsi"/>
        </w:rPr>
        <w:t xml:space="preserve">dados </w:t>
      </w:r>
      <w:r w:rsidR="008B4E59">
        <w:rPr>
          <w:rFonts w:asciiTheme="minorHAnsi" w:hAnsiTheme="minorHAnsi"/>
        </w:rPr>
        <w:t>por entrevi</w:t>
      </w:r>
      <w:r w:rsidR="006A5DCF">
        <w:rPr>
          <w:rFonts w:asciiTheme="minorHAnsi" w:hAnsiTheme="minorHAnsi"/>
        </w:rPr>
        <w:t>stas face a face. Converse (1964</w:t>
      </w:r>
      <w:r w:rsidR="008B4E59">
        <w:rPr>
          <w:rFonts w:asciiTheme="minorHAnsi" w:hAnsiTheme="minorHAnsi"/>
        </w:rPr>
        <w:t xml:space="preserve">) e Zaller (1992) reforçam </w:t>
      </w:r>
      <w:r w:rsidR="008B4E59">
        <w:rPr>
          <w:rFonts w:asciiTheme="minorHAnsi" w:hAnsiTheme="minorHAnsi"/>
        </w:rPr>
        <w:lastRenderedPageBreak/>
        <w:t>que indicadores podem perder consistência quando a coleta de dados é feita através de pesquisas d</w:t>
      </w:r>
      <w:r w:rsidR="00040263">
        <w:rPr>
          <w:rFonts w:asciiTheme="minorHAnsi" w:hAnsiTheme="minorHAnsi"/>
        </w:rPr>
        <w:t>o tipo survey, dado a emergência de e</w:t>
      </w:r>
      <w:r w:rsidR="008B4E59">
        <w:rPr>
          <w:rFonts w:asciiTheme="minorHAnsi" w:hAnsiTheme="minorHAnsi"/>
        </w:rPr>
        <w:t>rros aleatórios</w:t>
      </w:r>
      <w:r>
        <w:rPr>
          <w:rFonts w:asciiTheme="minorHAnsi" w:hAnsiTheme="minorHAnsi"/>
        </w:rPr>
        <w:t>. Quanto a operacionalização do</w:t>
      </w:r>
      <w:r w:rsidR="008B4E59">
        <w:rPr>
          <w:rFonts w:asciiTheme="minorHAnsi" w:hAnsiTheme="minorHAnsi"/>
        </w:rPr>
        <w:t xml:space="preserve"> conteúdo, </w:t>
      </w:r>
      <w:r w:rsidR="008B4E59" w:rsidRPr="00AA0849">
        <w:rPr>
          <w:rFonts w:asciiTheme="minorHAnsi" w:hAnsiTheme="minorHAnsi"/>
        </w:rPr>
        <w:t>Peters e Welchs (1978)</w:t>
      </w:r>
      <w:r w:rsidR="008B4E59">
        <w:rPr>
          <w:rFonts w:asciiTheme="minorHAnsi" w:hAnsiTheme="minorHAnsi"/>
        </w:rPr>
        <w:t xml:space="preserve"> comprovam que o conceito que indivíduos tem sobre a prática da corrupção varia ao longo do tempo e entre contextos diferentes. Na mesma direção, </w:t>
      </w:r>
      <w:r w:rsidR="008B4E59" w:rsidRPr="00AA0849">
        <w:rPr>
          <w:rFonts w:asciiTheme="minorHAnsi" w:hAnsiTheme="minorHAnsi"/>
        </w:rPr>
        <w:t>Johnston (2001)</w:t>
      </w:r>
      <w:r w:rsidR="008B4E59">
        <w:rPr>
          <w:rFonts w:asciiTheme="minorHAnsi" w:hAnsiTheme="minorHAnsi"/>
        </w:rPr>
        <w:t xml:space="preserve"> sustenta que existem impedimentos à análise comparada do fenômeno da corrupção e que </w:t>
      </w:r>
      <w:r w:rsidR="008B4E59" w:rsidRPr="00AA0849">
        <w:rPr>
          <w:rFonts w:asciiTheme="minorHAnsi" w:hAnsiTheme="minorHAnsi"/>
        </w:rPr>
        <w:t>a tentativa de mensuração tende a enfocar determinados asp</w:t>
      </w:r>
      <w:r w:rsidR="008B4E59">
        <w:rPr>
          <w:rFonts w:asciiTheme="minorHAnsi" w:hAnsiTheme="minorHAnsi"/>
        </w:rPr>
        <w:t>ectos em detrimento de outros.</w:t>
      </w:r>
      <w:r w:rsidR="00854DFE">
        <w:rPr>
          <w:rFonts w:asciiTheme="minorHAnsi" w:hAnsiTheme="minorHAnsi"/>
        </w:rPr>
        <w:t xml:space="preserve"> Por fim</w:t>
      </w:r>
      <w:r w:rsidR="004846BA">
        <w:rPr>
          <w:rFonts w:asciiTheme="minorHAnsi" w:hAnsiTheme="minorHAnsi"/>
        </w:rPr>
        <w:t>, Catterb</w:t>
      </w:r>
      <w:r w:rsidR="008B4E59">
        <w:rPr>
          <w:rFonts w:asciiTheme="minorHAnsi" w:hAnsiTheme="minorHAnsi"/>
        </w:rPr>
        <w:t>erg et al (2013) argumentam que</w:t>
      </w:r>
      <w:r w:rsidR="00854DFE">
        <w:rPr>
          <w:rFonts w:asciiTheme="minorHAnsi" w:hAnsiTheme="minorHAnsi"/>
        </w:rPr>
        <w:t xml:space="preserve"> respostas de</w:t>
      </w:r>
      <w:r w:rsidR="002C6B1F">
        <w:rPr>
          <w:rFonts w:asciiTheme="minorHAnsi" w:hAnsiTheme="minorHAnsi"/>
        </w:rPr>
        <w:t xml:space="preserve"> entrevistados sobre a justificação de práticas que rompem com normas sociais podem carregar um forte viés de desejo social</w:t>
      </w:r>
      <w:r w:rsidR="008B4E59">
        <w:rPr>
          <w:rFonts w:asciiTheme="minorHAnsi" w:hAnsiTheme="minorHAnsi"/>
        </w:rPr>
        <w:t xml:space="preserve"> a depender do contexto, e que</w:t>
      </w:r>
      <w:r w:rsidR="002C6B1F">
        <w:rPr>
          <w:rFonts w:asciiTheme="minorHAnsi" w:hAnsiTheme="minorHAnsi"/>
        </w:rPr>
        <w:t xml:space="preserve"> o conceito que a população possui sobre o tema da pergunta pode não ser o mesmo que a</w:t>
      </w:r>
      <w:r w:rsidR="00E668B1">
        <w:rPr>
          <w:rFonts w:asciiTheme="minorHAnsi" w:hAnsiTheme="minorHAnsi"/>
        </w:rPr>
        <w:t>s</w:t>
      </w:r>
      <w:r w:rsidR="002C6B1F">
        <w:rPr>
          <w:rFonts w:asciiTheme="minorHAnsi" w:hAnsiTheme="minorHAnsi"/>
        </w:rPr>
        <w:t xml:space="preserve"> medida</w:t>
      </w:r>
      <w:r w:rsidR="00E668B1">
        <w:rPr>
          <w:rFonts w:asciiTheme="minorHAnsi" w:hAnsiTheme="minorHAnsi"/>
        </w:rPr>
        <w:t>s</w:t>
      </w:r>
      <w:r w:rsidR="002C6B1F">
        <w:rPr>
          <w:rFonts w:asciiTheme="minorHAnsi" w:hAnsiTheme="minorHAnsi"/>
        </w:rPr>
        <w:t xml:space="preserve"> pretende</w:t>
      </w:r>
      <w:r w:rsidR="00E668B1">
        <w:rPr>
          <w:rFonts w:asciiTheme="minorHAnsi" w:hAnsiTheme="minorHAnsi"/>
        </w:rPr>
        <w:t>m</w:t>
      </w:r>
      <w:r w:rsidR="002C6B1F">
        <w:rPr>
          <w:rFonts w:asciiTheme="minorHAnsi" w:hAnsiTheme="minorHAnsi"/>
        </w:rPr>
        <w:t xml:space="preserve"> captar. </w:t>
      </w:r>
    </w:p>
    <w:p w14:paraId="43435A94" w14:textId="331E3450" w:rsidR="00405C32" w:rsidRDefault="00A17609" w:rsidP="00EE1BDE">
      <w:pPr>
        <w:spacing w:after="240" w:line="360" w:lineRule="auto"/>
        <w:ind w:firstLine="708"/>
        <w:jc w:val="both"/>
        <w:rPr>
          <w:rFonts w:asciiTheme="minorHAnsi" w:hAnsiTheme="minorHAnsi"/>
        </w:rPr>
      </w:pPr>
      <w:r>
        <w:rPr>
          <w:rFonts w:asciiTheme="minorHAnsi" w:hAnsiTheme="minorHAnsi"/>
        </w:rPr>
        <w:t>Parte-se do argumento</w:t>
      </w:r>
      <w:r w:rsidR="00405C32">
        <w:rPr>
          <w:rFonts w:asciiTheme="minorHAnsi" w:hAnsiTheme="minorHAnsi"/>
        </w:rPr>
        <w:t xml:space="preserve"> que as que as possíveis</w:t>
      </w:r>
      <w:r w:rsidR="00405C32" w:rsidRPr="00AA0849">
        <w:rPr>
          <w:rFonts w:asciiTheme="minorHAnsi" w:hAnsiTheme="minorHAnsi"/>
        </w:rPr>
        <w:t xml:space="preserve"> fontes de erros</w:t>
      </w:r>
      <w:r w:rsidR="002C6B1F">
        <w:rPr>
          <w:rFonts w:asciiTheme="minorHAnsi" w:hAnsiTheme="minorHAnsi"/>
        </w:rPr>
        <w:t xml:space="preserve"> da medida de aceitação da corrupção</w:t>
      </w:r>
      <w:r w:rsidR="00405C32" w:rsidRPr="00AA0849">
        <w:rPr>
          <w:rFonts w:asciiTheme="minorHAnsi" w:hAnsiTheme="minorHAnsi"/>
        </w:rPr>
        <w:t xml:space="preserve"> podem ser entendidas pela relação </w:t>
      </w:r>
      <w:r w:rsidR="00405C32">
        <w:rPr>
          <w:rFonts w:asciiTheme="minorHAnsi" w:hAnsiTheme="minorHAnsi"/>
        </w:rPr>
        <w:t>entre a metodologia de coleta dos</w:t>
      </w:r>
      <w:r w:rsidR="00405C32" w:rsidRPr="00AA0849">
        <w:rPr>
          <w:rFonts w:asciiTheme="minorHAnsi" w:hAnsiTheme="minorHAnsi"/>
        </w:rPr>
        <w:t xml:space="preserve"> dados, da dinâmica da opinião púbica e aspectos próprios do fenômeno da corrupção atrelados à cultura política de uma sociedade. </w:t>
      </w:r>
      <w:r w:rsidR="00405C32">
        <w:rPr>
          <w:rFonts w:asciiTheme="minorHAnsi" w:hAnsiTheme="minorHAnsi"/>
        </w:rPr>
        <w:t>Mais especificamente, as três dimensões – e a relação entre elas - seriam</w:t>
      </w:r>
      <w:r w:rsidR="00405C32" w:rsidRPr="00AA0849">
        <w:rPr>
          <w:rFonts w:asciiTheme="minorHAnsi" w:hAnsiTheme="minorHAnsi"/>
        </w:rPr>
        <w:t xml:space="preserve"> matrizes</w:t>
      </w:r>
      <w:r>
        <w:rPr>
          <w:rFonts w:asciiTheme="minorHAnsi" w:hAnsiTheme="minorHAnsi"/>
        </w:rPr>
        <w:t xml:space="preserve"> dos seguintes erros:</w:t>
      </w:r>
      <w:r w:rsidR="00405C32" w:rsidRPr="00AA0849">
        <w:rPr>
          <w:rFonts w:asciiTheme="minorHAnsi" w:hAnsiTheme="minorHAnsi"/>
        </w:rPr>
        <w:t xml:space="preserve"> o</w:t>
      </w:r>
      <w:r w:rsidR="00405C32">
        <w:rPr>
          <w:rFonts w:asciiTheme="minorHAnsi" w:hAnsiTheme="minorHAnsi"/>
        </w:rPr>
        <w:t xml:space="preserve"> viés </w:t>
      </w:r>
      <w:r w:rsidR="002C6B1F">
        <w:rPr>
          <w:rFonts w:asciiTheme="minorHAnsi" w:hAnsiTheme="minorHAnsi"/>
        </w:rPr>
        <w:t>de desejabilidade</w:t>
      </w:r>
      <w:r w:rsidR="00405C32" w:rsidRPr="00AA0849">
        <w:rPr>
          <w:rFonts w:asciiTheme="minorHAnsi" w:hAnsiTheme="minorHAnsi"/>
        </w:rPr>
        <w:t xml:space="preserve"> so</w:t>
      </w:r>
      <w:r w:rsidR="00E668B1">
        <w:rPr>
          <w:rFonts w:asciiTheme="minorHAnsi" w:hAnsiTheme="minorHAnsi"/>
        </w:rPr>
        <w:t xml:space="preserve">cial </w:t>
      </w:r>
      <w:r w:rsidR="004C5551">
        <w:rPr>
          <w:rFonts w:asciiTheme="minorHAnsi" w:hAnsiTheme="minorHAnsi"/>
        </w:rPr>
        <w:t>por parte dos</w:t>
      </w:r>
      <w:r w:rsidR="00405C32" w:rsidRPr="00AA0849">
        <w:rPr>
          <w:rFonts w:asciiTheme="minorHAnsi" w:hAnsiTheme="minorHAnsi"/>
        </w:rPr>
        <w:t xml:space="preserve"> entrevistados</w:t>
      </w:r>
      <w:r w:rsidR="004C5551">
        <w:rPr>
          <w:rFonts w:asciiTheme="minorHAnsi" w:hAnsiTheme="minorHAnsi"/>
        </w:rPr>
        <w:t xml:space="preserve"> </w:t>
      </w:r>
      <w:r w:rsidR="00405C32" w:rsidRPr="00AA0849">
        <w:rPr>
          <w:rFonts w:asciiTheme="minorHAnsi" w:hAnsiTheme="minorHAnsi"/>
        </w:rPr>
        <w:t>em relação ao t</w:t>
      </w:r>
      <w:r>
        <w:rPr>
          <w:rFonts w:asciiTheme="minorHAnsi" w:hAnsiTheme="minorHAnsi"/>
        </w:rPr>
        <w:t>ema;</w:t>
      </w:r>
      <w:r w:rsidR="00405C32">
        <w:rPr>
          <w:rFonts w:asciiTheme="minorHAnsi" w:hAnsiTheme="minorHAnsi"/>
        </w:rPr>
        <w:t xml:space="preserve"> </w:t>
      </w:r>
      <w:r w:rsidR="00405C32" w:rsidRPr="00AA0849">
        <w:rPr>
          <w:rFonts w:asciiTheme="minorHAnsi" w:hAnsiTheme="minorHAnsi"/>
        </w:rPr>
        <w:t>problemas de “não-</w:t>
      </w:r>
      <w:r>
        <w:rPr>
          <w:rFonts w:asciiTheme="minorHAnsi" w:hAnsiTheme="minorHAnsi"/>
        </w:rPr>
        <w:t>atitude”;</w:t>
      </w:r>
      <w:r w:rsidR="00405C32">
        <w:rPr>
          <w:rFonts w:asciiTheme="minorHAnsi" w:hAnsiTheme="minorHAnsi"/>
        </w:rPr>
        <w:t xml:space="preserve"> “não-respostas”</w:t>
      </w:r>
      <w:r>
        <w:rPr>
          <w:rFonts w:asciiTheme="minorHAnsi" w:hAnsiTheme="minorHAnsi"/>
        </w:rPr>
        <w:t>;</w:t>
      </w:r>
      <w:r w:rsidR="00405C32">
        <w:rPr>
          <w:rFonts w:asciiTheme="minorHAnsi" w:hAnsiTheme="minorHAnsi"/>
        </w:rPr>
        <w:t xml:space="preserve"> e possíveis distorções</w:t>
      </w:r>
      <w:r w:rsidR="00405C32" w:rsidRPr="00AA0849">
        <w:rPr>
          <w:rFonts w:asciiTheme="minorHAnsi" w:hAnsiTheme="minorHAnsi"/>
        </w:rPr>
        <w:t xml:space="preserve"> na escala de pontuação</w:t>
      </w:r>
      <w:r w:rsidR="002C6B1F">
        <w:rPr>
          <w:rFonts w:asciiTheme="minorHAnsi" w:hAnsiTheme="minorHAnsi"/>
        </w:rPr>
        <w:t>.</w:t>
      </w:r>
    </w:p>
    <w:p w14:paraId="545370FF" w14:textId="39A2A6BD" w:rsidR="00D50181" w:rsidRPr="00AA0849" w:rsidRDefault="00D50181" w:rsidP="00947E8A">
      <w:pPr>
        <w:spacing w:after="240" w:line="360" w:lineRule="auto"/>
        <w:ind w:firstLine="708"/>
        <w:jc w:val="both"/>
        <w:rPr>
          <w:rFonts w:asciiTheme="minorHAnsi" w:hAnsiTheme="minorHAnsi"/>
        </w:rPr>
      </w:pPr>
      <w:r w:rsidRPr="00AA0849">
        <w:rPr>
          <w:rFonts w:asciiTheme="minorHAnsi" w:hAnsiTheme="minorHAnsi"/>
        </w:rPr>
        <w:t xml:space="preserve">A qualidade da mensuração da aceitação da corrupção envolve então critérios de validade, confiabilidade e especificidade contextual, os quais enquadram basicamente os dois tipos de erro: sistemáticos e aleatórios. </w:t>
      </w:r>
      <w:r w:rsidR="009C4DC1">
        <w:rPr>
          <w:rFonts w:asciiTheme="minorHAnsi" w:hAnsiTheme="minorHAnsi"/>
        </w:rPr>
        <w:t>Este trabalho deve</w:t>
      </w:r>
      <w:r w:rsidR="00F903E8">
        <w:rPr>
          <w:rFonts w:asciiTheme="minorHAnsi" w:hAnsiTheme="minorHAnsi"/>
        </w:rPr>
        <w:t xml:space="preserve"> se basear n</w:t>
      </w:r>
      <w:r w:rsidRPr="00AA0849">
        <w:rPr>
          <w:rFonts w:asciiTheme="minorHAnsi" w:hAnsiTheme="minorHAnsi"/>
        </w:rPr>
        <w:t>as abordagen</w:t>
      </w:r>
      <w:r w:rsidR="00536938">
        <w:rPr>
          <w:rFonts w:asciiTheme="minorHAnsi" w:hAnsiTheme="minorHAnsi"/>
        </w:rPr>
        <w:t>s de Carmines e Ze</w:t>
      </w:r>
      <w:r w:rsidRPr="00AA0849">
        <w:rPr>
          <w:rFonts w:asciiTheme="minorHAnsi" w:hAnsiTheme="minorHAnsi"/>
        </w:rPr>
        <w:t>ller (1979) e Adcock e Collier (2001)</w:t>
      </w:r>
      <w:r w:rsidR="009C4DC1">
        <w:rPr>
          <w:rFonts w:asciiTheme="minorHAnsi" w:hAnsiTheme="minorHAnsi"/>
        </w:rPr>
        <w:t xml:space="preserve"> para analisar a coerência e consistência do indicador de aceitação da corrupção. Os autores</w:t>
      </w:r>
      <w:r w:rsidRPr="00AA0849">
        <w:rPr>
          <w:rFonts w:asciiTheme="minorHAnsi" w:hAnsiTheme="minorHAnsi"/>
        </w:rPr>
        <w:t xml:space="preserve"> sugerem uma análise orientada a buscar evidências de validação, confiabilidade e especificidade contextual.    </w:t>
      </w:r>
    </w:p>
    <w:p w14:paraId="2022C054" w14:textId="4742F6E0" w:rsidR="00D50181" w:rsidRDefault="00D50181" w:rsidP="00947E8A">
      <w:pPr>
        <w:spacing w:after="240" w:line="360" w:lineRule="auto"/>
        <w:ind w:firstLine="708"/>
        <w:jc w:val="both"/>
        <w:rPr>
          <w:rFonts w:asciiTheme="minorHAnsi" w:hAnsiTheme="minorHAnsi"/>
        </w:rPr>
      </w:pPr>
      <w:r w:rsidRPr="00AA0849">
        <w:rPr>
          <w:rFonts w:asciiTheme="minorHAnsi" w:hAnsiTheme="minorHAnsi"/>
        </w:rPr>
        <w:t>Pretende-se, avaliar a consistência da medida</w:t>
      </w:r>
      <w:r>
        <w:rPr>
          <w:rFonts w:asciiTheme="minorHAnsi" w:hAnsiTheme="minorHAnsi"/>
        </w:rPr>
        <w:t xml:space="preserve"> de aceitação da corrupção</w:t>
      </w:r>
      <w:r w:rsidRPr="00AA0849">
        <w:rPr>
          <w:rFonts w:asciiTheme="minorHAnsi" w:hAnsiTheme="minorHAnsi"/>
        </w:rPr>
        <w:t xml:space="preserve">, se ela é capaz de captar significativamente o que se pretende medir, se é consistente e se pode </w:t>
      </w:r>
      <w:r w:rsidRPr="00AA0849">
        <w:rPr>
          <w:rFonts w:asciiTheme="minorHAnsi" w:hAnsiTheme="minorHAnsi"/>
        </w:rPr>
        <w:lastRenderedPageBreak/>
        <w:t>transitar com segurança por contextos diferentes</w:t>
      </w:r>
      <w:r w:rsidRPr="00AA0849">
        <w:rPr>
          <w:rFonts w:asciiTheme="minorHAnsi" w:hAnsiTheme="minorHAnsi"/>
          <w:vertAlign w:val="superscript"/>
        </w:rPr>
        <w:footnoteReference w:id="4"/>
      </w:r>
      <w:r w:rsidR="00947E8A">
        <w:rPr>
          <w:rFonts w:asciiTheme="minorHAnsi" w:hAnsiTheme="minorHAnsi"/>
        </w:rPr>
        <w:t xml:space="preserve">, </w:t>
      </w:r>
      <w:r w:rsidR="00947E8A" w:rsidRPr="00AA0849">
        <w:rPr>
          <w:rFonts w:asciiTheme="minorHAnsi" w:hAnsiTheme="minorHAnsi"/>
        </w:rPr>
        <w:t xml:space="preserve">como proposto na maioria das pesquisas </w:t>
      </w:r>
      <w:r w:rsidR="00947E8A" w:rsidRPr="00AA0849">
        <w:rPr>
          <w:rFonts w:asciiTheme="minorHAnsi" w:hAnsiTheme="minorHAnsi"/>
          <w:i/>
        </w:rPr>
        <w:t>cross-country.</w:t>
      </w:r>
      <w:r w:rsidR="00947E8A">
        <w:rPr>
          <w:rFonts w:asciiTheme="minorHAnsi" w:hAnsiTheme="minorHAnsi"/>
          <w:i/>
        </w:rPr>
        <w:t xml:space="preserve"> </w:t>
      </w:r>
      <w:r>
        <w:rPr>
          <w:rFonts w:asciiTheme="minorHAnsi" w:hAnsiTheme="minorHAnsi"/>
        </w:rPr>
        <w:t>Assim, a pergunta central deste trabalho é:</w:t>
      </w:r>
    </w:p>
    <w:p w14:paraId="70391A40" w14:textId="4053957E" w:rsidR="00D50181" w:rsidRPr="00AA0849" w:rsidRDefault="00947E8A" w:rsidP="00947E8A">
      <w:pPr>
        <w:spacing w:after="240" w:line="360" w:lineRule="auto"/>
        <w:ind w:firstLine="708"/>
        <w:jc w:val="both"/>
        <w:rPr>
          <w:rFonts w:asciiTheme="minorHAnsi" w:hAnsiTheme="minorHAnsi"/>
        </w:rPr>
      </w:pPr>
      <w:r>
        <w:rPr>
          <w:rFonts w:asciiTheme="minorHAnsi" w:hAnsiTheme="minorHAnsi"/>
          <w:i/>
        </w:rPr>
        <w:t>Existem evidências</w:t>
      </w:r>
      <w:r w:rsidR="00D50181" w:rsidRPr="00AA0849">
        <w:rPr>
          <w:rFonts w:asciiTheme="minorHAnsi" w:hAnsiTheme="minorHAnsi"/>
          <w:i/>
        </w:rPr>
        <w:t xml:space="preserve"> </w:t>
      </w:r>
      <w:r>
        <w:rPr>
          <w:rFonts w:asciiTheme="minorHAnsi" w:hAnsiTheme="minorHAnsi"/>
          <w:i/>
        </w:rPr>
        <w:t xml:space="preserve">de </w:t>
      </w:r>
      <w:r w:rsidR="00D50181" w:rsidRPr="00AA0849">
        <w:rPr>
          <w:rFonts w:asciiTheme="minorHAnsi" w:hAnsiTheme="minorHAnsi"/>
          <w:i/>
        </w:rPr>
        <w:t>sensibilidade contextual, validade e confiabilidade da medida de aceitação da corrupção?</w:t>
      </w:r>
    </w:p>
    <w:p w14:paraId="0B68FD8C" w14:textId="5BFCE135" w:rsidR="00576A01" w:rsidRDefault="00576A01" w:rsidP="00576A01">
      <w:pPr>
        <w:spacing w:after="240" w:line="360" w:lineRule="auto"/>
        <w:ind w:firstLine="708"/>
        <w:jc w:val="both"/>
        <w:rPr>
          <w:rFonts w:asciiTheme="minorHAnsi" w:hAnsiTheme="minorHAnsi"/>
        </w:rPr>
      </w:pPr>
      <w:r>
        <w:rPr>
          <w:rFonts w:asciiTheme="minorHAnsi" w:hAnsiTheme="minorHAnsi"/>
        </w:rPr>
        <w:t xml:space="preserve">Seguindo as recomendações de </w:t>
      </w:r>
      <w:r w:rsidRPr="00AA0849">
        <w:rPr>
          <w:rFonts w:asciiTheme="minorHAnsi" w:hAnsiTheme="minorHAnsi"/>
        </w:rPr>
        <w:t>Carmines e Zaller (1979) e Adcock e Collier (2001)</w:t>
      </w:r>
      <w:r>
        <w:rPr>
          <w:rFonts w:asciiTheme="minorHAnsi" w:hAnsiTheme="minorHAnsi"/>
        </w:rPr>
        <w:t xml:space="preserve"> apresenta-se hipóteses </w:t>
      </w:r>
      <w:r w:rsidR="00544756">
        <w:rPr>
          <w:rFonts w:asciiTheme="minorHAnsi" w:hAnsiTheme="minorHAnsi"/>
        </w:rPr>
        <w:t>relativas a capacidade da medida em apresentar evidências de validação de conteúdo, validade convergente</w:t>
      </w:r>
      <w:r w:rsidR="00283060">
        <w:rPr>
          <w:rFonts w:asciiTheme="minorHAnsi" w:hAnsiTheme="minorHAnsi"/>
        </w:rPr>
        <w:t xml:space="preserve">, discriminante e nomológica, além de </w:t>
      </w:r>
      <w:r w:rsidR="008B4E59">
        <w:rPr>
          <w:rFonts w:asciiTheme="minorHAnsi" w:hAnsiTheme="minorHAnsi"/>
        </w:rPr>
        <w:t>indicações</w:t>
      </w:r>
      <w:r w:rsidR="00283060">
        <w:rPr>
          <w:rFonts w:asciiTheme="minorHAnsi" w:hAnsiTheme="minorHAnsi"/>
        </w:rPr>
        <w:t xml:space="preserve"> de sensibilidade contextual e consistência dos indicadores</w:t>
      </w:r>
      <w:r w:rsidR="009C4DC1">
        <w:rPr>
          <w:rFonts w:asciiTheme="minorHAnsi" w:hAnsiTheme="minorHAnsi"/>
        </w:rPr>
        <w:t xml:space="preserve"> observáveis</w:t>
      </w:r>
      <w:r w:rsidR="00283060">
        <w:rPr>
          <w:rFonts w:asciiTheme="minorHAnsi" w:hAnsiTheme="minorHAnsi"/>
        </w:rPr>
        <w:t>.</w:t>
      </w:r>
    </w:p>
    <w:p w14:paraId="732FADA6" w14:textId="74D314A2" w:rsidR="00D50181" w:rsidRPr="00AA0849" w:rsidRDefault="00A17609" w:rsidP="00947E8A">
      <w:pPr>
        <w:spacing w:after="240" w:line="360" w:lineRule="auto"/>
        <w:ind w:firstLine="708"/>
        <w:jc w:val="both"/>
        <w:rPr>
          <w:rFonts w:asciiTheme="minorHAnsi" w:hAnsiTheme="minorHAnsi"/>
        </w:rPr>
      </w:pPr>
      <w:r>
        <w:rPr>
          <w:rFonts w:asciiTheme="minorHAnsi" w:hAnsiTheme="minorHAnsi"/>
        </w:rPr>
        <w:t>Para tentar alcançar os propósitos acima</w:t>
      </w:r>
      <w:r w:rsidR="00D50181" w:rsidRPr="00AA0849">
        <w:rPr>
          <w:rFonts w:asciiTheme="minorHAnsi" w:hAnsiTheme="minorHAnsi"/>
        </w:rPr>
        <w:t>, utiliza-se dados das</w:t>
      </w:r>
      <w:r w:rsidR="00283060">
        <w:rPr>
          <w:rFonts w:asciiTheme="minorHAnsi" w:hAnsiTheme="minorHAnsi"/>
        </w:rPr>
        <w:t xml:space="preserve"> rodadas de</w:t>
      </w:r>
      <w:r w:rsidR="00D50181" w:rsidRPr="00AA0849">
        <w:rPr>
          <w:rFonts w:asciiTheme="minorHAnsi" w:hAnsiTheme="minorHAnsi"/>
        </w:rPr>
        <w:t xml:space="preserve"> pesquisas do World Value Survey (WVS) e do Barômetro das Américas (LAPOP</w:t>
      </w:r>
      <w:r w:rsidR="007F2C6A" w:rsidRPr="00AA0849">
        <w:rPr>
          <w:rFonts w:asciiTheme="minorHAnsi" w:hAnsiTheme="minorHAnsi"/>
        </w:rPr>
        <w:t>)</w:t>
      </w:r>
      <w:r w:rsidR="007F2C6A">
        <w:rPr>
          <w:rFonts w:asciiTheme="minorHAnsi" w:hAnsiTheme="minorHAnsi"/>
        </w:rPr>
        <w:t>. Para</w:t>
      </w:r>
      <w:r w:rsidR="00FF4D9F">
        <w:rPr>
          <w:rFonts w:asciiTheme="minorHAnsi" w:hAnsiTheme="minorHAnsi"/>
        </w:rPr>
        <w:t xml:space="preserve"> o caso brasileiro</w:t>
      </w:r>
      <w:r w:rsidR="00D50181" w:rsidRPr="00AA0849">
        <w:rPr>
          <w:rFonts w:asciiTheme="minorHAnsi" w:hAnsiTheme="minorHAnsi"/>
        </w:rPr>
        <w:t>. A</w:t>
      </w:r>
      <w:r w:rsidR="00FF4D9F">
        <w:rPr>
          <w:rFonts w:asciiTheme="minorHAnsi" w:hAnsiTheme="minorHAnsi"/>
        </w:rPr>
        <w:t>demais, devido a limitações da base de dados do caso brasileiro, a análise de confiabilidade será realizada</w:t>
      </w:r>
      <w:r w:rsidR="00D50181" w:rsidRPr="00AA0849">
        <w:rPr>
          <w:rFonts w:asciiTheme="minorHAnsi" w:hAnsiTheme="minorHAnsi"/>
        </w:rPr>
        <w:t xml:space="preserve"> considerand</w:t>
      </w:r>
      <w:r w:rsidR="00576A01">
        <w:rPr>
          <w:rFonts w:asciiTheme="minorHAnsi" w:hAnsiTheme="minorHAnsi"/>
        </w:rPr>
        <w:t xml:space="preserve">o o desempenho da medida em </w:t>
      </w:r>
      <w:r w:rsidR="00FF4D9F">
        <w:rPr>
          <w:rFonts w:asciiTheme="minorHAnsi" w:hAnsiTheme="minorHAnsi"/>
        </w:rPr>
        <w:t>outros três</w:t>
      </w:r>
      <w:r w:rsidR="00576A01">
        <w:rPr>
          <w:rFonts w:asciiTheme="minorHAnsi" w:hAnsiTheme="minorHAnsi"/>
        </w:rPr>
        <w:t xml:space="preserve"> </w:t>
      </w:r>
      <w:r w:rsidR="00405C32">
        <w:rPr>
          <w:rFonts w:asciiTheme="minorHAnsi" w:hAnsiTheme="minorHAnsi"/>
        </w:rPr>
        <w:t>países</w:t>
      </w:r>
      <w:r w:rsidR="00D50181" w:rsidRPr="00AA0849">
        <w:rPr>
          <w:rFonts w:asciiTheme="minorHAnsi" w:hAnsiTheme="minorHAnsi"/>
        </w:rPr>
        <w:t xml:space="preserve"> latino-americanos: Argentina,</w:t>
      </w:r>
      <w:r w:rsidR="00576A01">
        <w:rPr>
          <w:rFonts w:asciiTheme="minorHAnsi" w:hAnsiTheme="minorHAnsi"/>
        </w:rPr>
        <w:t xml:space="preserve"> </w:t>
      </w:r>
      <w:r w:rsidR="00D50181" w:rsidRPr="00AA0849">
        <w:rPr>
          <w:rFonts w:asciiTheme="minorHAnsi" w:hAnsiTheme="minorHAnsi"/>
        </w:rPr>
        <w:t xml:space="preserve">Chile e México. </w:t>
      </w:r>
    </w:p>
    <w:p w14:paraId="0725B970" w14:textId="507935A9" w:rsidR="00D50181" w:rsidRDefault="00D50181" w:rsidP="00947E8A">
      <w:pPr>
        <w:spacing w:after="240" w:line="360" w:lineRule="auto"/>
        <w:ind w:firstLine="708"/>
        <w:jc w:val="both"/>
        <w:rPr>
          <w:rFonts w:asciiTheme="minorHAnsi" w:hAnsiTheme="minorHAnsi"/>
        </w:rPr>
      </w:pPr>
      <w:r w:rsidRPr="00AA0849">
        <w:rPr>
          <w:rFonts w:asciiTheme="minorHAnsi" w:hAnsiTheme="minorHAnsi"/>
        </w:rPr>
        <w:t>De antemão, assume-se que a análise de validade e confiabilidade da medida de Aceitação é limitada. A situação ideal para confirmar inferências descritivas de consistência e coerência do indicador seria aquela em que todas as variáveis e observações mobilizadas na análise fizessem parte de uma mesma rodada de coleta de dados</w:t>
      </w:r>
      <w:r w:rsidR="00142975">
        <w:rPr>
          <w:rFonts w:asciiTheme="minorHAnsi" w:hAnsiTheme="minorHAnsi"/>
        </w:rPr>
        <w:t xml:space="preserve"> e que tivéssemos mais rodadas para o caso brasileiro</w:t>
      </w:r>
      <w:r w:rsidR="00D356F8">
        <w:rPr>
          <w:rFonts w:asciiTheme="minorHAnsi" w:hAnsiTheme="minorHAnsi"/>
        </w:rPr>
        <w:t>.</w:t>
      </w:r>
      <w:r w:rsidR="00142975">
        <w:rPr>
          <w:rFonts w:asciiTheme="minorHAnsi" w:hAnsiTheme="minorHAnsi"/>
        </w:rPr>
        <w:t xml:space="preserve"> </w:t>
      </w:r>
      <w:r w:rsidR="003F1F14">
        <w:rPr>
          <w:rFonts w:asciiTheme="minorHAnsi" w:hAnsiTheme="minorHAnsi"/>
        </w:rPr>
        <w:t xml:space="preserve">Alguns critérios de validade, como, validade discriminante e validade convergente só podem ser analisadas a partir de um dos indicadores observáveis do constructo. </w:t>
      </w:r>
      <w:r w:rsidR="00170A04">
        <w:rPr>
          <w:rFonts w:asciiTheme="minorHAnsi" w:hAnsiTheme="minorHAnsi"/>
        </w:rPr>
        <w:t>Dado a inexistência de dados e não ser possível comparar a rodada de 199</w:t>
      </w:r>
      <w:r w:rsidR="003F1F14">
        <w:rPr>
          <w:rFonts w:asciiTheme="minorHAnsi" w:hAnsiTheme="minorHAnsi"/>
        </w:rPr>
        <w:t>9</w:t>
      </w:r>
      <w:r w:rsidR="00170A04">
        <w:rPr>
          <w:rFonts w:asciiTheme="minorHAnsi" w:hAnsiTheme="minorHAnsi"/>
        </w:rPr>
        <w:t xml:space="preserve"> para o caso do Brasil, para a análise de confiabilidade recorre-se à série de rodadas no México, Chile e Argentina. E ainda, para avaliar a evidências de especificidade contextual recorre-se ao indicador alternativo da base de dados do Barômetro das Américas de 2008.</w:t>
      </w:r>
    </w:p>
    <w:p w14:paraId="70F150FA" w14:textId="4175C39F" w:rsidR="00BB6650" w:rsidRDefault="00BB6650" w:rsidP="00947E8A">
      <w:pPr>
        <w:spacing w:after="240" w:line="360" w:lineRule="auto"/>
        <w:ind w:firstLine="708"/>
        <w:jc w:val="both"/>
        <w:rPr>
          <w:rFonts w:asciiTheme="minorHAnsi" w:hAnsiTheme="minorHAnsi"/>
        </w:rPr>
      </w:pPr>
      <w:r>
        <w:rPr>
          <w:rFonts w:asciiTheme="minorHAnsi" w:hAnsiTheme="minorHAnsi"/>
        </w:rPr>
        <w:lastRenderedPageBreak/>
        <w:t>As hipóteses levantadas serão avaliadas conforme o desempenho da medida em testes de que envolvem análise fatorial exploratória e confirmatória, o coeficiente de alpha de Crombach e modelos de equações estruturais.</w:t>
      </w:r>
    </w:p>
    <w:p w14:paraId="43EDF917" w14:textId="79968B53" w:rsidR="00113799" w:rsidRDefault="00113799" w:rsidP="00113799">
      <w:pPr>
        <w:spacing w:after="240" w:line="360" w:lineRule="auto"/>
        <w:ind w:firstLine="708"/>
        <w:jc w:val="both"/>
        <w:rPr>
          <w:rFonts w:asciiTheme="minorHAnsi" w:hAnsiTheme="minorHAnsi"/>
        </w:rPr>
      </w:pPr>
      <w:r>
        <w:rPr>
          <w:rFonts w:asciiTheme="minorHAnsi" w:hAnsiTheme="minorHAnsi"/>
        </w:rPr>
        <w:t>Antes, o</w:t>
      </w:r>
      <w:r w:rsidRPr="00AA0849">
        <w:rPr>
          <w:rFonts w:asciiTheme="minorHAnsi" w:hAnsiTheme="minorHAnsi"/>
        </w:rPr>
        <w:t xml:space="preserve"> </w:t>
      </w:r>
      <w:r w:rsidR="0059748B">
        <w:rPr>
          <w:rFonts w:asciiTheme="minorHAnsi" w:hAnsiTheme="minorHAnsi"/>
        </w:rPr>
        <w:t>esforço de</w:t>
      </w:r>
      <w:r w:rsidRPr="00AA0849">
        <w:rPr>
          <w:rFonts w:asciiTheme="minorHAnsi" w:hAnsiTheme="minorHAnsi"/>
        </w:rPr>
        <w:t xml:space="preserve"> levantar evidências de validade e confiabilidade da medida de aceitação da corrupção passa por um processo de análise do referencial teórico conceitual do fenômeno mais amplo da corrupção bem como da dimensão da </w:t>
      </w:r>
      <w:r>
        <w:rPr>
          <w:rFonts w:asciiTheme="minorHAnsi" w:hAnsiTheme="minorHAnsi"/>
        </w:rPr>
        <w:t>aceitação</w:t>
      </w:r>
      <w:r w:rsidRPr="00AA0849">
        <w:rPr>
          <w:rFonts w:asciiTheme="minorHAnsi" w:hAnsiTheme="minorHAnsi"/>
        </w:rPr>
        <w:t>.</w:t>
      </w:r>
    </w:p>
    <w:p w14:paraId="0736A0FF" w14:textId="315042B3" w:rsidR="00113799" w:rsidRPr="00AA0849" w:rsidRDefault="00113799" w:rsidP="00113799">
      <w:pPr>
        <w:spacing w:after="240" w:line="360" w:lineRule="auto"/>
        <w:ind w:firstLine="708"/>
        <w:jc w:val="both"/>
        <w:rPr>
          <w:rFonts w:asciiTheme="minorHAnsi" w:hAnsiTheme="minorHAnsi"/>
        </w:rPr>
      </w:pPr>
      <w:r w:rsidRPr="00AA0849">
        <w:rPr>
          <w:rFonts w:asciiTheme="minorHAnsi" w:hAnsiTheme="minorHAnsi"/>
        </w:rPr>
        <w:t xml:space="preserve">Parte da persistência de longas controversas quanto à natureza, intensidade e direção das relações entre práticas corruptas e fatores de causa ou efeito se justifica pelo fato de que o foco de análise dos estudos sobre corrupção apresenta variações quanto a abordagens teórico-conceituais, multidimensionalidade e especificidades contextuais. Por conseguinte, forma-se ainda uma gama diversa de referenciais empíricos e tentativas de mensuração do fenômeno.  </w:t>
      </w:r>
    </w:p>
    <w:p w14:paraId="55CB1739" w14:textId="77777777" w:rsidR="00113799" w:rsidRPr="00AA0849" w:rsidRDefault="00113799" w:rsidP="00113799">
      <w:pPr>
        <w:spacing w:after="240" w:line="360" w:lineRule="auto"/>
        <w:ind w:firstLine="708"/>
        <w:jc w:val="both"/>
        <w:rPr>
          <w:rFonts w:asciiTheme="minorHAnsi" w:hAnsiTheme="minorHAnsi"/>
        </w:rPr>
      </w:pPr>
      <w:r w:rsidRPr="00AA0849">
        <w:rPr>
          <w:rFonts w:asciiTheme="minorHAnsi" w:hAnsiTheme="minorHAnsi"/>
        </w:rPr>
        <w:t>Assim, perspectivas analíticas diferentes implicam em substâncias diferentes, conceitos e indicadores distintos, variadas consequências e propostas de normatização contra a corrupção (FILGUEIRAS 2008). Portanto, o estudo do tema carece de um exercício de avaliação das perspectivas teóricas como também do instrumental analítico.</w:t>
      </w:r>
    </w:p>
    <w:p w14:paraId="4D47A22D" w14:textId="11498BE5" w:rsidR="00D50181" w:rsidRPr="00C51A0E" w:rsidRDefault="00D50181" w:rsidP="00947E8A">
      <w:pPr>
        <w:spacing w:after="240" w:line="360" w:lineRule="auto"/>
        <w:ind w:firstLine="708"/>
        <w:jc w:val="both"/>
        <w:rPr>
          <w:rFonts w:asciiTheme="minorHAnsi" w:hAnsiTheme="minorHAnsi"/>
        </w:rPr>
      </w:pPr>
      <w:r w:rsidRPr="00C51A0E">
        <w:rPr>
          <w:rFonts w:asciiTheme="minorHAnsi" w:hAnsiTheme="minorHAnsi"/>
        </w:rPr>
        <w:t>O trabalho divide-se em 3 capítulos. O primeiro</w:t>
      </w:r>
      <w:r w:rsidR="00BB6650" w:rsidRPr="00C51A0E">
        <w:rPr>
          <w:rFonts w:asciiTheme="minorHAnsi" w:hAnsiTheme="minorHAnsi"/>
        </w:rPr>
        <w:t xml:space="preserve"> detalha o a</w:t>
      </w:r>
      <w:r w:rsidR="007635F7" w:rsidRPr="00C51A0E">
        <w:rPr>
          <w:rFonts w:asciiTheme="minorHAnsi" w:hAnsiTheme="minorHAnsi"/>
        </w:rPr>
        <w:t>rgumento central, a seguir</w:t>
      </w:r>
      <w:r w:rsidR="00BB6650" w:rsidRPr="00C51A0E">
        <w:rPr>
          <w:rFonts w:asciiTheme="minorHAnsi" w:hAnsiTheme="minorHAnsi"/>
        </w:rPr>
        <w:t xml:space="preserve">, </w:t>
      </w:r>
      <w:r w:rsidRPr="00C51A0E">
        <w:rPr>
          <w:rFonts w:asciiTheme="minorHAnsi" w:hAnsiTheme="minorHAnsi"/>
        </w:rPr>
        <w:t>apresenta</w:t>
      </w:r>
      <w:r w:rsidR="00BB6650" w:rsidRPr="00C51A0E">
        <w:rPr>
          <w:rFonts w:asciiTheme="minorHAnsi" w:hAnsiTheme="minorHAnsi"/>
        </w:rPr>
        <w:t>-se</w:t>
      </w:r>
      <w:r w:rsidRPr="00C51A0E">
        <w:rPr>
          <w:rFonts w:asciiTheme="minorHAnsi" w:hAnsiTheme="minorHAnsi"/>
        </w:rPr>
        <w:t xml:space="preserve"> refe</w:t>
      </w:r>
      <w:r w:rsidR="00BB6650" w:rsidRPr="00C51A0E">
        <w:rPr>
          <w:rFonts w:asciiTheme="minorHAnsi" w:hAnsiTheme="minorHAnsi"/>
        </w:rPr>
        <w:t>renciais teóricos e conceituais</w:t>
      </w:r>
      <w:r w:rsidRPr="00C51A0E">
        <w:rPr>
          <w:rFonts w:asciiTheme="minorHAnsi" w:hAnsiTheme="minorHAnsi"/>
        </w:rPr>
        <w:t xml:space="preserve">, </w:t>
      </w:r>
      <w:r w:rsidR="00BB6650" w:rsidRPr="00C51A0E">
        <w:rPr>
          <w:rFonts w:asciiTheme="minorHAnsi" w:hAnsiTheme="minorHAnsi"/>
        </w:rPr>
        <w:t xml:space="preserve">referencia-se </w:t>
      </w:r>
      <w:r w:rsidR="007635F7" w:rsidRPr="00C51A0E">
        <w:rPr>
          <w:rFonts w:asciiTheme="minorHAnsi" w:hAnsiTheme="minorHAnsi"/>
        </w:rPr>
        <w:t xml:space="preserve">dimensões do fenômeno da “aceitação” </w:t>
      </w:r>
      <w:r w:rsidR="00BB6650" w:rsidRPr="00C51A0E">
        <w:rPr>
          <w:rFonts w:asciiTheme="minorHAnsi" w:hAnsiTheme="minorHAnsi"/>
        </w:rPr>
        <w:t xml:space="preserve">à dinâmica da opinião pública, </w:t>
      </w:r>
      <w:r w:rsidRPr="00C51A0E">
        <w:rPr>
          <w:rFonts w:asciiTheme="minorHAnsi" w:hAnsiTheme="minorHAnsi"/>
        </w:rPr>
        <w:t>resgata-se as matrizes teórico-conce</w:t>
      </w:r>
      <w:r w:rsidR="00BB6650" w:rsidRPr="00C51A0E">
        <w:rPr>
          <w:rFonts w:asciiTheme="minorHAnsi" w:hAnsiTheme="minorHAnsi"/>
        </w:rPr>
        <w:t>ituais do fenômeno da corrupção e apresenta-se</w:t>
      </w:r>
      <w:r w:rsidRPr="00C51A0E">
        <w:rPr>
          <w:rFonts w:asciiTheme="minorHAnsi" w:hAnsiTheme="minorHAnsi"/>
        </w:rPr>
        <w:t xml:space="preserve"> os achados e a mobilização da medida de “Aceitação da C</w:t>
      </w:r>
      <w:r w:rsidR="00BB6650" w:rsidRPr="00C51A0E">
        <w:rPr>
          <w:rFonts w:asciiTheme="minorHAnsi" w:hAnsiTheme="minorHAnsi"/>
        </w:rPr>
        <w:t>orrupção” na literatura.</w:t>
      </w:r>
    </w:p>
    <w:p w14:paraId="502583CB" w14:textId="3751BE78" w:rsidR="00D50181" w:rsidRPr="00C51A0E" w:rsidRDefault="00D50181" w:rsidP="00947E8A">
      <w:pPr>
        <w:spacing w:after="240" w:line="360" w:lineRule="auto"/>
        <w:ind w:firstLine="708"/>
        <w:jc w:val="both"/>
        <w:rPr>
          <w:rFonts w:asciiTheme="minorHAnsi" w:hAnsiTheme="minorHAnsi"/>
        </w:rPr>
      </w:pPr>
      <w:r w:rsidRPr="00C51A0E">
        <w:rPr>
          <w:rFonts w:asciiTheme="minorHAnsi" w:hAnsiTheme="minorHAnsi"/>
        </w:rPr>
        <w:t xml:space="preserve">O segundo capítulo discorre sobre o referencial metodológico da validade, confiabilidade e especificidade contextual, logo adiante, analisa-se as possíveis fontes de erro de mensuração e </w:t>
      </w:r>
      <w:r w:rsidR="007635F7" w:rsidRPr="00C51A0E">
        <w:rPr>
          <w:rFonts w:asciiTheme="minorHAnsi" w:hAnsiTheme="minorHAnsi"/>
        </w:rPr>
        <w:t>as problematiza</w:t>
      </w:r>
      <w:r w:rsidRPr="00C51A0E">
        <w:rPr>
          <w:rFonts w:asciiTheme="minorHAnsi" w:hAnsiTheme="minorHAnsi"/>
        </w:rPr>
        <w:t xml:space="preserve"> à medida de Aceitação da Corrupção.</w:t>
      </w:r>
    </w:p>
    <w:p w14:paraId="4A3DEEB8" w14:textId="34893809" w:rsidR="00D50181" w:rsidRDefault="00D50181" w:rsidP="00947E8A">
      <w:pPr>
        <w:spacing w:after="240" w:line="360" w:lineRule="auto"/>
        <w:ind w:firstLine="708"/>
        <w:jc w:val="both"/>
        <w:rPr>
          <w:rFonts w:asciiTheme="minorHAnsi" w:hAnsiTheme="minorHAnsi"/>
        </w:rPr>
      </w:pPr>
      <w:r w:rsidRPr="00C51A0E">
        <w:rPr>
          <w:rFonts w:asciiTheme="minorHAnsi" w:hAnsiTheme="minorHAnsi"/>
        </w:rPr>
        <w:t xml:space="preserve">O terceiro e último capítulo é reservado à busca de evidências de validação e confiabilidade da medida. </w:t>
      </w:r>
      <w:r w:rsidR="00BB6650" w:rsidRPr="00C51A0E">
        <w:rPr>
          <w:rFonts w:asciiTheme="minorHAnsi" w:hAnsiTheme="minorHAnsi"/>
        </w:rPr>
        <w:t>Apresenta-se a metodologia de análise, e parte-se para o teste das hipóteses.</w:t>
      </w:r>
      <w:r w:rsidR="00BB6650">
        <w:rPr>
          <w:rFonts w:asciiTheme="minorHAnsi" w:hAnsiTheme="minorHAnsi"/>
        </w:rPr>
        <w:t xml:space="preserve"> </w:t>
      </w:r>
    </w:p>
    <w:p w14:paraId="26A5FF83" w14:textId="6A66C83A" w:rsidR="00474F0E" w:rsidRPr="00AB315F" w:rsidRDefault="00474F0E" w:rsidP="005A7075">
      <w:pPr>
        <w:pStyle w:val="Ttulo1"/>
        <w:rPr>
          <w:b/>
          <w:color w:val="auto"/>
        </w:rPr>
      </w:pPr>
      <w:bookmarkStart w:id="2" w:name="_Toc456241239"/>
      <w:r w:rsidRPr="00AB315F">
        <w:rPr>
          <w:b/>
          <w:color w:val="auto"/>
        </w:rPr>
        <w:lastRenderedPageBreak/>
        <w:t>Capítulo 1</w:t>
      </w:r>
      <w:r w:rsidR="00200480" w:rsidRPr="00AB315F">
        <w:rPr>
          <w:b/>
          <w:color w:val="auto"/>
        </w:rPr>
        <w:t>: Referenciais</w:t>
      </w:r>
      <w:bookmarkEnd w:id="2"/>
      <w:r w:rsidR="00200480" w:rsidRPr="00AB315F">
        <w:rPr>
          <w:b/>
          <w:color w:val="auto"/>
        </w:rPr>
        <w:t xml:space="preserve"> </w:t>
      </w:r>
      <w:r w:rsidR="005D7F6B">
        <w:rPr>
          <w:b/>
          <w:color w:val="auto"/>
        </w:rPr>
        <w:t>teóricos-conceituais da análise</w:t>
      </w:r>
    </w:p>
    <w:p w14:paraId="61180520" w14:textId="7189751D" w:rsidR="00474F0E" w:rsidRPr="00AB315F" w:rsidRDefault="00474F0E" w:rsidP="005A7075"/>
    <w:p w14:paraId="41675396" w14:textId="05198584" w:rsidR="00D71807" w:rsidRPr="00AA0849" w:rsidRDefault="0059748B" w:rsidP="00D71807">
      <w:pPr>
        <w:spacing w:after="240" w:line="360" w:lineRule="auto"/>
        <w:ind w:firstLine="708"/>
        <w:jc w:val="both"/>
        <w:rPr>
          <w:rFonts w:asciiTheme="minorHAnsi" w:hAnsiTheme="minorHAnsi"/>
        </w:rPr>
      </w:pPr>
      <w:r>
        <w:rPr>
          <w:rFonts w:asciiTheme="minorHAnsi" w:hAnsiTheme="minorHAnsi"/>
        </w:rPr>
        <w:t>Alguns dos</w:t>
      </w:r>
      <w:r w:rsidR="00D71807" w:rsidRPr="00AA0849">
        <w:rPr>
          <w:rFonts w:asciiTheme="minorHAnsi" w:hAnsiTheme="minorHAnsi"/>
        </w:rPr>
        <w:t xml:space="preserve"> principais achados na literatura, os quais discutem dificuldades e obstáculos à tentativa de mensurar dimensões do fenômeno da cor</w:t>
      </w:r>
      <w:r w:rsidR="00854DFE">
        <w:rPr>
          <w:rFonts w:asciiTheme="minorHAnsi" w:hAnsiTheme="minorHAnsi"/>
        </w:rPr>
        <w:t>rupção, estão entre os textos</w:t>
      </w:r>
      <w:r w:rsidR="00D71807" w:rsidRPr="00AA0849">
        <w:rPr>
          <w:rFonts w:asciiTheme="minorHAnsi" w:hAnsiTheme="minorHAnsi"/>
        </w:rPr>
        <w:t xml:space="preserve"> pioneiros de Peters e Welchs (1978), das constatações de Johnston (2001) e dos recentes achados de Catterberg et all (2013). </w:t>
      </w:r>
    </w:p>
    <w:p w14:paraId="33FE72CA" w14:textId="77777777" w:rsidR="00D71807" w:rsidRPr="00AA0849" w:rsidRDefault="00D71807" w:rsidP="00D71807">
      <w:pPr>
        <w:spacing w:after="240" w:line="360" w:lineRule="auto"/>
        <w:ind w:firstLine="708"/>
        <w:jc w:val="both"/>
        <w:rPr>
          <w:rFonts w:asciiTheme="minorHAnsi" w:hAnsiTheme="minorHAnsi"/>
        </w:rPr>
      </w:pPr>
      <w:r w:rsidRPr="00AA0849">
        <w:rPr>
          <w:rFonts w:asciiTheme="minorHAnsi" w:hAnsiTheme="minorHAnsi"/>
        </w:rPr>
        <w:t xml:space="preserve">A limitação mais evidente à mensuração é a própria diversidade conceitual que envolve o a definição de práticas corruptas. Trabalhos precursores de Peters e Welchs (1978) evidenciaram diferenças claras na forma como um determinado ato é julgado pelas pessoas. Em contextos diferentes - no caso do estudo: EUA, Canadá e Austrália - atitudes que poderiam ser enquadradas legalmente como crimes de corrupção, não foram consideradas atos corruptos por grande parte da população.  Os autores aplicaram questionários que indagavam aos entrevistados sua avaliação sobre determinado ato ser uma prática corrupta ou não. Foram encontradas claras diferenças entre aquilo que norte-americanos, canadenses e australianos avaliam como sendo corrupto. As diferenças entre contextos são tão claras quanto a distância que existe entre a norma (lei) e a possível conduta dos entrevistados. </w:t>
      </w:r>
    </w:p>
    <w:p w14:paraId="43868C4B" w14:textId="4C509460" w:rsidR="00D71807" w:rsidRDefault="00D71807" w:rsidP="00D71807">
      <w:pPr>
        <w:spacing w:after="240" w:line="360" w:lineRule="auto"/>
        <w:ind w:firstLine="708"/>
        <w:jc w:val="both"/>
        <w:rPr>
          <w:rFonts w:asciiTheme="minorHAnsi" w:hAnsiTheme="minorHAnsi"/>
        </w:rPr>
      </w:pPr>
      <w:r w:rsidRPr="00AA0849">
        <w:rPr>
          <w:rFonts w:asciiTheme="minorHAnsi" w:hAnsiTheme="minorHAnsi"/>
        </w:rPr>
        <w:t>A metodologia dos trabalhos de Peters e Welchs</w:t>
      </w:r>
      <w:r w:rsidR="00CE0B06">
        <w:rPr>
          <w:rFonts w:asciiTheme="minorHAnsi" w:hAnsiTheme="minorHAnsi"/>
        </w:rPr>
        <w:t xml:space="preserve"> (1978)</w:t>
      </w:r>
      <w:r w:rsidRPr="00AA0849">
        <w:rPr>
          <w:rFonts w:asciiTheme="minorHAnsi" w:hAnsiTheme="minorHAnsi"/>
        </w:rPr>
        <w:t xml:space="preserve"> fora replicada nas três décadas seguintes, além confirmar as diferenças entre contextos os trabalhos procedentes ainda verificaram variações ao longo do tempo. </w:t>
      </w:r>
    </w:p>
    <w:p w14:paraId="4C03E625" w14:textId="77777777" w:rsidR="00CE0B06" w:rsidRDefault="00CE0B06" w:rsidP="00D71807">
      <w:pPr>
        <w:spacing w:after="240" w:line="360" w:lineRule="auto"/>
        <w:ind w:firstLine="708"/>
        <w:jc w:val="both"/>
        <w:rPr>
          <w:rFonts w:asciiTheme="minorHAnsi" w:hAnsiTheme="minorHAnsi"/>
          <w:szCs w:val="18"/>
        </w:rPr>
      </w:pPr>
      <w:r w:rsidRPr="00CE0B06">
        <w:rPr>
          <w:rFonts w:asciiTheme="minorHAnsi" w:hAnsiTheme="minorHAnsi"/>
          <w:szCs w:val="18"/>
        </w:rPr>
        <w:t xml:space="preserve">Sobre a diferença entre normas e avaliação do cidadão, Bruno Speck argumenta que a antinomia pode ser um ponto de partida para explicar a probabilidade dos indivíduos em cometerem atos de corrupção. </w:t>
      </w:r>
    </w:p>
    <w:p w14:paraId="4A58F3FA" w14:textId="4CA0F4B4" w:rsidR="00CE0B06" w:rsidRPr="00CE0B06" w:rsidRDefault="00CE0B06" w:rsidP="00CE0B06">
      <w:pPr>
        <w:spacing w:after="240" w:line="360" w:lineRule="auto"/>
        <w:ind w:left="3119" w:firstLine="708"/>
        <w:jc w:val="both"/>
        <w:rPr>
          <w:rFonts w:asciiTheme="minorHAnsi" w:hAnsiTheme="minorHAnsi"/>
          <w:sz w:val="36"/>
        </w:rPr>
      </w:pPr>
      <w:r w:rsidRPr="00CE0B06">
        <w:rPr>
          <w:rFonts w:asciiTheme="minorHAnsi" w:hAnsiTheme="minorHAnsi"/>
          <w:szCs w:val="18"/>
        </w:rPr>
        <w:t>“Somente se a norma está apoiada no reconhecimento social será ela obedecida. Caso contrário, haverá uma propensão a se infringir a lei. ” (Speck 2001)</w:t>
      </w:r>
    </w:p>
    <w:p w14:paraId="1BC0FC14" w14:textId="07630168" w:rsidR="00D71807" w:rsidRPr="00AA0849" w:rsidRDefault="00D71807" w:rsidP="00D71807">
      <w:pPr>
        <w:spacing w:after="240" w:line="360" w:lineRule="auto"/>
        <w:ind w:firstLine="708"/>
        <w:jc w:val="both"/>
        <w:rPr>
          <w:rFonts w:asciiTheme="minorHAnsi" w:hAnsiTheme="minorHAnsi"/>
        </w:rPr>
      </w:pPr>
      <w:r w:rsidRPr="00AA0849">
        <w:rPr>
          <w:rFonts w:asciiTheme="minorHAnsi" w:hAnsiTheme="minorHAnsi"/>
        </w:rPr>
        <w:t>Já o trabalho de Michael Johnston, apresentado no Congresso Mundial International Political Scinence Asso</w:t>
      </w:r>
      <w:r w:rsidR="00F6249F">
        <w:rPr>
          <w:rFonts w:asciiTheme="minorHAnsi" w:hAnsiTheme="minorHAnsi"/>
        </w:rPr>
        <w:t xml:space="preserve">ciation (IPSA) em 2001, demonstrou </w:t>
      </w:r>
      <w:r w:rsidRPr="00AA0849">
        <w:rPr>
          <w:rFonts w:asciiTheme="minorHAnsi" w:hAnsiTheme="minorHAnsi"/>
        </w:rPr>
        <w:t xml:space="preserve">impedimentos </w:t>
      </w:r>
      <w:r w:rsidRPr="00AA0849">
        <w:rPr>
          <w:rFonts w:asciiTheme="minorHAnsi" w:hAnsiTheme="minorHAnsi"/>
        </w:rPr>
        <w:lastRenderedPageBreak/>
        <w:t xml:space="preserve">à pesquisa comparada da corrupção. Segundo o autor, a orientação dos estudos políticos e econômicos sobre a corrupção implicaram na necessidade de instrumentalizar e formalizar uma medida da percepção de como o fenômeno atinge a sociedade. Esse tipo de iniciativa, conforme Johnston (2001), enfatiza políticas de controle e combate ao fenômeno padrões, pouco adequadas às particularidades de regiões e contextos distintos. </w:t>
      </w:r>
    </w:p>
    <w:p w14:paraId="55935525" w14:textId="170EA9B3" w:rsidR="00D71807" w:rsidRPr="00AA0849" w:rsidRDefault="00CA519E" w:rsidP="00D71807">
      <w:pPr>
        <w:spacing w:after="240" w:line="360" w:lineRule="auto"/>
        <w:ind w:firstLine="708"/>
        <w:jc w:val="both"/>
        <w:rPr>
          <w:rFonts w:asciiTheme="minorHAnsi" w:hAnsiTheme="minorHAnsi"/>
        </w:rPr>
      </w:pPr>
      <w:r>
        <w:rPr>
          <w:rFonts w:asciiTheme="minorHAnsi" w:hAnsiTheme="minorHAnsi"/>
        </w:rPr>
        <w:t xml:space="preserve">Apesar do foco da análise </w:t>
      </w:r>
      <w:r w:rsidR="00854DFE">
        <w:rPr>
          <w:rFonts w:asciiTheme="minorHAnsi" w:hAnsiTheme="minorHAnsi"/>
        </w:rPr>
        <w:t xml:space="preserve">de </w:t>
      </w:r>
      <w:r w:rsidR="00854DFE" w:rsidRPr="00AA0849">
        <w:rPr>
          <w:rFonts w:asciiTheme="minorHAnsi" w:hAnsiTheme="minorHAnsi"/>
        </w:rPr>
        <w:t>Johnston (2001)</w:t>
      </w:r>
      <w:r w:rsidR="00854DFE">
        <w:rPr>
          <w:rFonts w:asciiTheme="minorHAnsi" w:hAnsiTheme="minorHAnsi"/>
        </w:rPr>
        <w:t xml:space="preserve"> </w:t>
      </w:r>
      <w:r>
        <w:rPr>
          <w:rFonts w:asciiTheme="minorHAnsi" w:hAnsiTheme="minorHAnsi"/>
        </w:rPr>
        <w:t>recair especialmente sobre o</w:t>
      </w:r>
      <w:r w:rsidR="00D71807" w:rsidRPr="00AA0849">
        <w:rPr>
          <w:rFonts w:asciiTheme="minorHAnsi" w:hAnsiTheme="minorHAnsi"/>
        </w:rPr>
        <w:t xml:space="preserve"> uso do indicador de Percepção da Corrupção, as c</w:t>
      </w:r>
      <w:r w:rsidR="00854DFE">
        <w:rPr>
          <w:rFonts w:asciiTheme="minorHAnsi" w:hAnsiTheme="minorHAnsi"/>
        </w:rPr>
        <w:t xml:space="preserve">onsiderações do autor </w:t>
      </w:r>
      <w:r w:rsidR="00D71807" w:rsidRPr="00AA0849">
        <w:rPr>
          <w:rFonts w:asciiTheme="minorHAnsi" w:hAnsiTheme="minorHAnsi"/>
        </w:rPr>
        <w:t>envolvem as demais dimensões do fenômeno</w:t>
      </w:r>
      <w:r w:rsidR="00AE6561">
        <w:rPr>
          <w:rFonts w:asciiTheme="minorHAnsi" w:hAnsiTheme="minorHAnsi"/>
        </w:rPr>
        <w:t>, como a aceitação ou tolerância</w:t>
      </w:r>
      <w:r w:rsidR="00D71807" w:rsidRPr="00AA0849">
        <w:rPr>
          <w:rFonts w:asciiTheme="minorHAnsi" w:hAnsiTheme="minorHAnsi"/>
        </w:rPr>
        <w:t xml:space="preserve">. Na medida em que não se considera a complexidade da corrupção como fenômeno social político e econômico, a tentativa de mensuração tende a enfocar determinados aspectos em detrimento de outros.  </w:t>
      </w:r>
    </w:p>
    <w:p w14:paraId="10364A08" w14:textId="77777777" w:rsidR="00D71807" w:rsidRPr="00AA0849" w:rsidRDefault="00D71807" w:rsidP="00D71807">
      <w:pPr>
        <w:spacing w:after="240" w:line="360" w:lineRule="auto"/>
        <w:ind w:firstLine="708"/>
        <w:jc w:val="both"/>
        <w:rPr>
          <w:rFonts w:asciiTheme="minorHAnsi" w:hAnsiTheme="minorHAnsi"/>
        </w:rPr>
      </w:pPr>
      <w:r w:rsidRPr="00AA0849">
        <w:rPr>
          <w:rFonts w:asciiTheme="minorHAnsi" w:hAnsiTheme="minorHAnsi"/>
        </w:rPr>
        <w:t>Por fim, Catterberg et all (2013) fazem uma crítica às respostas que baseiam os indicadores de aceitação da corrupção e argumentam que as mesmas são influenciadas tanto pelo conceito de corrupção que indivíduos possuem como pelo desejo social em relação ao tema que permeia uma sociedade, identificado como desejabilidade social.</w:t>
      </w:r>
    </w:p>
    <w:p w14:paraId="0DC2C35D" w14:textId="7DF2DE76" w:rsidR="00D71807" w:rsidRPr="00AA0849" w:rsidRDefault="00D71807" w:rsidP="00D71807">
      <w:pPr>
        <w:spacing w:after="240" w:line="360" w:lineRule="auto"/>
        <w:ind w:firstLine="708"/>
        <w:jc w:val="both"/>
        <w:rPr>
          <w:rFonts w:asciiTheme="minorHAnsi" w:hAnsiTheme="minorHAnsi"/>
        </w:rPr>
      </w:pPr>
      <w:r w:rsidRPr="00AA0849">
        <w:rPr>
          <w:rFonts w:asciiTheme="minorHAnsi" w:hAnsiTheme="minorHAnsi"/>
        </w:rPr>
        <w:t xml:space="preserve"> De maneira geral, </w:t>
      </w:r>
      <w:r w:rsidR="009507BC">
        <w:rPr>
          <w:rFonts w:asciiTheme="minorHAnsi" w:hAnsiTheme="minorHAnsi"/>
        </w:rPr>
        <w:t>o fator de</w:t>
      </w:r>
      <w:r w:rsidRPr="00AA0849">
        <w:rPr>
          <w:rFonts w:asciiTheme="minorHAnsi" w:hAnsiTheme="minorHAnsi"/>
        </w:rPr>
        <w:t xml:space="preserve"> desejabilidade social é a tendência dos entrevistados em responderem perguntas de uma forma q</w:t>
      </w:r>
      <w:r w:rsidR="00CA519E">
        <w:rPr>
          <w:rFonts w:asciiTheme="minorHAnsi" w:hAnsiTheme="minorHAnsi"/>
        </w:rPr>
        <w:t>ue seja socialmente bem vista, que evite constrangimentos.</w:t>
      </w:r>
      <w:r w:rsidR="009507BC">
        <w:rPr>
          <w:rFonts w:asciiTheme="minorHAnsi" w:hAnsiTheme="minorHAnsi"/>
        </w:rPr>
        <w:t xml:space="preserve"> </w:t>
      </w:r>
      <w:r w:rsidR="00CE0B06">
        <w:rPr>
          <w:rFonts w:asciiTheme="minorHAnsi" w:hAnsiTheme="minorHAnsi"/>
        </w:rPr>
        <w:t>Por efeito</w:t>
      </w:r>
      <w:r w:rsidR="009507BC">
        <w:rPr>
          <w:rFonts w:asciiTheme="minorHAnsi" w:hAnsiTheme="minorHAnsi"/>
        </w:rPr>
        <w:t>,</w:t>
      </w:r>
      <w:r w:rsidRPr="00AA0849">
        <w:rPr>
          <w:rFonts w:asciiTheme="minorHAnsi" w:hAnsiTheme="minorHAnsi"/>
        </w:rPr>
        <w:t xml:space="preserve"> os indivíduos </w:t>
      </w:r>
      <w:r w:rsidR="00CE0B06">
        <w:rPr>
          <w:rFonts w:asciiTheme="minorHAnsi" w:hAnsiTheme="minorHAnsi"/>
        </w:rPr>
        <w:t>tendem a</w:t>
      </w:r>
      <w:r w:rsidRPr="00AA0849">
        <w:rPr>
          <w:rFonts w:asciiTheme="minorHAnsi" w:hAnsiTheme="minorHAnsi"/>
        </w:rPr>
        <w:t xml:space="preserve"> passar uma boa impressão que se importam com </w:t>
      </w:r>
      <w:r w:rsidR="00CE0B06">
        <w:rPr>
          <w:rFonts w:asciiTheme="minorHAnsi" w:hAnsiTheme="minorHAnsi"/>
        </w:rPr>
        <w:t>o que os outros pensam sobre ele</w:t>
      </w:r>
      <w:r w:rsidRPr="00AA0849">
        <w:rPr>
          <w:rFonts w:asciiTheme="minorHAnsi" w:hAnsiTheme="minorHAnsi"/>
        </w:rPr>
        <w:t>s (BERINSKY, 2002).</w:t>
      </w:r>
    </w:p>
    <w:p w14:paraId="03CD91F1" w14:textId="77777777" w:rsidR="00D71807" w:rsidRPr="00AA0849" w:rsidRDefault="00D71807" w:rsidP="00D71807">
      <w:pPr>
        <w:spacing w:after="240" w:line="360" w:lineRule="auto"/>
        <w:ind w:firstLine="708"/>
        <w:jc w:val="both"/>
        <w:rPr>
          <w:rFonts w:asciiTheme="minorHAnsi" w:hAnsiTheme="minorHAnsi"/>
        </w:rPr>
      </w:pPr>
      <w:r w:rsidRPr="00AA0849">
        <w:rPr>
          <w:rFonts w:asciiTheme="minorHAnsi" w:hAnsiTheme="minorHAnsi"/>
        </w:rPr>
        <w:t xml:space="preserve">Segundo os autores, tanto desejabilidade social quanto o conceito de corrupção pelo entrevistado estariam relacionados. Caso as pessoas considerem as práticas como corruptas é possível que o efeito do desejo social seja maior, uma vez que o tema da corrupção tenha um forte </w:t>
      </w:r>
      <w:r w:rsidRPr="00AE6561">
        <w:rPr>
          <w:rFonts w:asciiTheme="minorHAnsi" w:hAnsiTheme="minorHAnsi"/>
        </w:rPr>
        <w:t xml:space="preserve">apelo moral </w:t>
      </w:r>
      <w:r w:rsidRPr="00AA0849">
        <w:rPr>
          <w:rFonts w:asciiTheme="minorHAnsi" w:hAnsiTheme="minorHAnsi"/>
        </w:rPr>
        <w:t xml:space="preserve">naquele contexto. Do mesmo modo, o desejo social com relação ao tema da corrupção pode potencializar o discurso de que as práticas são corruptas. </w:t>
      </w:r>
    </w:p>
    <w:p w14:paraId="00648526" w14:textId="08DFB996" w:rsidR="00D71807" w:rsidRPr="00AA0849" w:rsidRDefault="00D71807" w:rsidP="00D71807">
      <w:pPr>
        <w:spacing w:after="240" w:line="360" w:lineRule="auto"/>
        <w:ind w:firstLine="708"/>
        <w:jc w:val="both"/>
        <w:rPr>
          <w:rFonts w:asciiTheme="minorHAnsi" w:hAnsiTheme="minorHAnsi"/>
        </w:rPr>
      </w:pPr>
      <w:r w:rsidRPr="00AA0849">
        <w:rPr>
          <w:rFonts w:asciiTheme="minorHAnsi" w:hAnsiTheme="minorHAnsi"/>
        </w:rPr>
        <w:t>Os achados de Catterberg et tal (2013) são centrais a consecução deste t</w:t>
      </w:r>
      <w:r w:rsidR="00A76095">
        <w:rPr>
          <w:rFonts w:asciiTheme="minorHAnsi" w:hAnsiTheme="minorHAnsi"/>
        </w:rPr>
        <w:t>rabalho, pois indicam possíveis</w:t>
      </w:r>
      <w:r w:rsidRPr="00AA0849">
        <w:rPr>
          <w:rFonts w:asciiTheme="minorHAnsi" w:hAnsiTheme="minorHAnsi"/>
        </w:rPr>
        <w:t xml:space="preserve"> problemas de validade e confiabilidade das medidas de aceitação da corrupção. </w:t>
      </w:r>
      <w:r w:rsidR="00AD1779">
        <w:rPr>
          <w:rFonts w:asciiTheme="minorHAnsi" w:hAnsiTheme="minorHAnsi"/>
        </w:rPr>
        <w:t>O</w:t>
      </w:r>
      <w:r w:rsidRPr="00AA0849">
        <w:rPr>
          <w:rFonts w:asciiTheme="minorHAnsi" w:hAnsiTheme="minorHAnsi"/>
        </w:rPr>
        <w:t>s conceitos mobilizados podem não ser adequadamente reflet</w:t>
      </w:r>
      <w:r w:rsidR="00305D87">
        <w:rPr>
          <w:rFonts w:asciiTheme="minorHAnsi" w:hAnsiTheme="minorHAnsi"/>
        </w:rPr>
        <w:t xml:space="preserve">idos nos </w:t>
      </w:r>
      <w:r w:rsidR="00305D87">
        <w:rPr>
          <w:rFonts w:asciiTheme="minorHAnsi" w:hAnsiTheme="minorHAnsi"/>
        </w:rPr>
        <w:lastRenderedPageBreak/>
        <w:t>scores dos indicadores;</w:t>
      </w:r>
      <w:r w:rsidRPr="00AA0849">
        <w:rPr>
          <w:rFonts w:asciiTheme="minorHAnsi" w:hAnsiTheme="minorHAnsi"/>
        </w:rPr>
        <w:t xml:space="preserve"> pode</w:t>
      </w:r>
      <w:r w:rsidR="00854DFE">
        <w:rPr>
          <w:rFonts w:asciiTheme="minorHAnsi" w:hAnsiTheme="minorHAnsi"/>
        </w:rPr>
        <w:t>m</w:t>
      </w:r>
      <w:r w:rsidRPr="00AA0849">
        <w:rPr>
          <w:rFonts w:asciiTheme="minorHAnsi" w:hAnsiTheme="minorHAnsi"/>
        </w:rPr>
        <w:t xml:space="preserve"> existir vieses de dese</w:t>
      </w:r>
      <w:r w:rsidR="00854DFE">
        <w:rPr>
          <w:rFonts w:asciiTheme="minorHAnsi" w:hAnsiTheme="minorHAnsi"/>
        </w:rPr>
        <w:t>jabilidade social que comprometa</w:t>
      </w:r>
      <w:r w:rsidR="00305D87">
        <w:rPr>
          <w:rFonts w:asciiTheme="minorHAnsi" w:hAnsiTheme="minorHAnsi"/>
        </w:rPr>
        <w:t>m inferências descritivas;</w:t>
      </w:r>
      <w:r w:rsidR="00854DFE">
        <w:rPr>
          <w:rFonts w:asciiTheme="minorHAnsi" w:hAnsiTheme="minorHAnsi"/>
        </w:rPr>
        <w:t xml:space="preserve"> </w:t>
      </w:r>
      <w:r w:rsidRPr="00AA0849">
        <w:rPr>
          <w:rFonts w:asciiTheme="minorHAnsi" w:hAnsiTheme="minorHAnsi"/>
        </w:rPr>
        <w:t xml:space="preserve">as variáveis observáveis que formam o constructo “aceitação da corrupção” podem não ser consistentes entre si e, por fim, a medida pode não transitar por contextos diferentes. </w:t>
      </w:r>
    </w:p>
    <w:p w14:paraId="264173F3" w14:textId="7130B30C" w:rsidR="007714F8" w:rsidRDefault="00D71807" w:rsidP="004A35B8">
      <w:pPr>
        <w:spacing w:after="240" w:line="360" w:lineRule="auto"/>
        <w:jc w:val="both"/>
      </w:pPr>
      <w:r w:rsidRPr="00AA0849">
        <w:rPr>
          <w:rFonts w:asciiTheme="minorHAnsi" w:hAnsiTheme="minorHAnsi"/>
        </w:rPr>
        <w:tab/>
        <w:t>Argumenta-se neste trabalho que a dificuldade em captar a medida de aceitação</w:t>
      </w:r>
      <w:r w:rsidR="00AD1779">
        <w:rPr>
          <w:rFonts w:asciiTheme="minorHAnsi" w:hAnsiTheme="minorHAnsi"/>
        </w:rPr>
        <w:t>, em vista dos possíveis erros mencionados acima,</w:t>
      </w:r>
      <w:r w:rsidRPr="00AA0849">
        <w:rPr>
          <w:rFonts w:asciiTheme="minorHAnsi" w:hAnsiTheme="minorHAnsi"/>
        </w:rPr>
        <w:t xml:space="preserve"> está associada à aspectos próprios do fenômeno</w:t>
      </w:r>
      <w:r w:rsidR="00305D87">
        <w:rPr>
          <w:rFonts w:asciiTheme="minorHAnsi" w:hAnsiTheme="minorHAnsi"/>
        </w:rPr>
        <w:t>,</w:t>
      </w:r>
      <w:r w:rsidRPr="00AA0849">
        <w:rPr>
          <w:rFonts w:asciiTheme="minorHAnsi" w:hAnsiTheme="minorHAnsi"/>
        </w:rPr>
        <w:t xml:space="preserve"> relacionados a dimensões da cultura política</w:t>
      </w:r>
      <w:r>
        <w:rPr>
          <w:rFonts w:asciiTheme="minorHAnsi" w:hAnsiTheme="minorHAnsi"/>
        </w:rPr>
        <w:t xml:space="preserve"> (valores compartilhados)</w:t>
      </w:r>
      <w:r w:rsidRPr="00AA0849">
        <w:rPr>
          <w:rFonts w:asciiTheme="minorHAnsi" w:hAnsiTheme="minorHAnsi"/>
        </w:rPr>
        <w:t xml:space="preserve"> da dinâmica da opinião pública</w:t>
      </w:r>
      <w:r>
        <w:rPr>
          <w:rFonts w:asciiTheme="minorHAnsi" w:hAnsiTheme="minorHAnsi"/>
        </w:rPr>
        <w:t xml:space="preserve"> (o “clima de opinião” que envolve o tema da corrupção)</w:t>
      </w:r>
      <w:r w:rsidRPr="00AA0849">
        <w:rPr>
          <w:rFonts w:asciiTheme="minorHAnsi" w:hAnsiTheme="minorHAnsi"/>
        </w:rPr>
        <w:t xml:space="preserve"> e da metodologia de coleta de dados para formulação de indicadores</w:t>
      </w:r>
      <w:r>
        <w:rPr>
          <w:rFonts w:asciiTheme="minorHAnsi" w:hAnsiTheme="minorHAnsi"/>
        </w:rPr>
        <w:t xml:space="preserve"> (percalços inerentes à técnica)</w:t>
      </w:r>
      <w:r w:rsidRPr="00AA0849">
        <w:rPr>
          <w:rFonts w:asciiTheme="minorHAnsi" w:hAnsiTheme="minorHAnsi"/>
        </w:rPr>
        <w:t>.</w:t>
      </w:r>
      <w:r>
        <w:rPr>
          <w:rFonts w:asciiTheme="minorHAnsi" w:hAnsiTheme="minorHAnsi"/>
        </w:rPr>
        <w:t xml:space="preserve"> </w:t>
      </w:r>
    </w:p>
    <w:p w14:paraId="6C20F6FB" w14:textId="1D8D7AAD" w:rsidR="00D71807" w:rsidRPr="00AA0849" w:rsidRDefault="007714F8" w:rsidP="007714F8">
      <w:pPr>
        <w:spacing w:after="240" w:line="360" w:lineRule="auto"/>
        <w:ind w:firstLine="708"/>
        <w:jc w:val="both"/>
        <w:rPr>
          <w:rFonts w:asciiTheme="minorHAnsi" w:hAnsiTheme="minorHAnsi"/>
        </w:rPr>
      </w:pPr>
      <w:r>
        <w:rPr>
          <w:rFonts w:asciiTheme="minorHAnsi" w:hAnsiTheme="minorHAnsi"/>
        </w:rPr>
        <w:t>Zaller (1992)</w:t>
      </w:r>
      <w:r w:rsidR="009507BC">
        <w:rPr>
          <w:rFonts w:asciiTheme="minorHAnsi" w:hAnsiTheme="minorHAnsi"/>
        </w:rPr>
        <w:t xml:space="preserve"> afirma que</w:t>
      </w:r>
      <w:r w:rsidR="00D71807" w:rsidRPr="00AA0849">
        <w:rPr>
          <w:rFonts w:asciiTheme="minorHAnsi" w:hAnsiTheme="minorHAnsi"/>
        </w:rPr>
        <w:t xml:space="preserve"> um item de resposta em um survey pode não representar necessariamente uma preferência revelada, antes, pode ser considerado uma extração aleatória de uma distribuição de respostas individuais, na qual ela mesma é uma agregação de diversos e potenciais sentimentos e ideias com relação ao tema político analisado. </w:t>
      </w:r>
    </w:p>
    <w:p w14:paraId="47AFFB63" w14:textId="77777777" w:rsidR="00D71807" w:rsidRPr="00AA0849" w:rsidRDefault="00D71807" w:rsidP="00D71807">
      <w:pPr>
        <w:ind w:left="2127"/>
        <w:jc w:val="both"/>
        <w:rPr>
          <w:rFonts w:asciiTheme="minorHAnsi" w:hAnsiTheme="minorHAnsi"/>
          <w:sz w:val="20"/>
          <w:lang w:val="en-US"/>
        </w:rPr>
      </w:pPr>
      <w:r w:rsidRPr="00AA0849">
        <w:rPr>
          <w:rFonts w:asciiTheme="minorHAnsi" w:hAnsiTheme="minorHAnsi"/>
          <w:sz w:val="20"/>
          <w:lang w:val="en-US"/>
        </w:rPr>
        <w:t>“individuals do not typically posses “true attitudes” on issues, as conventional theorizing assumes, but a series of partially independent and often inconsistent ones” Zaller (1992)</w:t>
      </w:r>
    </w:p>
    <w:p w14:paraId="454BD6B6" w14:textId="77777777" w:rsidR="00D71807" w:rsidRPr="00AA0849" w:rsidRDefault="00D71807" w:rsidP="00D71807">
      <w:pPr>
        <w:ind w:left="2127"/>
        <w:jc w:val="both"/>
        <w:rPr>
          <w:rFonts w:asciiTheme="minorHAnsi" w:hAnsiTheme="minorHAnsi"/>
          <w:sz w:val="20"/>
          <w:lang w:val="en-US"/>
        </w:rPr>
      </w:pPr>
    </w:p>
    <w:p w14:paraId="0978E47B" w14:textId="7136D324" w:rsidR="00D71807" w:rsidRPr="00AA0849" w:rsidRDefault="00D71807" w:rsidP="00D71807">
      <w:pPr>
        <w:spacing w:after="240" w:line="360" w:lineRule="auto"/>
        <w:ind w:firstLine="708"/>
        <w:jc w:val="both"/>
        <w:rPr>
          <w:rFonts w:asciiTheme="minorHAnsi" w:hAnsiTheme="minorHAnsi"/>
        </w:rPr>
      </w:pPr>
      <w:r w:rsidRPr="00AA0849">
        <w:rPr>
          <w:rFonts w:asciiTheme="minorHAnsi" w:hAnsiTheme="minorHAnsi"/>
        </w:rPr>
        <w:t xml:space="preserve">Do mesmo modo, Converse (1964) </w:t>
      </w:r>
      <w:r w:rsidR="00CC0ACE">
        <w:rPr>
          <w:rFonts w:asciiTheme="minorHAnsi" w:hAnsiTheme="minorHAnsi"/>
        </w:rPr>
        <w:t>expressou-se</w:t>
      </w:r>
      <w:r w:rsidRPr="00AA0849">
        <w:rPr>
          <w:rFonts w:asciiTheme="minorHAnsi" w:hAnsiTheme="minorHAnsi"/>
        </w:rPr>
        <w:t xml:space="preserve"> relativamente cético em relação à consistência das respostas de surveys (confiabilidade). Ao conduzir pesquisas pelo ANES (America</w:t>
      </w:r>
      <w:r w:rsidR="00305D87">
        <w:rPr>
          <w:rFonts w:asciiTheme="minorHAnsi" w:hAnsiTheme="minorHAnsi"/>
        </w:rPr>
        <w:t xml:space="preserve">n National Election Survey) o autor </w:t>
      </w:r>
      <w:r w:rsidRPr="00AA0849">
        <w:rPr>
          <w:rFonts w:asciiTheme="minorHAnsi" w:hAnsiTheme="minorHAnsi"/>
        </w:rPr>
        <w:t>encontrou pouca correlação entre perguntas administradas aos mesmos respondentes em dois per</w:t>
      </w:r>
      <w:r w:rsidR="00305D87">
        <w:rPr>
          <w:rFonts w:asciiTheme="minorHAnsi" w:hAnsiTheme="minorHAnsi"/>
        </w:rPr>
        <w:t xml:space="preserve">íodos diferentes. Então, </w:t>
      </w:r>
      <w:r w:rsidRPr="00AA0849">
        <w:rPr>
          <w:rFonts w:asciiTheme="minorHAnsi" w:hAnsiTheme="minorHAnsi"/>
        </w:rPr>
        <w:t>concluiu</w:t>
      </w:r>
      <w:r w:rsidR="00305D87">
        <w:rPr>
          <w:rFonts w:asciiTheme="minorHAnsi" w:hAnsiTheme="minorHAnsi"/>
        </w:rPr>
        <w:t>-se</w:t>
      </w:r>
      <w:r w:rsidRPr="00AA0849">
        <w:rPr>
          <w:rFonts w:asciiTheme="minorHAnsi" w:hAnsiTheme="minorHAnsi"/>
        </w:rPr>
        <w:t xml:space="preserve"> que muito do que se estava medindo em pesquisas de opinião eram </w:t>
      </w:r>
      <w:r w:rsidR="00305D87">
        <w:rPr>
          <w:rFonts w:asciiTheme="minorHAnsi" w:hAnsiTheme="minorHAnsi"/>
        </w:rPr>
        <w:t>“</w:t>
      </w:r>
      <w:r w:rsidRPr="00AA0849">
        <w:rPr>
          <w:rFonts w:asciiTheme="minorHAnsi" w:hAnsiTheme="minorHAnsi"/>
        </w:rPr>
        <w:t>não-atitudes</w:t>
      </w:r>
      <w:r w:rsidR="00305D87">
        <w:rPr>
          <w:rFonts w:asciiTheme="minorHAnsi" w:hAnsiTheme="minorHAnsi"/>
        </w:rPr>
        <w:t>”</w:t>
      </w:r>
      <w:r w:rsidRPr="00AA0849">
        <w:rPr>
          <w:rFonts w:asciiTheme="minorHAnsi" w:hAnsiTheme="minorHAnsi"/>
        </w:rPr>
        <w:t xml:space="preserve">. Converse (1964) afirmava, que mensurações de atitudes são muito instáveis ao longo do tempo. </w:t>
      </w:r>
    </w:p>
    <w:p w14:paraId="7DE1E66C" w14:textId="09A98CDC" w:rsidR="00D71807" w:rsidRPr="00AA0849" w:rsidRDefault="00D71807" w:rsidP="00D71807">
      <w:pPr>
        <w:spacing w:after="240" w:line="360" w:lineRule="auto"/>
        <w:ind w:firstLine="708"/>
        <w:jc w:val="both"/>
        <w:rPr>
          <w:rFonts w:asciiTheme="minorHAnsi" w:hAnsiTheme="minorHAnsi"/>
        </w:rPr>
      </w:pPr>
      <w:r w:rsidRPr="00AA0849">
        <w:rPr>
          <w:rFonts w:asciiTheme="minorHAnsi" w:hAnsiTheme="minorHAnsi"/>
        </w:rPr>
        <w:t xml:space="preserve">A literatura psicométrica tenta tratar da instabilidade enfatizada por Philip Converse ao sugerir que o problema pode estar relacionado </w:t>
      </w:r>
      <w:r w:rsidR="008310A0">
        <w:rPr>
          <w:rFonts w:asciiTheme="minorHAnsi" w:hAnsiTheme="minorHAnsi"/>
        </w:rPr>
        <w:t xml:space="preserve">ao chamado </w:t>
      </w:r>
      <w:r w:rsidRPr="00AA0849">
        <w:rPr>
          <w:rFonts w:asciiTheme="minorHAnsi" w:hAnsiTheme="minorHAnsi"/>
        </w:rPr>
        <w:t>“modelo de amostra de crenças”,</w:t>
      </w:r>
      <w:r w:rsidR="008310A0">
        <w:rPr>
          <w:rFonts w:asciiTheme="minorHAnsi" w:hAnsiTheme="minorHAnsi"/>
        </w:rPr>
        <w:t xml:space="preserve"> o qual</w:t>
      </w:r>
      <w:r w:rsidRPr="00AA0849">
        <w:rPr>
          <w:rFonts w:asciiTheme="minorHAnsi" w:hAnsiTheme="minorHAnsi"/>
        </w:rPr>
        <w:t xml:space="preserve"> sugere que opiniões são confiáveis na medida em</w:t>
      </w:r>
      <w:r w:rsidR="006D0AF5">
        <w:rPr>
          <w:rFonts w:asciiTheme="minorHAnsi" w:hAnsiTheme="minorHAnsi"/>
        </w:rPr>
        <w:t xml:space="preserve"> que indivíduos a acessem</w:t>
      </w:r>
      <w:r w:rsidRPr="00AA0849">
        <w:rPr>
          <w:rFonts w:asciiTheme="minorHAnsi" w:hAnsiTheme="minorHAnsi"/>
        </w:rPr>
        <w:t xml:space="preserve"> o mesmo conjunto de “crenças”</w:t>
      </w:r>
      <w:r w:rsidR="006D0AF5">
        <w:rPr>
          <w:rFonts w:asciiTheme="minorHAnsi" w:hAnsiTheme="minorHAnsi"/>
        </w:rPr>
        <w:t xml:space="preserve"> para formularem respostas</w:t>
      </w:r>
      <w:r w:rsidRPr="00AA0849">
        <w:rPr>
          <w:rFonts w:asciiTheme="minorHAnsi" w:hAnsiTheme="minorHAnsi"/>
        </w:rPr>
        <w:t xml:space="preserve">, ainda que em períodos diferentes do tempo. </w:t>
      </w:r>
    </w:p>
    <w:p w14:paraId="5E51AFB9" w14:textId="60C2745E" w:rsidR="00D71807" w:rsidRPr="00AA0849" w:rsidRDefault="00D71807" w:rsidP="00D71807">
      <w:pPr>
        <w:spacing w:after="240" w:line="360" w:lineRule="auto"/>
        <w:ind w:firstLine="708"/>
        <w:jc w:val="both"/>
        <w:rPr>
          <w:rFonts w:asciiTheme="minorHAnsi" w:hAnsiTheme="minorHAnsi"/>
        </w:rPr>
      </w:pPr>
      <w:r w:rsidRPr="00AA0849">
        <w:rPr>
          <w:rFonts w:asciiTheme="minorHAnsi" w:hAnsiTheme="minorHAnsi"/>
        </w:rPr>
        <w:lastRenderedPageBreak/>
        <w:t>O acesso às respostas dos itens é geralmente derivado de um esforço do entrevistado em recuperar memórias</w:t>
      </w:r>
      <w:r w:rsidR="006D0AF5">
        <w:rPr>
          <w:rFonts w:asciiTheme="minorHAnsi" w:hAnsiTheme="minorHAnsi"/>
        </w:rPr>
        <w:t>,</w:t>
      </w:r>
      <w:r w:rsidRPr="00AA0849">
        <w:rPr>
          <w:rFonts w:asciiTheme="minorHAnsi" w:hAnsiTheme="minorHAnsi"/>
        </w:rPr>
        <w:t xml:space="preserve"> e informações sobre o tema </w:t>
      </w:r>
      <w:r w:rsidR="00305D87">
        <w:rPr>
          <w:rFonts w:asciiTheme="minorHAnsi" w:hAnsiTheme="minorHAnsi"/>
        </w:rPr>
        <w:t>para então tecer julgamentos com</w:t>
      </w:r>
      <w:r w:rsidRPr="00AA0849">
        <w:rPr>
          <w:rFonts w:asciiTheme="minorHAnsi" w:hAnsiTheme="minorHAnsi"/>
        </w:rPr>
        <w:t xml:space="preserve"> relação ao fenômeno. Dito de outra forma, o “modelo de amostra de crenças” considera que o contexto social da aplicação da pesquisa importa e, nesse sentido, o entrevistado é posto a mobilizar informações, sentimentos e valores construídos e socialmente compartilhados</w:t>
      </w:r>
      <w:r w:rsidR="006D0AF5">
        <w:rPr>
          <w:rFonts w:asciiTheme="minorHAnsi" w:hAnsiTheme="minorHAnsi"/>
        </w:rPr>
        <w:t>,</w:t>
      </w:r>
      <w:r w:rsidRPr="00AA0849">
        <w:rPr>
          <w:rFonts w:asciiTheme="minorHAnsi" w:hAnsiTheme="minorHAnsi"/>
        </w:rPr>
        <w:t xml:space="preserve"> os quais serão base ao julgamento da prática corrupta em questão. </w:t>
      </w:r>
    </w:p>
    <w:p w14:paraId="7ECF3B06" w14:textId="75537048" w:rsidR="00D71807" w:rsidRDefault="006D0AF5" w:rsidP="00D71807">
      <w:pPr>
        <w:spacing w:after="240" w:line="360" w:lineRule="auto"/>
        <w:ind w:firstLine="708"/>
        <w:jc w:val="both"/>
        <w:rPr>
          <w:rFonts w:asciiTheme="minorHAnsi" w:hAnsiTheme="minorHAnsi"/>
        </w:rPr>
      </w:pPr>
      <w:r w:rsidRPr="006D0AF5">
        <w:rPr>
          <w:rFonts w:asciiTheme="minorHAnsi" w:hAnsiTheme="minorHAnsi"/>
        </w:rPr>
        <w:t>Quando consideramos a emergência de valores para formulação de respostas, a</w:t>
      </w:r>
      <w:r w:rsidR="00D71807" w:rsidRPr="006D0AF5">
        <w:rPr>
          <w:rFonts w:asciiTheme="minorHAnsi" w:hAnsiTheme="minorHAnsi"/>
        </w:rPr>
        <w:t xml:space="preserve"> dimensão da cultura política é posta em questão. Seguindo</w:t>
      </w:r>
      <w:r w:rsidR="00210837">
        <w:rPr>
          <w:rFonts w:asciiTheme="minorHAnsi" w:hAnsiTheme="minorHAnsi"/>
        </w:rPr>
        <w:t xml:space="preserve"> ideia mais geral</w:t>
      </w:r>
      <w:r w:rsidR="00D71807" w:rsidRPr="006D0AF5">
        <w:rPr>
          <w:rFonts w:asciiTheme="minorHAnsi" w:hAnsiTheme="minorHAnsi"/>
        </w:rPr>
        <w:t xml:space="preserve"> </w:t>
      </w:r>
      <w:r w:rsidR="00210837">
        <w:rPr>
          <w:rFonts w:asciiTheme="minorHAnsi" w:hAnsiTheme="minorHAnsi"/>
        </w:rPr>
        <w:t>d</w:t>
      </w:r>
      <w:r w:rsidR="00D71807" w:rsidRPr="006D0AF5">
        <w:rPr>
          <w:rFonts w:asciiTheme="minorHAnsi" w:hAnsiTheme="minorHAnsi"/>
        </w:rPr>
        <w:t>o modelo</w:t>
      </w:r>
      <w:r w:rsidRPr="006D0AF5">
        <w:rPr>
          <w:rFonts w:asciiTheme="minorHAnsi" w:hAnsiTheme="minorHAnsi"/>
        </w:rPr>
        <w:t xml:space="preserve"> de “amostras de crenças”</w:t>
      </w:r>
      <w:r w:rsidR="00D71807" w:rsidRPr="006D0AF5">
        <w:rPr>
          <w:rFonts w:asciiTheme="minorHAnsi" w:hAnsiTheme="minorHAnsi"/>
        </w:rPr>
        <w:t xml:space="preserve"> e</w:t>
      </w:r>
      <w:r w:rsidR="00536938">
        <w:rPr>
          <w:rFonts w:asciiTheme="minorHAnsi" w:hAnsiTheme="minorHAnsi"/>
        </w:rPr>
        <w:t>,</w:t>
      </w:r>
      <w:r w:rsidR="00D71807" w:rsidRPr="006D0AF5">
        <w:rPr>
          <w:rFonts w:asciiTheme="minorHAnsi" w:hAnsiTheme="minorHAnsi"/>
        </w:rPr>
        <w:t xml:space="preserve"> apropriando-se da fala de Filgueiras (2009), o significado da corrupção depende de valores que circulam no plano da sociedade, ou seja, a dimensão da aceitação está associada à aspectos normativos que são compartilhados na prática social ordinária.</w:t>
      </w:r>
      <w:r w:rsidR="00D71807" w:rsidRPr="00AA0849">
        <w:rPr>
          <w:rFonts w:asciiTheme="minorHAnsi" w:hAnsiTheme="minorHAnsi"/>
        </w:rPr>
        <w:t xml:space="preserve"> </w:t>
      </w:r>
    </w:p>
    <w:p w14:paraId="6F1847D1" w14:textId="14866EBE" w:rsidR="00D71807" w:rsidRDefault="00D71807" w:rsidP="00D71807">
      <w:pPr>
        <w:spacing w:after="240" w:line="360" w:lineRule="auto"/>
        <w:ind w:firstLine="708"/>
        <w:jc w:val="both"/>
        <w:rPr>
          <w:rFonts w:asciiTheme="minorHAnsi" w:hAnsiTheme="minorHAnsi"/>
        </w:rPr>
      </w:pPr>
      <w:r w:rsidRPr="00AA0849">
        <w:rPr>
          <w:rFonts w:asciiTheme="minorHAnsi" w:hAnsiTheme="minorHAnsi"/>
        </w:rPr>
        <w:t xml:space="preserve"> Para Figueiras (2009) a tolerância à corrupção é uma contradição entre juízos de valores e juízos de necessidade</w:t>
      </w:r>
      <w:r>
        <w:rPr>
          <w:rFonts w:asciiTheme="minorHAnsi" w:hAnsiTheme="minorHAnsi"/>
        </w:rPr>
        <w:t>. A antinomia proposta pelo autor é bas</w:t>
      </w:r>
      <w:r w:rsidR="00536938">
        <w:rPr>
          <w:rFonts w:asciiTheme="minorHAnsi" w:hAnsiTheme="minorHAnsi"/>
        </w:rPr>
        <w:t>eada na diferenciação feita</w:t>
      </w:r>
      <w:r>
        <w:rPr>
          <w:rFonts w:asciiTheme="minorHAnsi" w:hAnsiTheme="minorHAnsi"/>
        </w:rPr>
        <w:t xml:space="preserve"> sobre</w:t>
      </w:r>
      <w:r w:rsidR="00536938">
        <w:rPr>
          <w:rFonts w:asciiTheme="minorHAnsi" w:hAnsiTheme="minorHAnsi"/>
        </w:rPr>
        <w:t>:</w:t>
      </w:r>
      <w:r>
        <w:rPr>
          <w:rFonts w:asciiTheme="minorHAnsi" w:hAnsiTheme="minorHAnsi"/>
        </w:rPr>
        <w:t xml:space="preserve"> excelência e cotidiano</w:t>
      </w:r>
      <w:r w:rsidRPr="00AA0849">
        <w:rPr>
          <w:rFonts w:asciiTheme="minorHAnsi" w:hAnsiTheme="minorHAnsi"/>
        </w:rPr>
        <w:t>.</w:t>
      </w:r>
      <w:r w:rsidR="00536938">
        <w:rPr>
          <w:rFonts w:asciiTheme="minorHAnsi" w:hAnsiTheme="minorHAnsi"/>
        </w:rPr>
        <w:t xml:space="preserve"> A</w:t>
      </w:r>
      <w:r>
        <w:rPr>
          <w:rFonts w:asciiTheme="minorHAnsi" w:hAnsiTheme="minorHAnsi"/>
        </w:rPr>
        <w:t xml:space="preserve"> excelência é a expressão de objetivos de identificação entre os indivíduos em torno de valores comuns que orientam o agir em contextos sociais complexos. Já a dimensão do cotidiano é orientada por objetivos dados a satisfação de necessidades e, exclusivamente privados, uma vez que não geram expectativa de excelência do agir, mas uma neutralidade </w:t>
      </w:r>
      <w:r w:rsidR="008310A0">
        <w:rPr>
          <w:rFonts w:asciiTheme="minorHAnsi" w:hAnsiTheme="minorHAnsi"/>
        </w:rPr>
        <w:t>em relação a valores que permite</w:t>
      </w:r>
      <w:r>
        <w:rPr>
          <w:rFonts w:asciiTheme="minorHAnsi" w:hAnsiTheme="minorHAnsi"/>
        </w:rPr>
        <w:t xml:space="preserve"> que o indivíduo satisfaça suas necessidades. </w:t>
      </w:r>
    </w:p>
    <w:p w14:paraId="118819D6" w14:textId="076AA623" w:rsidR="00D71807" w:rsidRPr="00AA0849" w:rsidRDefault="00D71807" w:rsidP="00D71807">
      <w:pPr>
        <w:spacing w:after="240" w:line="360" w:lineRule="auto"/>
        <w:ind w:firstLine="708"/>
        <w:jc w:val="both"/>
        <w:rPr>
          <w:rFonts w:asciiTheme="minorHAnsi" w:hAnsiTheme="minorHAnsi"/>
        </w:rPr>
      </w:pPr>
      <w:r>
        <w:rPr>
          <w:rFonts w:asciiTheme="minorHAnsi" w:hAnsiTheme="minorHAnsi"/>
        </w:rPr>
        <w:t xml:space="preserve"> </w:t>
      </w:r>
      <w:r w:rsidRPr="00AA0849">
        <w:rPr>
          <w:rFonts w:asciiTheme="minorHAnsi" w:hAnsiTheme="minorHAnsi"/>
        </w:rPr>
        <w:t xml:space="preserve"> Este refer</w:t>
      </w:r>
      <w:r>
        <w:rPr>
          <w:rFonts w:asciiTheme="minorHAnsi" w:hAnsiTheme="minorHAnsi"/>
        </w:rPr>
        <w:t xml:space="preserve">encial conceitual parte de uma abordagem </w:t>
      </w:r>
      <w:r w:rsidRPr="004C5551">
        <w:rPr>
          <w:rFonts w:asciiTheme="minorHAnsi" w:hAnsiTheme="minorHAnsi"/>
        </w:rPr>
        <w:t xml:space="preserve">culturalista </w:t>
      </w:r>
      <w:r w:rsidRPr="00AA0849">
        <w:rPr>
          <w:rFonts w:asciiTheme="minorHAnsi" w:hAnsiTheme="minorHAnsi"/>
        </w:rPr>
        <w:t xml:space="preserve">e torna-se profícuo à interpretação de possíveis erros de medida das mensurações pois, revela a possibilidade de repostas de entrevistados medirem </w:t>
      </w:r>
      <w:r w:rsidR="00BD08EE">
        <w:rPr>
          <w:rFonts w:asciiTheme="minorHAnsi" w:hAnsiTheme="minorHAnsi"/>
        </w:rPr>
        <w:t xml:space="preserve">mais </w:t>
      </w:r>
      <w:r w:rsidRPr="00AA0849">
        <w:rPr>
          <w:rFonts w:asciiTheme="minorHAnsi" w:hAnsiTheme="minorHAnsi"/>
        </w:rPr>
        <w:t>do desejo dos cidadãos em aderir a v</w:t>
      </w:r>
      <w:r>
        <w:rPr>
          <w:rFonts w:asciiTheme="minorHAnsi" w:hAnsiTheme="minorHAnsi"/>
        </w:rPr>
        <w:t>alores caros</w:t>
      </w:r>
      <w:r w:rsidRPr="00AA0849">
        <w:rPr>
          <w:rFonts w:asciiTheme="minorHAnsi" w:hAnsiTheme="minorHAnsi"/>
        </w:rPr>
        <w:t xml:space="preserve"> à vida política e social</w:t>
      </w:r>
      <w:r>
        <w:rPr>
          <w:rFonts w:asciiTheme="minorHAnsi" w:hAnsiTheme="minorHAnsi"/>
        </w:rPr>
        <w:t xml:space="preserve"> (como honestidade, civilidade, solidariedade, entre outros)</w:t>
      </w:r>
      <w:r w:rsidRPr="00AA0849">
        <w:rPr>
          <w:rFonts w:asciiTheme="minorHAnsi" w:hAnsiTheme="minorHAnsi"/>
        </w:rPr>
        <w:t xml:space="preserve"> em detrimento da</w:t>
      </w:r>
      <w:r>
        <w:rPr>
          <w:rFonts w:asciiTheme="minorHAnsi" w:hAnsiTheme="minorHAnsi"/>
        </w:rPr>
        <w:t xml:space="preserve"> neutralidade</w:t>
      </w:r>
      <w:r w:rsidRPr="00AA0849">
        <w:rPr>
          <w:rFonts w:asciiTheme="minorHAnsi" w:hAnsiTheme="minorHAnsi"/>
        </w:rPr>
        <w:t xml:space="preserve"> destes valores n</w:t>
      </w:r>
      <w:r>
        <w:rPr>
          <w:rFonts w:asciiTheme="minorHAnsi" w:hAnsiTheme="minorHAnsi"/>
        </w:rPr>
        <w:t>a realidade prática do cotidiano</w:t>
      </w:r>
      <w:r w:rsidRPr="00AA0849">
        <w:rPr>
          <w:rFonts w:asciiTheme="minorHAnsi" w:hAnsiTheme="minorHAnsi"/>
        </w:rPr>
        <w:t>, marcado por um contexto de “necessidades”.</w:t>
      </w:r>
      <w:r w:rsidR="00BE4462">
        <w:rPr>
          <w:rFonts w:asciiTheme="minorHAnsi" w:hAnsiTheme="minorHAnsi"/>
        </w:rPr>
        <w:t xml:space="preserve"> </w:t>
      </w:r>
    </w:p>
    <w:p w14:paraId="03BC7578" w14:textId="70AEAF99" w:rsidR="00D71807" w:rsidRDefault="00D71807" w:rsidP="00D71807">
      <w:pPr>
        <w:spacing w:after="240" w:line="360" w:lineRule="auto"/>
        <w:ind w:firstLine="708"/>
        <w:jc w:val="both"/>
        <w:rPr>
          <w:rFonts w:asciiTheme="minorHAnsi" w:hAnsiTheme="minorHAnsi"/>
        </w:rPr>
      </w:pPr>
      <w:r>
        <w:rPr>
          <w:rFonts w:asciiTheme="minorHAnsi" w:hAnsiTheme="minorHAnsi"/>
        </w:rPr>
        <w:t>Uma vez que que juízos de valor sobre as práticas corruptas representam uma questão</w:t>
      </w:r>
      <w:r w:rsidRPr="00AA0849">
        <w:rPr>
          <w:rFonts w:asciiTheme="minorHAnsi" w:hAnsiTheme="minorHAnsi"/>
        </w:rPr>
        <w:t xml:space="preserve"> normativa da vida em sociedade</w:t>
      </w:r>
      <w:r>
        <w:rPr>
          <w:rFonts w:asciiTheme="minorHAnsi" w:hAnsiTheme="minorHAnsi"/>
        </w:rPr>
        <w:t xml:space="preserve"> e</w:t>
      </w:r>
      <w:r w:rsidRPr="00AA0849">
        <w:rPr>
          <w:rFonts w:asciiTheme="minorHAnsi" w:hAnsiTheme="minorHAnsi"/>
        </w:rPr>
        <w:t>,</w:t>
      </w:r>
      <w:r>
        <w:rPr>
          <w:rFonts w:asciiTheme="minorHAnsi" w:hAnsiTheme="minorHAnsi"/>
        </w:rPr>
        <w:t xml:space="preserve"> por sua vez, são compartilhados e concretizados no âmbito do</w:t>
      </w:r>
      <w:r w:rsidRPr="00AA0849">
        <w:rPr>
          <w:rFonts w:asciiTheme="minorHAnsi" w:hAnsiTheme="minorHAnsi"/>
        </w:rPr>
        <w:t xml:space="preserve"> debate público</w:t>
      </w:r>
      <w:r>
        <w:rPr>
          <w:rFonts w:asciiTheme="minorHAnsi" w:hAnsiTheme="minorHAnsi"/>
        </w:rPr>
        <w:t xml:space="preserve">, a dinâmica da opinião púbica em relação </w:t>
      </w:r>
      <w:r>
        <w:rPr>
          <w:rFonts w:asciiTheme="minorHAnsi" w:hAnsiTheme="minorHAnsi"/>
        </w:rPr>
        <w:lastRenderedPageBreak/>
        <w:t>ao tema da corrupção pode formatar e potencializar os juízos sobre a</w:t>
      </w:r>
      <w:r w:rsidRPr="00AA0849">
        <w:rPr>
          <w:rFonts w:asciiTheme="minorHAnsi" w:hAnsiTheme="minorHAnsi"/>
        </w:rPr>
        <w:t xml:space="preserve">s práticas que rompem com normas sociais. </w:t>
      </w:r>
      <w:r>
        <w:rPr>
          <w:rFonts w:asciiTheme="minorHAnsi" w:hAnsiTheme="minorHAnsi"/>
        </w:rPr>
        <w:t>Assim,</w:t>
      </w:r>
      <w:r w:rsidRPr="00AA0849">
        <w:rPr>
          <w:rFonts w:asciiTheme="minorHAnsi" w:hAnsiTheme="minorHAnsi"/>
        </w:rPr>
        <w:t xml:space="preserve"> </w:t>
      </w:r>
      <w:r>
        <w:rPr>
          <w:rFonts w:asciiTheme="minorHAnsi" w:hAnsiTheme="minorHAnsi"/>
        </w:rPr>
        <w:t xml:space="preserve">os julgamentos de entrevistados sobre a justificação de práticas corruptas </w:t>
      </w:r>
      <w:r w:rsidR="00BD08EE">
        <w:rPr>
          <w:rFonts w:asciiTheme="minorHAnsi" w:hAnsiTheme="minorHAnsi"/>
        </w:rPr>
        <w:t>podem</w:t>
      </w:r>
      <w:r>
        <w:rPr>
          <w:rFonts w:asciiTheme="minorHAnsi" w:hAnsiTheme="minorHAnsi"/>
        </w:rPr>
        <w:t xml:space="preserve"> levar em consideração apontamentos do chamado </w:t>
      </w:r>
      <w:r w:rsidRPr="00AA0849">
        <w:rPr>
          <w:rFonts w:asciiTheme="minorHAnsi" w:hAnsiTheme="minorHAnsi"/>
        </w:rPr>
        <w:t>“clima de opinião”</w:t>
      </w:r>
      <w:r>
        <w:rPr>
          <w:rFonts w:asciiTheme="minorHAnsi" w:hAnsiTheme="minorHAnsi"/>
        </w:rPr>
        <w:t xml:space="preserve">. </w:t>
      </w:r>
      <w:r w:rsidRPr="00AA0849">
        <w:rPr>
          <w:rFonts w:asciiTheme="minorHAnsi" w:hAnsiTheme="minorHAnsi"/>
        </w:rPr>
        <w:t>Neumann</w:t>
      </w:r>
      <w:r w:rsidR="00A01858">
        <w:rPr>
          <w:rFonts w:asciiTheme="minorHAnsi" w:hAnsiTheme="minorHAnsi"/>
        </w:rPr>
        <w:t xml:space="preserve"> (1993)</w:t>
      </w:r>
      <w:r w:rsidRPr="00AA0849">
        <w:rPr>
          <w:rFonts w:asciiTheme="minorHAnsi" w:hAnsiTheme="minorHAnsi"/>
        </w:rPr>
        <w:t xml:space="preserve"> </w:t>
      </w:r>
      <w:r>
        <w:rPr>
          <w:rFonts w:asciiTheme="minorHAnsi" w:hAnsiTheme="minorHAnsi"/>
        </w:rPr>
        <w:t xml:space="preserve">usa </w:t>
      </w:r>
      <w:r w:rsidR="00BD08EE">
        <w:rPr>
          <w:rFonts w:asciiTheme="minorHAnsi" w:hAnsiTheme="minorHAnsi"/>
        </w:rPr>
        <w:t>o</w:t>
      </w:r>
      <w:r w:rsidRPr="00AA0849">
        <w:rPr>
          <w:rFonts w:asciiTheme="minorHAnsi" w:hAnsiTheme="minorHAnsi"/>
        </w:rPr>
        <w:t xml:space="preserve"> termo</w:t>
      </w:r>
      <w:r w:rsidR="007455EA">
        <w:rPr>
          <w:rFonts w:asciiTheme="minorHAnsi" w:hAnsiTheme="minorHAnsi"/>
        </w:rPr>
        <w:t xml:space="preserve"> </w:t>
      </w:r>
      <w:r w:rsidRPr="00AA0849">
        <w:rPr>
          <w:rFonts w:asciiTheme="minorHAnsi" w:hAnsiTheme="minorHAnsi"/>
        </w:rPr>
        <w:t>para descrever a presença de uma força social que funciona para garantir coesão e consenso em torno de valores para uma sociedade.</w:t>
      </w:r>
      <w:r>
        <w:rPr>
          <w:rFonts w:asciiTheme="minorHAnsi" w:hAnsiTheme="minorHAnsi"/>
        </w:rPr>
        <w:t xml:space="preserve"> Deste modo o indivíduo evita o seu isolamento ao “clima de opinião” e revela o seu desejo em aderir à valores comuns que orientam o agir em sociedade. </w:t>
      </w:r>
    </w:p>
    <w:p w14:paraId="5EDDFE67" w14:textId="688E8CB2" w:rsidR="00D30800" w:rsidRDefault="00D30800" w:rsidP="00D30800">
      <w:pPr>
        <w:spacing w:after="240" w:line="360" w:lineRule="auto"/>
        <w:ind w:firstLine="708"/>
        <w:jc w:val="both"/>
        <w:rPr>
          <w:rFonts w:asciiTheme="minorHAnsi" w:hAnsiTheme="minorHAnsi"/>
        </w:rPr>
      </w:pPr>
      <w:r>
        <w:rPr>
          <w:rFonts w:asciiTheme="minorHAnsi" w:hAnsiTheme="minorHAnsi"/>
        </w:rPr>
        <w:t>Neste caso, o “clima de opinião” é um fator que potencializa adesão do indivíduo a um plano de valores.  Considera-se a dimensão da opinião pública como um sistema social que acomoda a integração e mudança de uma sociedade. Lazarsfeld</w:t>
      </w:r>
      <w:r w:rsidRPr="00AB315F">
        <w:rPr>
          <w:rFonts w:asciiTheme="minorHAnsi" w:hAnsiTheme="minorHAnsi"/>
        </w:rPr>
        <w:t xml:space="preserve"> </w:t>
      </w:r>
      <w:r>
        <w:rPr>
          <w:rFonts w:asciiTheme="minorHAnsi" w:hAnsiTheme="minorHAnsi"/>
        </w:rPr>
        <w:t>(</w:t>
      </w:r>
      <w:r w:rsidRPr="00AB315F">
        <w:rPr>
          <w:rFonts w:asciiTheme="minorHAnsi" w:hAnsiTheme="minorHAnsi"/>
        </w:rPr>
        <w:t>1972</w:t>
      </w:r>
      <w:r>
        <w:rPr>
          <w:rFonts w:asciiTheme="minorHAnsi" w:hAnsiTheme="minorHAnsi"/>
        </w:rPr>
        <w:t xml:space="preserve">) argumenta que o fenômeno representa um </w:t>
      </w:r>
      <w:r w:rsidRPr="00AB315F">
        <w:rPr>
          <w:rFonts w:asciiTheme="minorHAnsi" w:hAnsiTheme="minorHAnsi"/>
        </w:rPr>
        <w:t>sistema de valores permanentes e subconscientes</w:t>
      </w:r>
      <w:r>
        <w:rPr>
          <w:rFonts w:asciiTheme="minorHAnsi" w:hAnsiTheme="minorHAnsi"/>
        </w:rPr>
        <w:t>,</w:t>
      </w:r>
      <w:r w:rsidRPr="00AB315F">
        <w:rPr>
          <w:rFonts w:asciiTheme="minorHAnsi" w:hAnsiTheme="minorHAnsi"/>
        </w:rPr>
        <w:t xml:space="preserve"> e</w:t>
      </w:r>
      <w:r>
        <w:rPr>
          <w:rFonts w:asciiTheme="minorHAnsi" w:hAnsiTheme="minorHAnsi"/>
        </w:rPr>
        <w:t xml:space="preserve"> reafirma a força da dinâmica da opinião pública em exercer controle e efeito normativo em uma sociedade. </w:t>
      </w:r>
    </w:p>
    <w:p w14:paraId="60ACC3BC" w14:textId="2F1190F9" w:rsidR="00D30800" w:rsidRDefault="00D30800" w:rsidP="00D71807">
      <w:pPr>
        <w:spacing w:after="240" w:line="360" w:lineRule="auto"/>
        <w:ind w:firstLine="708"/>
        <w:jc w:val="both"/>
        <w:rPr>
          <w:rFonts w:asciiTheme="minorHAnsi" w:hAnsiTheme="minorHAnsi"/>
        </w:rPr>
      </w:pPr>
      <w:r w:rsidRPr="00D30800">
        <w:rPr>
          <w:rFonts w:asciiTheme="minorHAnsi" w:hAnsiTheme="minorHAnsi"/>
        </w:rPr>
        <w:t>Assim, o ambiente de informação é um fator preponderante na determinação da dinâmica do processo de formação da opinião pública sobre determinado tema. Este ambiente</w:t>
      </w:r>
      <w:r>
        <w:rPr>
          <w:rFonts w:asciiTheme="minorHAnsi" w:hAnsiTheme="minorHAnsi"/>
        </w:rPr>
        <w:t xml:space="preserve"> é criado a partir de uma série</w:t>
      </w:r>
      <w:r w:rsidRPr="00D30800">
        <w:rPr>
          <w:rFonts w:asciiTheme="minorHAnsi" w:hAnsiTheme="minorHAnsi"/>
        </w:rPr>
        <w:t xml:space="preserve"> de </w:t>
      </w:r>
      <w:r>
        <w:rPr>
          <w:rFonts w:asciiTheme="minorHAnsi" w:hAnsiTheme="minorHAnsi"/>
        </w:rPr>
        <w:t>inclinações sociais e informações</w:t>
      </w:r>
      <w:r w:rsidRPr="00D30800">
        <w:rPr>
          <w:rFonts w:asciiTheme="minorHAnsi" w:hAnsiTheme="minorHAnsi"/>
        </w:rPr>
        <w:t xml:space="preserve"> substantiva</w:t>
      </w:r>
      <w:r w:rsidR="00BD08EE">
        <w:rPr>
          <w:rFonts w:asciiTheme="minorHAnsi" w:hAnsiTheme="minorHAnsi"/>
        </w:rPr>
        <w:t>s</w:t>
      </w:r>
      <w:r w:rsidRPr="00D30800">
        <w:rPr>
          <w:rFonts w:asciiTheme="minorHAnsi" w:hAnsiTheme="minorHAnsi"/>
        </w:rPr>
        <w:t xml:space="preserve"> sobre eventos. </w:t>
      </w:r>
      <w:r>
        <w:rPr>
          <w:rFonts w:asciiTheme="minorHAnsi" w:hAnsiTheme="minorHAnsi"/>
        </w:rPr>
        <w:t xml:space="preserve">A exposição dos indivíduos ao debate público e ao fluxo de informação </w:t>
      </w:r>
      <w:r w:rsidR="00BD08EE">
        <w:rPr>
          <w:rFonts w:asciiTheme="minorHAnsi" w:hAnsiTheme="minorHAnsi"/>
        </w:rPr>
        <w:t>deve exercer grande influência</w:t>
      </w:r>
      <w:r>
        <w:rPr>
          <w:rFonts w:asciiTheme="minorHAnsi" w:hAnsiTheme="minorHAnsi"/>
        </w:rPr>
        <w:t xml:space="preserve"> </w:t>
      </w:r>
      <w:r w:rsidR="00BD08EE">
        <w:rPr>
          <w:rFonts w:asciiTheme="minorHAnsi" w:hAnsiTheme="minorHAnsi"/>
        </w:rPr>
        <w:t>n</w:t>
      </w:r>
      <w:r>
        <w:rPr>
          <w:rFonts w:asciiTheme="minorHAnsi" w:hAnsiTheme="minorHAnsi"/>
        </w:rPr>
        <w:t>a</w:t>
      </w:r>
      <w:r w:rsidRPr="00D30800">
        <w:rPr>
          <w:rFonts w:asciiTheme="minorHAnsi" w:hAnsiTheme="minorHAnsi"/>
        </w:rPr>
        <w:t xml:space="preserve"> percepção sobre o </w:t>
      </w:r>
      <w:r>
        <w:rPr>
          <w:rFonts w:asciiTheme="minorHAnsi" w:hAnsiTheme="minorHAnsi"/>
        </w:rPr>
        <w:t>“</w:t>
      </w:r>
      <w:r w:rsidRPr="00D30800">
        <w:rPr>
          <w:rFonts w:asciiTheme="minorHAnsi" w:hAnsiTheme="minorHAnsi"/>
        </w:rPr>
        <w:t>clima</w:t>
      </w:r>
      <w:r>
        <w:rPr>
          <w:rFonts w:asciiTheme="minorHAnsi" w:hAnsiTheme="minorHAnsi"/>
        </w:rPr>
        <w:t xml:space="preserve"> de opinião”</w:t>
      </w:r>
      <w:r w:rsidRPr="00D30800">
        <w:rPr>
          <w:rFonts w:asciiTheme="minorHAnsi" w:hAnsiTheme="minorHAnsi"/>
        </w:rPr>
        <w:t>.</w:t>
      </w:r>
    </w:p>
    <w:p w14:paraId="2F0449EB" w14:textId="4FF35E0C" w:rsidR="005124D0" w:rsidRDefault="005124D0" w:rsidP="005124D0">
      <w:pPr>
        <w:spacing w:after="240" w:line="360" w:lineRule="auto"/>
        <w:ind w:firstLine="708"/>
        <w:jc w:val="both"/>
        <w:rPr>
          <w:rFonts w:asciiTheme="minorHAnsi" w:hAnsiTheme="minorHAnsi"/>
        </w:rPr>
      </w:pPr>
      <w:r>
        <w:rPr>
          <w:rFonts w:asciiTheme="minorHAnsi" w:hAnsiTheme="minorHAnsi"/>
        </w:rPr>
        <w:t>Em suma</w:t>
      </w:r>
      <w:r w:rsidR="00BD08EE">
        <w:rPr>
          <w:rFonts w:asciiTheme="minorHAnsi" w:hAnsiTheme="minorHAnsi"/>
        </w:rPr>
        <w:t>,</w:t>
      </w:r>
      <w:r>
        <w:rPr>
          <w:rFonts w:asciiTheme="minorHAnsi" w:hAnsiTheme="minorHAnsi"/>
        </w:rPr>
        <w:t xml:space="preserve"> argumenta-se que, s</w:t>
      </w:r>
      <w:r w:rsidR="00C64AB3">
        <w:rPr>
          <w:rFonts w:asciiTheme="minorHAnsi" w:hAnsiTheme="minorHAnsi"/>
        </w:rPr>
        <w:t xml:space="preserve">e existem distorções ou vieses nos scores da medida de aceitação da corrupção elas podem ser </w:t>
      </w:r>
      <w:r w:rsidR="000F485C">
        <w:rPr>
          <w:rFonts w:asciiTheme="minorHAnsi" w:hAnsiTheme="minorHAnsi"/>
        </w:rPr>
        <w:t>entendidas</w:t>
      </w:r>
      <w:r w:rsidR="00C64AB3">
        <w:rPr>
          <w:rFonts w:asciiTheme="minorHAnsi" w:hAnsiTheme="minorHAnsi"/>
        </w:rPr>
        <w:t xml:space="preserve"> pelo desejo do entrevistado em aderir à um</w:t>
      </w:r>
      <w:r w:rsidR="00C64AB3" w:rsidRPr="00AA0849">
        <w:rPr>
          <w:rFonts w:asciiTheme="minorHAnsi" w:hAnsiTheme="minorHAnsi"/>
        </w:rPr>
        <w:t xml:space="preserve"> conjunto de valores</w:t>
      </w:r>
      <w:r w:rsidR="00C64AB3">
        <w:rPr>
          <w:rFonts w:asciiTheme="minorHAnsi" w:hAnsiTheme="minorHAnsi"/>
        </w:rPr>
        <w:t>, os quais são</w:t>
      </w:r>
      <w:r w:rsidR="00C64AB3" w:rsidRPr="00AA0849">
        <w:rPr>
          <w:rFonts w:asciiTheme="minorHAnsi" w:hAnsiTheme="minorHAnsi"/>
        </w:rPr>
        <w:t xml:space="preserve"> compartilhados</w:t>
      </w:r>
      <w:r w:rsidR="00C64AB3">
        <w:rPr>
          <w:rFonts w:asciiTheme="minorHAnsi" w:hAnsiTheme="minorHAnsi"/>
        </w:rPr>
        <w:t xml:space="preserve"> e </w:t>
      </w:r>
      <w:r w:rsidR="00C64AB3" w:rsidRPr="00AA0849">
        <w:rPr>
          <w:rFonts w:asciiTheme="minorHAnsi" w:hAnsiTheme="minorHAnsi"/>
        </w:rPr>
        <w:t>difund</w:t>
      </w:r>
      <w:r w:rsidR="00C64AB3">
        <w:rPr>
          <w:rFonts w:asciiTheme="minorHAnsi" w:hAnsiTheme="minorHAnsi"/>
        </w:rPr>
        <w:t xml:space="preserve">idos na arena do debate público e pretendem orientar o agir em sociedade. </w:t>
      </w:r>
      <w:r w:rsidR="003C4387">
        <w:rPr>
          <w:rFonts w:asciiTheme="minorHAnsi" w:hAnsiTheme="minorHAnsi"/>
        </w:rPr>
        <w:t xml:space="preserve">O </w:t>
      </w:r>
      <w:r w:rsidR="00D30800" w:rsidRPr="003C4387">
        <w:rPr>
          <w:rFonts w:asciiTheme="minorHAnsi" w:hAnsiTheme="minorHAnsi"/>
        </w:rPr>
        <w:t>isolamento</w:t>
      </w:r>
      <w:r w:rsidR="003C4387">
        <w:rPr>
          <w:rFonts w:asciiTheme="minorHAnsi" w:hAnsiTheme="minorHAnsi"/>
        </w:rPr>
        <w:t xml:space="preserve"> ao “clima de opinião” percebido, pode induzir as pessoas a declararem adesão aos valores</w:t>
      </w:r>
      <w:r w:rsidR="00C271AE">
        <w:rPr>
          <w:rFonts w:asciiTheme="minorHAnsi" w:hAnsiTheme="minorHAnsi"/>
        </w:rPr>
        <w:t xml:space="preserve"> socialmente compartilhados.</w:t>
      </w:r>
      <w:r>
        <w:rPr>
          <w:rFonts w:asciiTheme="minorHAnsi" w:hAnsiTheme="minorHAnsi"/>
        </w:rPr>
        <w:t xml:space="preserve"> </w:t>
      </w:r>
      <w:r w:rsidR="000F485C">
        <w:rPr>
          <w:rFonts w:asciiTheme="minorHAnsi" w:hAnsiTheme="minorHAnsi"/>
        </w:rPr>
        <w:t>Ademais, a</w:t>
      </w:r>
      <w:r>
        <w:rPr>
          <w:rFonts w:asciiTheme="minorHAnsi" w:hAnsiTheme="minorHAnsi"/>
        </w:rPr>
        <w:t>credita-se</w:t>
      </w:r>
      <w:r w:rsidR="00C271AE">
        <w:rPr>
          <w:rFonts w:asciiTheme="minorHAnsi" w:hAnsiTheme="minorHAnsi"/>
        </w:rPr>
        <w:t xml:space="preserve"> que a medida de aceitação, uma vez construída a partir de dados coletados em surveys, </w:t>
      </w:r>
      <w:r w:rsidR="000F485C">
        <w:rPr>
          <w:rFonts w:asciiTheme="minorHAnsi" w:hAnsiTheme="minorHAnsi"/>
        </w:rPr>
        <w:t xml:space="preserve">pode estar sujeita a erros aleatórios e, portanto, demonstrar inconsistência. </w:t>
      </w:r>
    </w:p>
    <w:p w14:paraId="6FB41BE0" w14:textId="5728D5A7" w:rsidR="000F485C" w:rsidRDefault="00C271AE" w:rsidP="000F485C">
      <w:pPr>
        <w:spacing w:after="240" w:line="360" w:lineRule="auto"/>
        <w:ind w:firstLine="708"/>
        <w:jc w:val="both"/>
        <w:rPr>
          <w:rFonts w:asciiTheme="minorHAnsi" w:hAnsiTheme="minorHAnsi"/>
        </w:rPr>
      </w:pPr>
      <w:r>
        <w:rPr>
          <w:rFonts w:asciiTheme="minorHAnsi" w:hAnsiTheme="minorHAnsi"/>
        </w:rPr>
        <w:t xml:space="preserve">Este </w:t>
      </w:r>
      <w:r w:rsidRPr="00AB315F">
        <w:rPr>
          <w:rFonts w:asciiTheme="minorHAnsi" w:hAnsiTheme="minorHAnsi"/>
        </w:rPr>
        <w:t>capítulo pretende</w:t>
      </w:r>
      <w:r>
        <w:rPr>
          <w:rFonts w:asciiTheme="minorHAnsi" w:hAnsiTheme="minorHAnsi"/>
        </w:rPr>
        <w:t xml:space="preserve"> problematizar as possíveis matrizes de erros da medida de aceitação, entendidas pela relação entre a </w:t>
      </w:r>
      <w:r w:rsidRPr="00AB315F">
        <w:rPr>
          <w:rFonts w:asciiTheme="minorHAnsi" w:hAnsiTheme="minorHAnsi"/>
        </w:rPr>
        <w:t>dinâmica da opinião pública</w:t>
      </w:r>
      <w:r>
        <w:rPr>
          <w:rFonts w:asciiTheme="minorHAnsi" w:hAnsiTheme="minorHAnsi"/>
        </w:rPr>
        <w:t xml:space="preserve">, aspectos da </w:t>
      </w:r>
      <w:r>
        <w:rPr>
          <w:rFonts w:asciiTheme="minorHAnsi" w:hAnsiTheme="minorHAnsi"/>
        </w:rPr>
        <w:lastRenderedPageBreak/>
        <w:t>cultura política - valores socialmente compartilhados - e percalços inerentes à técnica de coleta de dados.</w:t>
      </w:r>
      <w:r w:rsidR="00CC2E01">
        <w:rPr>
          <w:rFonts w:asciiTheme="minorHAnsi" w:hAnsiTheme="minorHAnsi"/>
        </w:rPr>
        <w:t xml:space="preserve"> </w:t>
      </w:r>
    </w:p>
    <w:p w14:paraId="216DF34C" w14:textId="71DD5340" w:rsidR="00C271AE" w:rsidRDefault="000F485C" w:rsidP="000F485C">
      <w:pPr>
        <w:spacing w:after="240" w:line="360" w:lineRule="auto"/>
        <w:ind w:firstLine="708"/>
        <w:jc w:val="both"/>
        <w:rPr>
          <w:rFonts w:asciiTheme="minorHAnsi" w:hAnsiTheme="minorHAnsi"/>
        </w:rPr>
      </w:pPr>
      <w:r>
        <w:rPr>
          <w:rFonts w:asciiTheme="minorHAnsi" w:hAnsiTheme="minorHAnsi"/>
        </w:rPr>
        <w:t>Nos tó</w:t>
      </w:r>
      <w:r w:rsidR="00580600">
        <w:rPr>
          <w:rFonts w:asciiTheme="minorHAnsi" w:hAnsiTheme="minorHAnsi"/>
        </w:rPr>
        <w:t>picos seguintes, o argumento será</w:t>
      </w:r>
      <w:r>
        <w:rPr>
          <w:rFonts w:asciiTheme="minorHAnsi" w:hAnsiTheme="minorHAnsi"/>
        </w:rPr>
        <w:t xml:space="preserve"> detalhado conforme</w:t>
      </w:r>
      <w:r w:rsidR="00C271AE">
        <w:rPr>
          <w:rFonts w:asciiTheme="minorHAnsi" w:hAnsiTheme="minorHAnsi"/>
        </w:rPr>
        <w:t xml:space="preserve"> o</w:t>
      </w:r>
      <w:r>
        <w:rPr>
          <w:rFonts w:asciiTheme="minorHAnsi" w:hAnsiTheme="minorHAnsi"/>
        </w:rPr>
        <w:t>s marcos teóricos-</w:t>
      </w:r>
      <w:r w:rsidR="00C271AE" w:rsidRPr="00AB315F">
        <w:rPr>
          <w:rFonts w:asciiTheme="minorHAnsi" w:hAnsiTheme="minorHAnsi"/>
        </w:rPr>
        <w:t>conceituais</w:t>
      </w:r>
      <w:r w:rsidR="00FB6FB2">
        <w:rPr>
          <w:rFonts w:asciiTheme="minorHAnsi" w:hAnsiTheme="minorHAnsi"/>
        </w:rPr>
        <w:t xml:space="preserve"> sobre o fenômeno da </w:t>
      </w:r>
      <w:r w:rsidR="00C271AE">
        <w:rPr>
          <w:rFonts w:asciiTheme="minorHAnsi" w:hAnsiTheme="minorHAnsi"/>
        </w:rPr>
        <w:t xml:space="preserve">corrupção e da dinâmica da opinião pública, os principais </w:t>
      </w:r>
      <w:r w:rsidR="00C271AE" w:rsidRPr="00AB315F">
        <w:rPr>
          <w:rFonts w:asciiTheme="minorHAnsi" w:hAnsiTheme="minorHAnsi"/>
        </w:rPr>
        <w:t>achados da literatura</w:t>
      </w:r>
      <w:r w:rsidR="00C271AE">
        <w:rPr>
          <w:rFonts w:asciiTheme="minorHAnsi" w:hAnsiTheme="minorHAnsi"/>
        </w:rPr>
        <w:t xml:space="preserve"> que trata da dimensão da tolerância a práticas corruptas no cotidiano, e a problematização da metodologia de coleta de dados.</w:t>
      </w:r>
    </w:p>
    <w:p w14:paraId="44EF43B0" w14:textId="7F32AE22" w:rsidR="001F2BF2" w:rsidRPr="00AB315F" w:rsidRDefault="001F2BF2" w:rsidP="001F2BF2">
      <w:pPr>
        <w:pStyle w:val="Ttulo2"/>
        <w:spacing w:after="240"/>
        <w:rPr>
          <w:color w:val="auto"/>
        </w:rPr>
      </w:pPr>
      <w:bookmarkStart w:id="3" w:name="_Toc456241240"/>
      <w:r>
        <w:rPr>
          <w:color w:val="auto"/>
        </w:rPr>
        <w:t>1.1</w:t>
      </w:r>
      <w:r w:rsidRPr="00AB315F">
        <w:rPr>
          <w:color w:val="auto"/>
        </w:rPr>
        <w:t xml:space="preserve"> Emergência de erros na de coleta dos dados</w:t>
      </w:r>
      <w:bookmarkEnd w:id="3"/>
    </w:p>
    <w:p w14:paraId="2A04937A"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A metodologia de pesquisa survey é uma técnica frequentemente usada e considerada adequada para a acessar a prevalência e distribuição de atitudes, crenças e comportamentos. Apesar do seu frequente uso, vale a pena considerar suas fraquezas e potencialidades ao mensurar a opinião pública (WIESBERG, 2008).  </w:t>
      </w:r>
    </w:p>
    <w:p w14:paraId="0C9A6F50"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Comparado aos experimentos, surveys são uma alternativa fraca para determinar relações de causa e efeito. Considerar que diferenças entre respondentes estão associadas à uma diferença entre suas opiniões não necessariamente determina a real causa da diferença de suas opiniões</w:t>
      </w:r>
      <w:r w:rsidRPr="00AB315F">
        <w:rPr>
          <w:rStyle w:val="Refdenotaderodap"/>
          <w:rFonts w:asciiTheme="minorHAnsi" w:hAnsiTheme="minorHAnsi"/>
        </w:rPr>
        <w:footnoteReference w:id="5"/>
      </w:r>
      <w:r w:rsidRPr="00AB315F">
        <w:rPr>
          <w:rFonts w:asciiTheme="minorHAnsi" w:hAnsiTheme="minorHAnsi"/>
        </w:rPr>
        <w:t xml:space="preserve"> (WIESBERG, 2008). Também neste sentido, é particularmente difícil acessar a verdadeira direção de causalidade.</w:t>
      </w:r>
    </w:p>
    <w:p w14:paraId="1BAD0830" w14:textId="02BEFD73" w:rsidR="001F2BF2"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Outra particularidade da coleta por surveys é a baixa capacidade desta técnica em medir opiniões ou atitudes que, na prática, são </w:t>
      </w:r>
      <w:r w:rsidR="007F2C6A">
        <w:rPr>
          <w:rFonts w:asciiTheme="minorHAnsi" w:hAnsiTheme="minorHAnsi"/>
        </w:rPr>
        <w:t>externa</w:t>
      </w:r>
      <w:r w:rsidR="007F2C6A" w:rsidRPr="00AB315F">
        <w:rPr>
          <w:rFonts w:asciiTheme="minorHAnsi" w:hAnsiTheme="minorHAnsi"/>
        </w:rPr>
        <w:t>lizadas</w:t>
      </w:r>
      <w:r w:rsidRPr="00AB315F">
        <w:rPr>
          <w:rFonts w:asciiTheme="minorHAnsi" w:hAnsiTheme="minorHAnsi"/>
        </w:rPr>
        <w:t xml:space="preserve"> a partir de uma interação em grupo. Ao contrário de grupos focais, que permitem contextualizar os resultados à uma interação grupal.</w:t>
      </w:r>
    </w:p>
    <w:p w14:paraId="581FCEC9" w14:textId="04533071" w:rsidR="001F2BF2" w:rsidRPr="00AB315F" w:rsidRDefault="001F2BF2" w:rsidP="001F2BF2">
      <w:pPr>
        <w:spacing w:after="240" w:line="360" w:lineRule="auto"/>
        <w:ind w:firstLine="708"/>
        <w:jc w:val="both"/>
        <w:rPr>
          <w:rFonts w:asciiTheme="minorHAnsi" w:hAnsiTheme="minorHAnsi"/>
        </w:rPr>
      </w:pPr>
      <w:r>
        <w:rPr>
          <w:rFonts w:asciiTheme="minorHAnsi" w:hAnsiTheme="minorHAnsi"/>
        </w:rPr>
        <w:t>P</w:t>
      </w:r>
      <w:r w:rsidRPr="00AB315F">
        <w:rPr>
          <w:rFonts w:asciiTheme="minorHAnsi" w:hAnsiTheme="minorHAnsi"/>
        </w:rPr>
        <w:t>ondera-se que erros sistemáticos em surveys podem ser mais graves</w:t>
      </w:r>
      <w:r w:rsidR="00536938">
        <w:rPr>
          <w:rFonts w:asciiTheme="minorHAnsi" w:hAnsiTheme="minorHAnsi"/>
        </w:rPr>
        <w:t>,</w:t>
      </w:r>
      <w:r w:rsidRPr="00AB315F">
        <w:rPr>
          <w:rFonts w:asciiTheme="minorHAnsi" w:hAnsiTheme="minorHAnsi"/>
        </w:rPr>
        <w:t xml:space="preserve"> uma vez que tem potencial em distorcer diretamente o significado de uma variável. Se pessoas mais ricas tendem a declarar uma renda menor do que possuem a média geral de renda deste grupo será distorcida. Por outro lado, erros aleatórios, apesar de não distorcerem </w:t>
      </w:r>
      <w:r w:rsidRPr="00AB315F">
        <w:rPr>
          <w:rFonts w:asciiTheme="minorHAnsi" w:hAnsiTheme="minorHAnsi"/>
        </w:rPr>
        <w:lastRenderedPageBreak/>
        <w:t>o significado de uma variável, aumenta</w:t>
      </w:r>
      <w:r>
        <w:rPr>
          <w:rFonts w:asciiTheme="minorHAnsi" w:hAnsiTheme="minorHAnsi"/>
        </w:rPr>
        <w:t>m</w:t>
      </w:r>
      <w:r w:rsidRPr="00AB315F">
        <w:rPr>
          <w:rFonts w:asciiTheme="minorHAnsi" w:hAnsiTheme="minorHAnsi"/>
        </w:rPr>
        <w:t xml:space="preserve"> a variância da mesma, o que pode acarretar efeitos sobre a correlação entre outras variáveis</w:t>
      </w:r>
      <w:r w:rsidRPr="00AB315F">
        <w:rPr>
          <w:rStyle w:val="Refdenotaderodap"/>
          <w:rFonts w:asciiTheme="minorHAnsi" w:hAnsiTheme="minorHAnsi"/>
        </w:rPr>
        <w:footnoteReference w:id="6"/>
      </w:r>
      <w:r w:rsidRPr="00AB315F">
        <w:rPr>
          <w:rFonts w:asciiTheme="minorHAnsi" w:hAnsiTheme="minorHAnsi"/>
        </w:rPr>
        <w:t xml:space="preserve">. </w:t>
      </w:r>
    </w:p>
    <w:p w14:paraId="574CDB72" w14:textId="12F46273"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Apesar das fragilidades frequentemente mencionadas na literatura os resultados de survyes podem ser melhor interpretados quando temos em mente as possíveis fontes de erros e seus efeitos sobre o alcance de inferências.</w:t>
      </w:r>
      <w:r>
        <w:rPr>
          <w:rFonts w:asciiTheme="minorHAnsi" w:hAnsiTheme="minorHAnsi"/>
        </w:rPr>
        <w:t xml:space="preserve"> No geral, considerando o modelo de processo de resposta de Tourangeau et al (2000), pode-se listar 5 aspectos </w:t>
      </w:r>
      <w:r w:rsidR="00536938">
        <w:rPr>
          <w:rFonts w:asciiTheme="minorHAnsi" w:hAnsiTheme="minorHAnsi"/>
        </w:rPr>
        <w:t>de erro os quais</w:t>
      </w:r>
      <w:r w:rsidRPr="00AB315F">
        <w:rPr>
          <w:rFonts w:asciiTheme="minorHAnsi" w:hAnsiTheme="minorHAnsi"/>
        </w:rPr>
        <w:t xml:space="preserve"> emergem na tentativa de captar atitudes pela metodologia survey:</w:t>
      </w:r>
    </w:p>
    <w:p w14:paraId="3A8B89DE" w14:textId="77777777" w:rsidR="001F2BF2" w:rsidRPr="00AB315F" w:rsidRDefault="001F2BF2" w:rsidP="001F2BF2">
      <w:pPr>
        <w:pStyle w:val="PargrafodaLista"/>
        <w:numPr>
          <w:ilvl w:val="0"/>
          <w:numId w:val="26"/>
        </w:numPr>
        <w:spacing w:line="360" w:lineRule="auto"/>
        <w:jc w:val="both"/>
        <w:rPr>
          <w:rFonts w:asciiTheme="minorHAnsi" w:hAnsiTheme="minorHAnsi"/>
        </w:rPr>
      </w:pPr>
      <w:r w:rsidRPr="00AB315F">
        <w:rPr>
          <w:rFonts w:asciiTheme="minorHAnsi" w:hAnsiTheme="minorHAnsi"/>
        </w:rPr>
        <w:t xml:space="preserve">Respondentes podem não compreender as questões. </w:t>
      </w:r>
    </w:p>
    <w:p w14:paraId="1634E13E" w14:textId="77777777" w:rsidR="001F2BF2" w:rsidRPr="00AB315F" w:rsidRDefault="001F2BF2" w:rsidP="001F2BF2">
      <w:pPr>
        <w:pStyle w:val="PargrafodaLista"/>
        <w:numPr>
          <w:ilvl w:val="0"/>
          <w:numId w:val="26"/>
        </w:numPr>
        <w:spacing w:line="360" w:lineRule="auto"/>
        <w:jc w:val="both"/>
        <w:rPr>
          <w:rFonts w:asciiTheme="minorHAnsi" w:hAnsiTheme="minorHAnsi"/>
        </w:rPr>
      </w:pPr>
      <w:r w:rsidRPr="00AB315F">
        <w:rPr>
          <w:rFonts w:asciiTheme="minorHAnsi" w:hAnsiTheme="minorHAnsi"/>
        </w:rPr>
        <w:t>Respondentes podem não mobilizar informações suficientes para responder as questões.</w:t>
      </w:r>
    </w:p>
    <w:p w14:paraId="05B1C7F7" w14:textId="77777777" w:rsidR="001F2BF2" w:rsidRPr="00AB315F" w:rsidRDefault="001F2BF2" w:rsidP="001F2BF2">
      <w:pPr>
        <w:pStyle w:val="PargrafodaLista"/>
        <w:numPr>
          <w:ilvl w:val="0"/>
          <w:numId w:val="26"/>
        </w:numPr>
        <w:spacing w:line="360" w:lineRule="auto"/>
        <w:jc w:val="both"/>
        <w:rPr>
          <w:rFonts w:asciiTheme="minorHAnsi" w:hAnsiTheme="minorHAnsi"/>
        </w:rPr>
      </w:pPr>
      <w:r w:rsidRPr="00AB315F">
        <w:rPr>
          <w:rFonts w:asciiTheme="minorHAnsi" w:hAnsiTheme="minorHAnsi"/>
        </w:rPr>
        <w:t>Respondentes podem usar estratégias de julgamento inapropriadas.</w:t>
      </w:r>
    </w:p>
    <w:p w14:paraId="10510A4D" w14:textId="77777777" w:rsidR="001F2BF2" w:rsidRPr="00AB315F" w:rsidRDefault="001F2BF2" w:rsidP="001F2BF2">
      <w:pPr>
        <w:pStyle w:val="PargrafodaLista"/>
        <w:numPr>
          <w:ilvl w:val="0"/>
          <w:numId w:val="26"/>
        </w:numPr>
        <w:spacing w:line="360" w:lineRule="auto"/>
        <w:jc w:val="both"/>
        <w:rPr>
          <w:rFonts w:asciiTheme="minorHAnsi" w:hAnsiTheme="minorHAnsi"/>
        </w:rPr>
      </w:pPr>
      <w:r w:rsidRPr="00AB315F">
        <w:rPr>
          <w:rFonts w:asciiTheme="minorHAnsi" w:hAnsiTheme="minorHAnsi"/>
        </w:rPr>
        <w:t>Respondentes podem ter dificuldade em adequar respostas às escalas.</w:t>
      </w:r>
    </w:p>
    <w:p w14:paraId="1004EEF6" w14:textId="77777777" w:rsidR="001F2BF2" w:rsidRPr="00AB315F" w:rsidRDefault="001F2BF2" w:rsidP="001F2BF2">
      <w:pPr>
        <w:pStyle w:val="PargrafodaLista"/>
        <w:numPr>
          <w:ilvl w:val="0"/>
          <w:numId w:val="26"/>
        </w:numPr>
        <w:spacing w:line="360" w:lineRule="auto"/>
        <w:jc w:val="both"/>
        <w:rPr>
          <w:rFonts w:asciiTheme="minorHAnsi" w:hAnsiTheme="minorHAnsi"/>
        </w:rPr>
      </w:pPr>
      <w:r w:rsidRPr="00AB315F">
        <w:rPr>
          <w:rFonts w:asciiTheme="minorHAnsi" w:hAnsiTheme="minorHAnsi"/>
        </w:rPr>
        <w:t>Respondentes podem simplesmente não dizer a verdade.</w:t>
      </w:r>
    </w:p>
    <w:p w14:paraId="285015AE" w14:textId="54994CD2" w:rsidR="001F2BF2" w:rsidRDefault="001F2BF2" w:rsidP="001F2BF2">
      <w:pPr>
        <w:spacing w:after="240" w:line="360" w:lineRule="auto"/>
        <w:ind w:firstLine="708"/>
        <w:jc w:val="both"/>
        <w:rPr>
          <w:rFonts w:asciiTheme="minorHAnsi" w:hAnsiTheme="minorHAnsi"/>
        </w:rPr>
      </w:pPr>
      <w:r>
        <w:rPr>
          <w:rFonts w:asciiTheme="minorHAnsi" w:hAnsiTheme="minorHAnsi"/>
        </w:rPr>
        <w:t>Considera-se aqui que os vieses de desejabilidade social e o conceito de corrupção podem representar à principal ameaça a validade da medida de aceitação. Ademais o indicador ainda pode estar vulnerável a erros aleatórios, os quais também emergem no momento da aplicação da pesquisa e podem ser entendidos como:</w:t>
      </w:r>
      <w:r w:rsidRPr="00AB315F">
        <w:rPr>
          <w:rFonts w:asciiTheme="minorHAnsi" w:hAnsiTheme="minorHAnsi"/>
        </w:rPr>
        <w:t xml:space="preserve"> não-atitudes,</w:t>
      </w:r>
      <w:r>
        <w:rPr>
          <w:rFonts w:asciiTheme="minorHAnsi" w:hAnsiTheme="minorHAnsi"/>
        </w:rPr>
        <w:t xml:space="preserve"> “não respostas”</w:t>
      </w:r>
      <w:r w:rsidRPr="00AB315F">
        <w:rPr>
          <w:rFonts w:asciiTheme="minorHAnsi" w:hAnsiTheme="minorHAnsi"/>
        </w:rPr>
        <w:t xml:space="preserve"> e escalas de atitudes enviesadas</w:t>
      </w:r>
      <w:r w:rsidRPr="00AB315F">
        <w:rPr>
          <w:rStyle w:val="Refdenotaderodap"/>
          <w:rFonts w:asciiTheme="minorHAnsi" w:hAnsiTheme="minorHAnsi"/>
        </w:rPr>
        <w:footnoteReference w:id="7"/>
      </w:r>
      <w:r w:rsidRPr="00AB315F">
        <w:rPr>
          <w:rFonts w:asciiTheme="minorHAnsi" w:hAnsiTheme="minorHAnsi"/>
        </w:rPr>
        <w:t>.</w:t>
      </w:r>
    </w:p>
    <w:p w14:paraId="235C8489" w14:textId="77AF4055" w:rsidR="001F2BF2" w:rsidRPr="00AB315F" w:rsidRDefault="001F2BF2" w:rsidP="001F2BF2">
      <w:pPr>
        <w:pStyle w:val="Ttulo3"/>
        <w:spacing w:before="0"/>
      </w:pPr>
      <w:bookmarkStart w:id="4" w:name="_Toc456241241"/>
      <w:r>
        <w:t>1.1</w:t>
      </w:r>
      <w:r w:rsidRPr="00AB315F">
        <w:t>.1 Desejabilidade Social</w:t>
      </w:r>
      <w:bookmarkEnd w:id="4"/>
    </w:p>
    <w:p w14:paraId="2F554AD2" w14:textId="0DC473C6" w:rsidR="001F2BF2" w:rsidRPr="00AB315F" w:rsidRDefault="001F2BF2" w:rsidP="001F2BF2">
      <w:pPr>
        <w:spacing w:before="240" w:after="240" w:line="360" w:lineRule="auto"/>
        <w:ind w:firstLine="708"/>
        <w:jc w:val="both"/>
        <w:rPr>
          <w:rFonts w:asciiTheme="minorHAnsi" w:hAnsiTheme="minorHAnsi"/>
        </w:rPr>
      </w:pPr>
      <w:r w:rsidRPr="00AB315F">
        <w:rPr>
          <w:rFonts w:asciiTheme="minorHAnsi" w:hAnsiTheme="minorHAnsi"/>
        </w:rPr>
        <w:t xml:space="preserve">O efeito de desejabilidade social é a tendência dos entrevistados de responderem perguntas de uma forma que seja socialmente “bem vista”. Os indivíduos querem sempre passar uma boa impressão que se importam com o que os </w:t>
      </w:r>
      <w:r w:rsidR="00536938">
        <w:rPr>
          <w:rFonts w:asciiTheme="minorHAnsi" w:hAnsiTheme="minorHAnsi"/>
        </w:rPr>
        <w:t>outros pensam sobre elas, prevalece</w:t>
      </w:r>
      <w:r w:rsidRPr="00AB315F">
        <w:rPr>
          <w:rFonts w:asciiTheme="minorHAnsi" w:hAnsiTheme="minorHAnsi"/>
        </w:rPr>
        <w:t xml:space="preserve"> um forte componente motivacional (BERINSKY, 2002). </w:t>
      </w:r>
      <w:r>
        <w:rPr>
          <w:rFonts w:asciiTheme="minorHAnsi" w:hAnsiTheme="minorHAnsi"/>
        </w:rPr>
        <w:t>Por conseguinte,</w:t>
      </w:r>
      <w:r w:rsidRPr="00AB315F">
        <w:rPr>
          <w:rFonts w:asciiTheme="minorHAnsi" w:hAnsiTheme="minorHAnsi"/>
        </w:rPr>
        <w:t xml:space="preserve"> “boas atitudes” ou “más atitudes” </w:t>
      </w:r>
      <w:r>
        <w:rPr>
          <w:rFonts w:asciiTheme="minorHAnsi" w:hAnsiTheme="minorHAnsi"/>
        </w:rPr>
        <w:t>podem ser sobre</w:t>
      </w:r>
      <w:r w:rsidR="00536938">
        <w:rPr>
          <w:rFonts w:asciiTheme="minorHAnsi" w:hAnsiTheme="minorHAnsi"/>
        </w:rPr>
        <w:t xml:space="preserve"> representadas em vista de um</w:t>
      </w:r>
      <w:r w:rsidRPr="00AB315F">
        <w:rPr>
          <w:rFonts w:asciiTheme="minorHAnsi" w:hAnsiTheme="minorHAnsi"/>
        </w:rPr>
        <w:t xml:space="preserve"> padrão</w:t>
      </w:r>
      <w:r>
        <w:rPr>
          <w:rFonts w:asciiTheme="minorHAnsi" w:hAnsiTheme="minorHAnsi"/>
        </w:rPr>
        <w:t xml:space="preserve"> de resposta</w:t>
      </w:r>
      <w:r w:rsidRPr="00AB315F">
        <w:rPr>
          <w:rFonts w:asciiTheme="minorHAnsi" w:hAnsiTheme="minorHAnsi"/>
        </w:rPr>
        <w:t xml:space="preserve"> socialmente desejável.</w:t>
      </w:r>
    </w:p>
    <w:p w14:paraId="762425F7" w14:textId="719968E0"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lastRenderedPageBreak/>
        <w:t>Alguns estudos no campo da sociologia e da ciência política revelam que a desejabilidade social tem maior impacto sobre um conjunto</w:t>
      </w:r>
      <w:r>
        <w:rPr>
          <w:rFonts w:asciiTheme="minorHAnsi" w:hAnsiTheme="minorHAnsi"/>
        </w:rPr>
        <w:t xml:space="preserve"> específico</w:t>
      </w:r>
      <w:r w:rsidRPr="00AB315F">
        <w:rPr>
          <w:rFonts w:asciiTheme="minorHAnsi" w:hAnsiTheme="minorHAnsi"/>
        </w:rPr>
        <w:t xml:space="preserve"> de perguntas. Por exemplo, entrevistados podem declarar que votaram enquanto na verdade não o fizeram, podem sobre declarar sua renda, podem se auto descrever de uma maneira socialmente sancionada (por exemplo se declararem mais felizes do que realmente são em seu casamento, ou sobre declararem a frequência com que vão a culto religiosos) e, sobretudo, </w:t>
      </w:r>
      <w:r w:rsidR="00536938">
        <w:rPr>
          <w:rFonts w:asciiTheme="minorHAnsi" w:hAnsiTheme="minorHAnsi"/>
        </w:rPr>
        <w:t>podem editar</w:t>
      </w:r>
      <w:r w:rsidRPr="00AB315F">
        <w:rPr>
          <w:rFonts w:asciiTheme="minorHAnsi" w:hAnsiTheme="minorHAnsi"/>
        </w:rPr>
        <w:t xml:space="preserve"> respostas que seriam politicamente “incorretas” (como preconceito racial entre outros) (</w:t>
      </w:r>
      <w:r w:rsidR="00623D63" w:rsidRPr="00AB315F">
        <w:rPr>
          <w:rFonts w:asciiTheme="minorHAnsi" w:hAnsiTheme="minorHAnsi"/>
        </w:rPr>
        <w:t>PRESSER E STINSON, 1998; BISHOP ET AL, 1986; PHILLIPS ET AL, 1972</w:t>
      </w:r>
      <w:r w:rsidRPr="00AB315F">
        <w:rPr>
          <w:rFonts w:asciiTheme="minorHAnsi" w:hAnsiTheme="minorHAnsi"/>
        </w:rPr>
        <w:t>) .</w:t>
      </w:r>
    </w:p>
    <w:p w14:paraId="63D1601A" w14:textId="3ABD5AB9"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O termo desejabilidade social foi originalmente concebido no âmbito das pesquisas pscicométricas. O trabalho de Furnham (1986), mobiliza os termos “falsear”, “mentir” e “dissimular” para definir o fato de que o respondente de uma pesquisa está deliberadamente escondendo a verdade com a intenção de criar uma impressão específica, geralmente uma melhor imagem de si mesmo para os outros que o rodeiam. </w:t>
      </w:r>
    </w:p>
    <w:p w14:paraId="7260AA85" w14:textId="1F11A4FD"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Em trabalhos posteriores, a desejabilidade social passou a ser usada para representar tendências de distorção de auto relatos para uma direção favorável, negando, assim, traços e comportamentos socialmente indesejáveis, o respondente dissimula sua resposta real de forma a ser aceitável (</w:t>
      </w:r>
      <w:r w:rsidR="00623D63">
        <w:rPr>
          <w:rFonts w:asciiTheme="minorHAnsi" w:hAnsiTheme="minorHAnsi"/>
        </w:rPr>
        <w:t>SHULTZ e</w:t>
      </w:r>
      <w:r w:rsidR="00623D63" w:rsidRPr="00AB315F">
        <w:rPr>
          <w:rFonts w:asciiTheme="minorHAnsi" w:hAnsiTheme="minorHAnsi"/>
        </w:rPr>
        <w:t xml:space="preserve"> CHÁVEZ, 1994</w:t>
      </w:r>
      <w:r w:rsidRPr="00AB315F">
        <w:rPr>
          <w:rFonts w:asciiTheme="minorHAnsi" w:hAnsiTheme="minorHAnsi"/>
        </w:rPr>
        <w:t>)</w:t>
      </w:r>
    </w:p>
    <w:p w14:paraId="017AB1CC"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No campo da psicologia, o problema da desejabilidade social foi especialmente observado na mensuração da personalidade. Trabalhos neste sentido foram justificados sob o risco de não alcance de validade por parte das pesquisas psicológicas.  </w:t>
      </w:r>
    </w:p>
    <w:p w14:paraId="5B038DCA"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No âmbito da sociologia, Phillips e Clancy (1972) formulam uma mesma noção geral do conceito de desejabilidade social:</w:t>
      </w:r>
    </w:p>
    <w:p w14:paraId="32635E71" w14:textId="5309966D" w:rsidR="001F2BF2" w:rsidRPr="00D50212" w:rsidRDefault="001F2BF2" w:rsidP="001F2BF2">
      <w:pPr>
        <w:spacing w:after="240"/>
        <w:ind w:left="2268"/>
        <w:jc w:val="both"/>
        <w:rPr>
          <w:rFonts w:asciiTheme="minorHAnsi" w:hAnsiTheme="minorHAnsi"/>
          <w:sz w:val="18"/>
          <w:szCs w:val="18"/>
          <w:lang w:val="en-US"/>
        </w:rPr>
      </w:pPr>
      <w:r w:rsidRPr="00D50212">
        <w:rPr>
          <w:rFonts w:asciiTheme="minorHAnsi" w:hAnsiTheme="minorHAnsi"/>
          <w:sz w:val="18"/>
          <w:szCs w:val="18"/>
          <w:lang w:val="en-US"/>
        </w:rPr>
        <w:t>"</w:t>
      </w:r>
      <w:r w:rsidR="00D50212">
        <w:rPr>
          <w:rFonts w:asciiTheme="minorHAnsi" w:hAnsiTheme="minorHAnsi"/>
          <w:sz w:val="18"/>
          <w:szCs w:val="18"/>
          <w:lang w:val="en-US"/>
        </w:rPr>
        <w:t>B</w:t>
      </w:r>
      <w:r w:rsidR="00D50212" w:rsidRPr="00D50212">
        <w:rPr>
          <w:rFonts w:asciiTheme="minorHAnsi" w:hAnsiTheme="minorHAnsi"/>
          <w:sz w:val="18"/>
          <w:szCs w:val="18"/>
          <w:lang w:val="en-US"/>
        </w:rPr>
        <w:t>roadly conceived, 'social desirability' as a response determinant refers to the tendency of people to deny socially undesirable traits or qualities and to admit to socially desirable ones</w:t>
      </w:r>
      <w:r w:rsidR="00623D63" w:rsidRPr="00D50212">
        <w:rPr>
          <w:rFonts w:asciiTheme="minorHAnsi" w:hAnsiTheme="minorHAnsi"/>
          <w:sz w:val="18"/>
          <w:szCs w:val="18"/>
          <w:lang w:val="en-US"/>
        </w:rPr>
        <w:t>" (PHILLIPS E CLANCY, 1972</w:t>
      </w:r>
      <w:r w:rsidR="00D50212">
        <w:rPr>
          <w:rFonts w:asciiTheme="minorHAnsi" w:hAnsiTheme="minorHAnsi"/>
          <w:sz w:val="18"/>
          <w:szCs w:val="18"/>
          <w:lang w:val="en-US"/>
        </w:rPr>
        <w:t>, p.24</w:t>
      </w:r>
      <w:r w:rsidR="00623D63" w:rsidRPr="00D50212">
        <w:rPr>
          <w:rFonts w:asciiTheme="minorHAnsi" w:hAnsiTheme="minorHAnsi"/>
          <w:sz w:val="18"/>
          <w:szCs w:val="18"/>
          <w:lang w:val="en-US"/>
        </w:rPr>
        <w:t xml:space="preserve">) </w:t>
      </w:r>
    </w:p>
    <w:p w14:paraId="292AF51C" w14:textId="4E0C64C9" w:rsidR="001F2BF2" w:rsidRPr="00AB315F" w:rsidRDefault="001F2BF2" w:rsidP="001F2BF2">
      <w:pPr>
        <w:spacing w:after="240" w:line="360" w:lineRule="auto"/>
        <w:ind w:firstLine="708"/>
        <w:jc w:val="both"/>
        <w:rPr>
          <w:rFonts w:asciiTheme="minorHAnsi" w:hAnsiTheme="minorHAnsi"/>
        </w:rPr>
      </w:pPr>
      <w:r>
        <w:rPr>
          <w:rFonts w:asciiTheme="minorHAnsi" w:hAnsiTheme="minorHAnsi"/>
        </w:rPr>
        <w:t xml:space="preserve">Da mesma forma, </w:t>
      </w:r>
      <w:r w:rsidRPr="00AB315F">
        <w:rPr>
          <w:rFonts w:asciiTheme="minorHAnsi" w:hAnsiTheme="minorHAnsi"/>
        </w:rPr>
        <w:t>Weisberg</w:t>
      </w:r>
      <w:r w:rsidR="00A01858">
        <w:rPr>
          <w:rFonts w:asciiTheme="minorHAnsi" w:hAnsiTheme="minorHAnsi"/>
        </w:rPr>
        <w:t xml:space="preserve"> (2005)</w:t>
      </w:r>
      <w:r w:rsidRPr="00AB315F">
        <w:rPr>
          <w:rFonts w:asciiTheme="minorHAnsi" w:hAnsiTheme="minorHAnsi"/>
        </w:rPr>
        <w:t xml:space="preserve"> classificaria o termo na subcategoria de “erros de mensuração devido aos respondentes”, inscrito na categoria mais ampla de “Acurácia das Respostas”.</w:t>
      </w:r>
    </w:p>
    <w:p w14:paraId="700A07C3" w14:textId="7B60F071"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lastRenderedPageBreak/>
        <w:t>O diálogo entre a perspectiva sociológica e psicológica sobre o conceito de desejabilidade social</w:t>
      </w:r>
      <w:r w:rsidR="00922079">
        <w:rPr>
          <w:rFonts w:asciiTheme="minorHAnsi" w:hAnsiTheme="minorHAnsi"/>
        </w:rPr>
        <w:t xml:space="preserve"> </w:t>
      </w:r>
      <w:r w:rsidRPr="00AB315F">
        <w:rPr>
          <w:rFonts w:asciiTheme="minorHAnsi" w:hAnsiTheme="minorHAnsi"/>
        </w:rPr>
        <w:t xml:space="preserve">encontra congruência em um aspecto importante: o “estilo de respostas”. </w:t>
      </w:r>
    </w:p>
    <w:p w14:paraId="4BD8C6D0" w14:textId="4CDED2E8"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A tendência do entrevistado em responder à pergunta de uma forma específica, pode estar atrelada </w:t>
      </w:r>
      <w:r w:rsidR="00536938">
        <w:rPr>
          <w:rFonts w:asciiTheme="minorHAnsi" w:hAnsiTheme="minorHAnsi"/>
        </w:rPr>
        <w:t>a um posicionamento específico de</w:t>
      </w:r>
      <w:r w:rsidRPr="00AB315F">
        <w:rPr>
          <w:rFonts w:asciiTheme="minorHAnsi" w:hAnsiTheme="minorHAnsi"/>
        </w:rPr>
        <w:t xml:space="preserve"> um subconjunto da população, no qual</w:t>
      </w:r>
      <w:r w:rsidR="00536938">
        <w:rPr>
          <w:rFonts w:asciiTheme="minorHAnsi" w:hAnsiTheme="minorHAnsi"/>
        </w:rPr>
        <w:t xml:space="preserve"> este entrevistado se encontra</w:t>
      </w:r>
      <w:r w:rsidRPr="00AB315F">
        <w:rPr>
          <w:rFonts w:asciiTheme="minorHAnsi" w:hAnsiTheme="minorHAnsi"/>
        </w:rPr>
        <w:t xml:space="preserve">. Os subconjuntos podem ser definidos por critérios de renda, escolaridade, idade, ocupação, entre outros. Se ampliarmos o escopo de análise à uma pesquisa comparativa, o subgrupo pode ser definido por regiões ou países.  A exemplo, estudo comparados sugerem que latino-americanos – por conta de </w:t>
      </w:r>
      <w:r w:rsidR="00F044BC">
        <w:rPr>
          <w:rFonts w:asciiTheme="minorHAnsi" w:hAnsiTheme="minorHAnsi"/>
        </w:rPr>
        <w:t xml:space="preserve">aspectos próprios </w:t>
      </w:r>
      <w:r w:rsidRPr="00AB315F">
        <w:rPr>
          <w:rFonts w:asciiTheme="minorHAnsi" w:hAnsiTheme="minorHAnsi"/>
        </w:rPr>
        <w:t xml:space="preserve">socialização cultural - tem uma tendência a aquiescer às perguntas, ou seja, tendem a concordar ou discordar orientados ao tom ou viés da questão.  </w:t>
      </w:r>
    </w:p>
    <w:p w14:paraId="565006E2"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De volta aos estudos sobre opinião pública, Berinsky (1999) também argumenta que pesquisas de opinião, sob certas circunstâncias, podem refletir de maneira pobre e insatisfatória o sentimento público. A causa da ineficiência de surveys nesse sentido seria o fato de que indivíduos devem ceder a pressões sociais durante a entrevista e escolher abster-se de uma posição pessoal para não se posicionarem ao extremo de um espectro de opinião socialmente indesejável.  </w:t>
      </w:r>
    </w:p>
    <w:p w14:paraId="5724E677" w14:textId="740DDF5E" w:rsidR="001F2BF2" w:rsidRPr="00AB315F" w:rsidRDefault="001F2BF2" w:rsidP="001F2BF2">
      <w:pPr>
        <w:spacing w:after="240" w:line="360" w:lineRule="auto"/>
        <w:ind w:left="1985"/>
        <w:jc w:val="both"/>
        <w:rPr>
          <w:rFonts w:asciiTheme="minorHAnsi" w:hAnsiTheme="minorHAnsi"/>
          <w:sz w:val="20"/>
        </w:rPr>
      </w:pPr>
      <w:r w:rsidRPr="00AB315F">
        <w:rPr>
          <w:rFonts w:asciiTheme="minorHAnsi" w:hAnsiTheme="minorHAnsi"/>
          <w:sz w:val="20"/>
          <w:lang w:val="en-US"/>
        </w:rPr>
        <w:t xml:space="preserve">“If significant portions of the population are loath to disclose views which could be construed as socially unacceptable, polls measuring collective opinion on sensitive topics may underestimate the true levels of support for or opposition to those policies.” </w:t>
      </w:r>
      <w:r w:rsidR="00D50212" w:rsidRPr="007F2C6A">
        <w:rPr>
          <w:rFonts w:asciiTheme="minorHAnsi" w:hAnsiTheme="minorHAnsi"/>
          <w:sz w:val="20"/>
        </w:rPr>
        <w:t>(</w:t>
      </w:r>
      <w:r w:rsidR="00D50212" w:rsidRPr="00AB315F">
        <w:rPr>
          <w:rFonts w:asciiTheme="minorHAnsi" w:hAnsiTheme="minorHAnsi"/>
          <w:sz w:val="20"/>
        </w:rPr>
        <w:t>BERINSKY</w:t>
      </w:r>
      <w:r w:rsidR="007F2C6A">
        <w:rPr>
          <w:rFonts w:asciiTheme="minorHAnsi" w:hAnsiTheme="minorHAnsi"/>
          <w:sz w:val="20"/>
        </w:rPr>
        <w:t>,</w:t>
      </w:r>
      <w:r w:rsidRPr="00AB315F">
        <w:rPr>
          <w:rFonts w:asciiTheme="minorHAnsi" w:hAnsiTheme="minorHAnsi"/>
          <w:sz w:val="20"/>
        </w:rPr>
        <w:t xml:space="preserve"> 1999</w:t>
      </w:r>
      <w:r w:rsidR="00D50212">
        <w:rPr>
          <w:rFonts w:asciiTheme="minorHAnsi" w:hAnsiTheme="minorHAnsi"/>
          <w:sz w:val="20"/>
        </w:rPr>
        <w:t>,p.12)</w:t>
      </w:r>
    </w:p>
    <w:p w14:paraId="3DAA3F51" w14:textId="77777777" w:rsidR="001F2BF2" w:rsidRPr="00AB315F" w:rsidRDefault="001F2BF2" w:rsidP="001F2BF2">
      <w:pPr>
        <w:tabs>
          <w:tab w:val="left" w:pos="1628"/>
        </w:tabs>
        <w:spacing w:after="240" w:line="360" w:lineRule="auto"/>
        <w:ind w:firstLine="708"/>
        <w:jc w:val="both"/>
        <w:rPr>
          <w:rFonts w:asciiTheme="minorHAnsi" w:hAnsiTheme="minorHAnsi"/>
        </w:rPr>
      </w:pPr>
      <w:r w:rsidRPr="00AB315F">
        <w:rPr>
          <w:rFonts w:asciiTheme="minorHAnsi" w:hAnsiTheme="minorHAnsi"/>
        </w:rPr>
        <w:t xml:space="preserve">Um ponto particular às inferências de Berinsky (1999) se aproxima da argumentação de Converse e Schuman (1974) e sugere que as entrevistas realizadas face a face são ainda uma simulação da interação social entre dois indivíduos: o entrevistador e o entrevistado.  </w:t>
      </w:r>
    </w:p>
    <w:p w14:paraId="474BE955" w14:textId="63AEF589"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Assim, sem nos distanciar dos mecanismos que ativam a questão da desejabilidade social, a metodologia de coleta dos dados deve influenciar o formato das respostas. De forma simples os respondentes, ainda que não identificados, são </w:t>
      </w:r>
      <w:r w:rsidRPr="00AB315F">
        <w:rPr>
          <w:rFonts w:asciiTheme="minorHAnsi" w:hAnsiTheme="minorHAnsi"/>
        </w:rPr>
        <w:lastRenderedPageBreak/>
        <w:t>influenciados pelo desejo social em relação ao tema da pergunta, comportamento principalmente ativado pela própria presença de um entrevistador</w:t>
      </w:r>
      <w:r w:rsidR="00922079">
        <w:rPr>
          <w:rStyle w:val="Refdenotaderodap"/>
          <w:rFonts w:asciiTheme="minorHAnsi" w:hAnsiTheme="minorHAnsi"/>
        </w:rPr>
        <w:footnoteReference w:id="8"/>
      </w:r>
      <w:r w:rsidRPr="00AB315F">
        <w:rPr>
          <w:rFonts w:asciiTheme="minorHAnsi" w:hAnsiTheme="minorHAnsi"/>
        </w:rPr>
        <w:t xml:space="preserve">. </w:t>
      </w:r>
    </w:p>
    <w:p w14:paraId="1AFDE30A" w14:textId="56700F74" w:rsidR="001F2BF2" w:rsidRPr="00AB315F" w:rsidRDefault="001F2BF2" w:rsidP="001F2BF2">
      <w:pPr>
        <w:spacing w:after="240" w:line="360" w:lineRule="auto"/>
        <w:ind w:firstLine="708"/>
        <w:jc w:val="both"/>
        <w:rPr>
          <w:rFonts w:asciiTheme="minorHAnsi" w:hAnsiTheme="minorHAnsi"/>
          <w:highlight w:val="yellow"/>
        </w:rPr>
      </w:pPr>
      <w:r w:rsidRPr="00AB315F">
        <w:rPr>
          <w:rFonts w:asciiTheme="minorHAnsi" w:hAnsiTheme="minorHAnsi"/>
        </w:rPr>
        <w:t xml:space="preserve">A questão da desejabilidade social pode ser relacionada </w:t>
      </w:r>
      <w:r w:rsidR="00922079">
        <w:rPr>
          <w:rFonts w:asciiTheme="minorHAnsi" w:hAnsiTheme="minorHAnsi"/>
        </w:rPr>
        <w:t xml:space="preserve">ainda </w:t>
      </w:r>
      <w:r w:rsidRPr="00AB315F">
        <w:rPr>
          <w:rFonts w:asciiTheme="minorHAnsi" w:hAnsiTheme="minorHAnsi"/>
        </w:rPr>
        <w:t>ao termo “medo da isolação” – conceito incluso no arcabouço mais amplo da teoria da Espira</w:t>
      </w:r>
      <w:r w:rsidR="000073A3">
        <w:rPr>
          <w:rFonts w:asciiTheme="minorHAnsi" w:hAnsiTheme="minorHAnsi"/>
        </w:rPr>
        <w:t>l do Silêncio (</w:t>
      </w:r>
      <w:r w:rsidR="00D50212">
        <w:rPr>
          <w:rFonts w:asciiTheme="minorHAnsi" w:hAnsiTheme="minorHAnsi"/>
        </w:rPr>
        <w:t>NEUMANMM,</w:t>
      </w:r>
      <w:r w:rsidRPr="00AB315F">
        <w:rPr>
          <w:rFonts w:asciiTheme="minorHAnsi" w:hAnsiTheme="minorHAnsi"/>
        </w:rPr>
        <w:t xml:space="preserve">1984). O viés de desejo social pode ser um reflexo do medo ou constrangimento do respondente em enquadrar sua atitude pessoal em uma conduta socialmente indesejável.  </w:t>
      </w:r>
    </w:p>
    <w:p w14:paraId="18FBA577" w14:textId="634D158D"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Não obstante, talvez a aproximação mais fiel à dinâmica da opinião pública se relacione com o termo de “clim</w:t>
      </w:r>
      <w:r w:rsidR="00D50212">
        <w:rPr>
          <w:rFonts w:asciiTheme="minorHAnsi" w:hAnsiTheme="minorHAnsi"/>
        </w:rPr>
        <w:t xml:space="preserve">a da opinião”, usado por Noelle </w:t>
      </w:r>
      <w:r w:rsidRPr="00AB315F">
        <w:rPr>
          <w:rFonts w:asciiTheme="minorHAnsi" w:hAnsiTheme="minorHAnsi"/>
        </w:rPr>
        <w:t xml:space="preserve">Neumann para descrever a presença de uma força social capaz de garantir coesão e consenso no plano de valores de uma sociedade. </w:t>
      </w:r>
    </w:p>
    <w:p w14:paraId="09078DDE" w14:textId="5E952F0D"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Conforme considerado no referencial teórico sobre a opinião pública, as pressões normativas de controle e conformidade social as quais definem, regulam e controlam o apropriado e aceitável comportamento, estão incorporadas no “clima da opinião” e podem ser refletidas pela dimensão da desejabilidade social. Ademais isso vem sido associado à função latente da coesão social e dos valores c</w:t>
      </w:r>
      <w:r w:rsidR="00A01858">
        <w:rPr>
          <w:rFonts w:asciiTheme="minorHAnsi" w:hAnsiTheme="minorHAnsi"/>
        </w:rPr>
        <w:t>onsensuais (NOELLE-NEUMANN 1993</w:t>
      </w:r>
      <w:r w:rsidRPr="00AB315F">
        <w:rPr>
          <w:rFonts w:asciiTheme="minorHAnsi" w:hAnsiTheme="minorHAnsi"/>
        </w:rPr>
        <w:t>).</w:t>
      </w:r>
    </w:p>
    <w:p w14:paraId="01DA23A4" w14:textId="6C94B3D9"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Como exposto por </w:t>
      </w:r>
      <w:r w:rsidRPr="00E46AC8">
        <w:rPr>
          <w:rFonts w:asciiTheme="minorHAnsi" w:hAnsiTheme="minorHAnsi"/>
        </w:rPr>
        <w:t>Shamir e Shamir (</w:t>
      </w:r>
      <w:r w:rsidR="00E46AC8" w:rsidRPr="00E46AC8">
        <w:rPr>
          <w:rFonts w:asciiTheme="minorHAnsi" w:hAnsiTheme="minorHAnsi"/>
        </w:rPr>
        <w:t>2000</w:t>
      </w:r>
      <w:r w:rsidRPr="00AB315F">
        <w:rPr>
          <w:rFonts w:asciiTheme="minorHAnsi" w:hAnsiTheme="minorHAnsi"/>
        </w:rPr>
        <w:t xml:space="preserve">), a influência do “clima” tende a impactar o momento no qual as pessoas expõem e compartilham suas opiniões com outras pessoas. Já que as opiniões mobilizam um conteúdo normativo, atitudes inaceitáveis ou indesejáveis podem causar constrangimento, desconforto e até a possível isolação social. </w:t>
      </w:r>
    </w:p>
    <w:p w14:paraId="28960194" w14:textId="1B4DF89B"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Neste sentido faz-se importante ressaltar que a presença da força social em questão é ativada através do debate público, o qual envolve conversação, discursos, deliberação, julgamento ativo, e ação política. </w:t>
      </w:r>
    </w:p>
    <w:p w14:paraId="1DC74AAF" w14:textId="2DAA4B78"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lastRenderedPageBreak/>
        <w:t>Sob o referencial teórico da corrupção podemos relacionar o efeito de desejabilidade social ao fenômeno da corrupção recuperando o a</w:t>
      </w:r>
      <w:r w:rsidR="000A4D64">
        <w:rPr>
          <w:rFonts w:asciiTheme="minorHAnsi" w:hAnsiTheme="minorHAnsi"/>
        </w:rPr>
        <w:t>rgumento teórico de Gunar Myrdal,</w:t>
      </w:r>
      <w:r w:rsidRPr="00AB315F">
        <w:rPr>
          <w:rFonts w:asciiTheme="minorHAnsi" w:hAnsiTheme="minorHAnsi"/>
        </w:rPr>
        <w:t xml:space="preserve"> Dobel</w:t>
      </w:r>
      <w:r w:rsidR="000073A3">
        <w:rPr>
          <w:rFonts w:asciiTheme="minorHAnsi" w:hAnsiTheme="minorHAnsi"/>
        </w:rPr>
        <w:t xml:space="preserve"> (1976)</w:t>
      </w:r>
      <w:r w:rsidRPr="00AB315F">
        <w:rPr>
          <w:rFonts w:asciiTheme="minorHAnsi" w:hAnsiTheme="minorHAnsi"/>
        </w:rPr>
        <w:t xml:space="preserve"> e Fernando Filgueiras.  </w:t>
      </w:r>
    </w:p>
    <w:p w14:paraId="7B9553B2" w14:textId="6759CF4E" w:rsidR="001F2BF2" w:rsidRPr="001F728A" w:rsidRDefault="001F2BF2" w:rsidP="001F2BF2">
      <w:pPr>
        <w:tabs>
          <w:tab w:val="left" w:pos="540"/>
        </w:tabs>
        <w:spacing w:after="240" w:line="360" w:lineRule="auto"/>
        <w:jc w:val="both"/>
        <w:rPr>
          <w:rFonts w:asciiTheme="minorHAnsi" w:hAnsiTheme="minorHAnsi"/>
        </w:rPr>
      </w:pPr>
      <w:r w:rsidRPr="00AB315F">
        <w:rPr>
          <w:rFonts w:asciiTheme="minorHAnsi" w:hAnsiTheme="minorHAnsi"/>
        </w:rPr>
        <w:tab/>
      </w:r>
      <w:r w:rsidRPr="001F728A">
        <w:rPr>
          <w:rFonts w:asciiTheme="minorHAnsi" w:hAnsiTheme="minorHAnsi"/>
        </w:rPr>
        <w:t>Myrdal</w:t>
      </w:r>
      <w:r w:rsidR="001F728A">
        <w:rPr>
          <w:rFonts w:asciiTheme="minorHAnsi" w:hAnsiTheme="minorHAnsi"/>
        </w:rPr>
        <w:t xml:space="preserve"> (1962)</w:t>
      </w:r>
      <w:r w:rsidRPr="001F728A">
        <w:rPr>
          <w:rFonts w:asciiTheme="minorHAnsi" w:hAnsiTheme="minorHAnsi"/>
        </w:rPr>
        <w:t>, apesar de não abordar a questão da opinião pública, mobiliza também o termo “clima”. Para o autor na medida em que a sociedade em geral percebe que vive em um ambiente em que a corrupção é quase endêmica ela mesma se torna mais corrupta. Neste caso a percepção do clima de corrupção afeta atitudes e comportamentos</w:t>
      </w:r>
      <w:r w:rsidR="000A4D64" w:rsidRPr="001F728A">
        <w:rPr>
          <w:rFonts w:asciiTheme="minorHAnsi" w:hAnsiTheme="minorHAnsi"/>
        </w:rPr>
        <w:t xml:space="preserve"> no dia a dia dos cidadãos</w:t>
      </w:r>
      <w:r w:rsidRPr="001F728A">
        <w:rPr>
          <w:rFonts w:asciiTheme="minorHAnsi" w:hAnsiTheme="minorHAnsi"/>
        </w:rPr>
        <w:t>.</w:t>
      </w:r>
    </w:p>
    <w:p w14:paraId="2AB8E0E8" w14:textId="36E61D1F" w:rsidR="001F2BF2" w:rsidRPr="00AB315F" w:rsidRDefault="001F2BF2" w:rsidP="001F2BF2">
      <w:pPr>
        <w:tabs>
          <w:tab w:val="left" w:pos="540"/>
        </w:tabs>
        <w:autoSpaceDE w:val="0"/>
        <w:autoSpaceDN w:val="0"/>
        <w:adjustRightInd w:val="0"/>
        <w:spacing w:after="240" w:line="360" w:lineRule="auto"/>
        <w:jc w:val="both"/>
        <w:rPr>
          <w:rFonts w:asciiTheme="minorHAnsi" w:hAnsiTheme="minorHAnsi"/>
        </w:rPr>
      </w:pPr>
      <w:r w:rsidRPr="001F728A">
        <w:rPr>
          <w:rFonts w:asciiTheme="minorHAnsi" w:hAnsiTheme="minorHAnsi"/>
        </w:rPr>
        <w:tab/>
        <w:t>Seguindo o mesmo argumento, Dobel (1976) sugere que a maioria dos atos corruptos requerem uma escolha moral do agente.  A decisão moral reflete um conjunto de valores, os quais segundo a corrente cultutralista são fundamentais para motivar ou</w:t>
      </w:r>
      <w:r w:rsidR="00536938">
        <w:rPr>
          <w:rFonts w:asciiTheme="minorHAnsi" w:hAnsiTheme="minorHAnsi"/>
        </w:rPr>
        <w:t xml:space="preserve"> coibir as práticas de corrupção.</w:t>
      </w:r>
      <w:r w:rsidRPr="00AB315F">
        <w:rPr>
          <w:rFonts w:asciiTheme="minorHAnsi" w:hAnsiTheme="minorHAnsi"/>
        </w:rPr>
        <w:t xml:space="preserve"> </w:t>
      </w:r>
    </w:p>
    <w:p w14:paraId="1198F26F"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Sob o ponto de vista culturalista, a argumentação de Filgueiras pode ser profícua em definir o efeito da desejabilidade no plano de juízos de valor em detrimento do plano de juízos de necessidade. </w:t>
      </w:r>
    </w:p>
    <w:p w14:paraId="3399511C" w14:textId="3C8F0033"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A possível intolerância à corrupção revelada nas opiniões seria a justa expressão d</w:t>
      </w:r>
      <w:r w:rsidRPr="00AB315F">
        <w:rPr>
          <w:rFonts w:asciiTheme="minorHAnsi" w:eastAsia="SimSun" w:hAnsiTheme="minorHAnsi"/>
          <w:iCs/>
        </w:rPr>
        <w:t>a oposição entre valores e necessidades, em que os atores sociais são capazes de concordar com os valores fundamentais da política, mas, no plano prático, não transformam esses significados morais em uma prática efetiva (</w:t>
      </w:r>
      <w:r w:rsidR="00C51A0E" w:rsidRPr="00AB315F">
        <w:rPr>
          <w:rFonts w:asciiTheme="minorHAnsi" w:eastAsia="SimSun" w:hAnsiTheme="minorHAnsi"/>
          <w:iCs/>
        </w:rPr>
        <w:t>FILGUEIRAS</w:t>
      </w:r>
      <w:r w:rsidR="00C51A0E">
        <w:rPr>
          <w:rFonts w:asciiTheme="minorHAnsi" w:eastAsia="SimSun" w:hAnsiTheme="minorHAnsi"/>
          <w:iCs/>
        </w:rPr>
        <w:t>,</w:t>
      </w:r>
      <w:r w:rsidRPr="00AB315F">
        <w:rPr>
          <w:rFonts w:asciiTheme="minorHAnsi" w:eastAsia="SimSun" w:hAnsiTheme="minorHAnsi"/>
          <w:iCs/>
        </w:rPr>
        <w:t xml:space="preserve"> 2009).</w:t>
      </w:r>
      <w:r w:rsidRPr="00AB315F">
        <w:rPr>
          <w:rFonts w:eastAsia="SimSun"/>
          <w:i/>
          <w:iCs/>
        </w:rPr>
        <w:t xml:space="preserve"> </w:t>
      </w:r>
      <w:r w:rsidRPr="00AB315F">
        <w:rPr>
          <w:rFonts w:asciiTheme="minorHAnsi" w:hAnsiTheme="minorHAnsi"/>
        </w:rPr>
        <w:t>Ou seja, as pessoas consideram erradas aquelas práticas que rompem com normas sociais, entretanto, em meio a uma realidade marcada por necessidades, o indivíduo consi</w:t>
      </w:r>
      <w:r>
        <w:rPr>
          <w:rFonts w:asciiTheme="minorHAnsi" w:hAnsiTheme="minorHAnsi"/>
        </w:rPr>
        <w:t>dera a prática justificável. O p</w:t>
      </w:r>
      <w:r w:rsidRPr="00AB315F">
        <w:rPr>
          <w:rFonts w:asciiTheme="minorHAnsi" w:hAnsiTheme="minorHAnsi"/>
        </w:rPr>
        <w:t xml:space="preserve">onto fundamental é que as medidas de aceitação da corrupção podem captar mais os valores – dado o desejo social – do que a realidade de um contexto de necessidade. </w:t>
      </w:r>
    </w:p>
    <w:p w14:paraId="1BC96F46" w14:textId="29F423C6"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Ou seja, ao ser questionado sobre justifi</w:t>
      </w:r>
      <w:r w:rsidR="00536938">
        <w:rPr>
          <w:rFonts w:asciiTheme="minorHAnsi" w:hAnsiTheme="minorHAnsi"/>
        </w:rPr>
        <w:t xml:space="preserve">car certas práticas cotidianas </w:t>
      </w:r>
      <w:r w:rsidRPr="00AB315F">
        <w:rPr>
          <w:rFonts w:asciiTheme="minorHAnsi" w:hAnsiTheme="minorHAnsi"/>
        </w:rPr>
        <w:t>- consideradas um desvio à normas sociais - o efeito da desejabilidade pode recair sobre o entrevistado, este mobiliza juízos de valores gerados a partir da socialização e compartilhados no âmbito da opinião pública - especificamente refletidos pelo “clima da opinião”.</w:t>
      </w:r>
    </w:p>
    <w:p w14:paraId="19BE8A94"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lastRenderedPageBreak/>
        <w:t>Assim, o desejo social pode tornar-se um viés sistemático nas medidas de aceitação e, portanto, os resultados descritivos podem estar distorcidos, dito de outra forma, a intolerância a práticas corruptas pode estar sobrestimada quando consideramos um contexto de forte apelo e rejeição moral a condutas que rompem com a norma social estabelecida.</w:t>
      </w:r>
    </w:p>
    <w:p w14:paraId="3DD70172" w14:textId="02314611" w:rsidR="001F2BF2" w:rsidRPr="00AB315F" w:rsidRDefault="001F2BF2" w:rsidP="001F2BF2">
      <w:pPr>
        <w:pStyle w:val="Ttulo3"/>
        <w:spacing w:before="0" w:after="240"/>
      </w:pPr>
      <w:bookmarkStart w:id="5" w:name="_Toc456241242"/>
      <w:r>
        <w:t>1.1</w:t>
      </w:r>
      <w:r w:rsidRPr="00AB315F">
        <w:t>.2 Não-atitude</w:t>
      </w:r>
      <w:bookmarkEnd w:id="5"/>
      <w:r w:rsidRPr="00AB315F">
        <w:t xml:space="preserve"> </w:t>
      </w:r>
    </w:p>
    <w:p w14:paraId="7C5F364C"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Outra possível e potencial fonte de erro é o fato de que respondentes, mesmo quando não tem conhecimento sobre o tema abordado em perguntas, insistem em dar uma opinião (“não-atitude”). A primeira evidencia deste problema pode ser a instabilidade das medidas durante o tempo.  </w:t>
      </w:r>
    </w:p>
    <w:p w14:paraId="6BB2F12D" w14:textId="77777777" w:rsidR="001F2BF2" w:rsidRDefault="001F2BF2" w:rsidP="001F2BF2">
      <w:pPr>
        <w:spacing w:after="240" w:line="360" w:lineRule="auto"/>
        <w:ind w:firstLine="708"/>
        <w:jc w:val="both"/>
        <w:rPr>
          <w:rFonts w:asciiTheme="minorHAnsi" w:hAnsiTheme="minorHAnsi"/>
        </w:rPr>
      </w:pPr>
      <w:r>
        <w:rPr>
          <w:rFonts w:asciiTheme="minorHAnsi" w:hAnsiTheme="minorHAnsi"/>
        </w:rPr>
        <w:t>O</w:t>
      </w:r>
      <w:r w:rsidRPr="00AB315F">
        <w:rPr>
          <w:rFonts w:asciiTheme="minorHAnsi" w:hAnsiTheme="minorHAnsi"/>
        </w:rPr>
        <w:t xml:space="preserve"> fato simples de um entrevistador fazer uma pergunta pode induzir o entrevistado acreditar que deveria ter uma resposta</w:t>
      </w:r>
      <w:r>
        <w:rPr>
          <w:rFonts w:asciiTheme="minorHAnsi" w:hAnsiTheme="minorHAnsi"/>
        </w:rPr>
        <w:t xml:space="preserve">, mesmo que não tenha entendido o conteúdo da pergunta ou realmente não tenha uma opinião sobre o assunto. Logo, a opinião declarada pode não pouca ou nenhuma consistência em termos daquilo que se pretende medir. </w:t>
      </w:r>
    </w:p>
    <w:p w14:paraId="4ADB3705" w14:textId="77777777" w:rsidR="001F2BF2" w:rsidRPr="00AB315F" w:rsidRDefault="001F2BF2" w:rsidP="001F2BF2">
      <w:pPr>
        <w:spacing w:after="240" w:line="360" w:lineRule="auto"/>
        <w:ind w:firstLine="708"/>
        <w:jc w:val="both"/>
        <w:rPr>
          <w:rFonts w:asciiTheme="minorHAnsi" w:hAnsiTheme="minorHAnsi"/>
          <w:lang w:val="pt-PT"/>
        </w:rPr>
      </w:pPr>
      <w:r w:rsidRPr="00AB315F">
        <w:rPr>
          <w:rFonts w:asciiTheme="minorHAnsi" w:hAnsiTheme="minorHAnsi"/>
        </w:rPr>
        <w:t xml:space="preserve">Outra possibilidade de não-atitude ocorre quando entrevistados fazem julgamentos errados a respeito da própria atitude, neste caso assume-se que </w:t>
      </w:r>
      <w:r w:rsidRPr="00AB315F">
        <w:rPr>
          <w:rStyle w:val="hps"/>
          <w:rFonts w:asciiTheme="minorHAnsi" w:hAnsiTheme="minorHAnsi"/>
          <w:lang w:val="pt-PT"/>
        </w:rPr>
        <w:t>as pessoas quando entrevistadas</w:t>
      </w:r>
      <w:r w:rsidRPr="00AB315F">
        <w:rPr>
          <w:rFonts w:asciiTheme="minorHAnsi" w:hAnsiTheme="minorHAnsi"/>
          <w:lang w:val="pt-PT"/>
        </w:rPr>
        <w:t xml:space="preserve"> </w:t>
      </w:r>
      <w:r w:rsidRPr="00AB315F">
        <w:rPr>
          <w:rStyle w:val="hps"/>
          <w:rFonts w:asciiTheme="minorHAnsi" w:hAnsiTheme="minorHAnsi"/>
          <w:lang w:val="pt-PT"/>
        </w:rPr>
        <w:t>podem</w:t>
      </w:r>
      <w:r w:rsidRPr="00AB315F">
        <w:rPr>
          <w:rFonts w:asciiTheme="minorHAnsi" w:hAnsiTheme="minorHAnsi"/>
          <w:lang w:val="pt-PT"/>
        </w:rPr>
        <w:t xml:space="preserve"> </w:t>
      </w:r>
      <w:r w:rsidRPr="00AB315F">
        <w:rPr>
          <w:rStyle w:val="hps"/>
          <w:rFonts w:asciiTheme="minorHAnsi" w:hAnsiTheme="minorHAnsi"/>
          <w:lang w:val="pt-PT"/>
        </w:rPr>
        <w:t>realmente não</w:t>
      </w:r>
      <w:r w:rsidRPr="00AB315F">
        <w:rPr>
          <w:rFonts w:asciiTheme="minorHAnsi" w:hAnsiTheme="minorHAnsi"/>
          <w:lang w:val="pt-PT"/>
        </w:rPr>
        <w:t xml:space="preserve"> </w:t>
      </w:r>
      <w:r w:rsidRPr="00AB315F">
        <w:rPr>
          <w:rStyle w:val="hps"/>
          <w:rFonts w:asciiTheme="minorHAnsi" w:hAnsiTheme="minorHAnsi"/>
          <w:lang w:val="pt-PT"/>
        </w:rPr>
        <w:t>serem eficázes em</w:t>
      </w:r>
      <w:r w:rsidRPr="00AB315F">
        <w:rPr>
          <w:rFonts w:asciiTheme="minorHAnsi" w:hAnsiTheme="minorHAnsi"/>
          <w:lang w:val="pt-PT"/>
        </w:rPr>
        <w:t xml:space="preserve"> </w:t>
      </w:r>
      <w:r w:rsidRPr="00AB315F">
        <w:rPr>
          <w:rStyle w:val="hps"/>
          <w:rFonts w:asciiTheme="minorHAnsi" w:hAnsiTheme="minorHAnsi"/>
          <w:lang w:val="pt-PT"/>
        </w:rPr>
        <w:t>prever</w:t>
      </w:r>
      <w:r w:rsidRPr="00AB315F">
        <w:rPr>
          <w:rFonts w:asciiTheme="minorHAnsi" w:hAnsiTheme="minorHAnsi"/>
          <w:lang w:val="pt-PT"/>
        </w:rPr>
        <w:t xml:space="preserve"> </w:t>
      </w:r>
      <w:r w:rsidRPr="00AB315F">
        <w:rPr>
          <w:rStyle w:val="hps"/>
          <w:rFonts w:asciiTheme="minorHAnsi" w:hAnsiTheme="minorHAnsi"/>
          <w:lang w:val="pt-PT"/>
        </w:rPr>
        <w:t>seu comportamento ou</w:t>
      </w:r>
      <w:r w:rsidRPr="00AB315F">
        <w:rPr>
          <w:rFonts w:asciiTheme="minorHAnsi" w:hAnsiTheme="minorHAnsi"/>
          <w:lang w:val="pt-PT"/>
        </w:rPr>
        <w:t xml:space="preserve"> </w:t>
      </w:r>
      <w:r w:rsidRPr="00AB315F">
        <w:rPr>
          <w:rStyle w:val="hps"/>
          <w:rFonts w:asciiTheme="minorHAnsi" w:hAnsiTheme="minorHAnsi"/>
          <w:lang w:val="pt-PT"/>
        </w:rPr>
        <w:t>entender por que</w:t>
      </w:r>
      <w:r w:rsidRPr="00AB315F">
        <w:rPr>
          <w:rFonts w:asciiTheme="minorHAnsi" w:hAnsiTheme="minorHAnsi"/>
          <w:lang w:val="pt-PT"/>
        </w:rPr>
        <w:t xml:space="preserve"> </w:t>
      </w:r>
      <w:r w:rsidRPr="00AB315F">
        <w:rPr>
          <w:rStyle w:val="hps"/>
          <w:rFonts w:asciiTheme="minorHAnsi" w:hAnsiTheme="minorHAnsi"/>
          <w:lang w:val="pt-PT"/>
        </w:rPr>
        <w:t>eles</w:t>
      </w:r>
      <w:r w:rsidRPr="00AB315F">
        <w:rPr>
          <w:rFonts w:asciiTheme="minorHAnsi" w:hAnsiTheme="minorHAnsi"/>
          <w:lang w:val="pt-PT"/>
        </w:rPr>
        <w:t xml:space="preserve"> </w:t>
      </w:r>
      <w:r w:rsidRPr="00AB315F">
        <w:rPr>
          <w:rStyle w:val="hps"/>
          <w:rFonts w:asciiTheme="minorHAnsi" w:hAnsiTheme="minorHAnsi"/>
          <w:lang w:val="pt-PT"/>
        </w:rPr>
        <w:t>fizeram o que fizeram</w:t>
      </w:r>
      <w:r w:rsidRPr="00AB315F">
        <w:rPr>
          <w:rFonts w:asciiTheme="minorHAnsi" w:hAnsiTheme="minorHAnsi"/>
          <w:lang w:val="pt-PT"/>
        </w:rPr>
        <w:t xml:space="preserve">. </w:t>
      </w:r>
    </w:p>
    <w:p w14:paraId="56DA9567" w14:textId="77777777" w:rsidR="001F2BF2" w:rsidRPr="00AB315F" w:rsidRDefault="001F2BF2" w:rsidP="001F2BF2">
      <w:pPr>
        <w:spacing w:after="240" w:line="360" w:lineRule="auto"/>
        <w:ind w:firstLine="708"/>
        <w:jc w:val="both"/>
        <w:rPr>
          <w:rFonts w:asciiTheme="minorHAnsi" w:hAnsiTheme="minorHAnsi"/>
          <w:lang w:val="pt-PT"/>
        </w:rPr>
      </w:pPr>
      <w:r w:rsidRPr="00AB315F">
        <w:rPr>
          <w:rFonts w:asciiTheme="minorHAnsi" w:hAnsiTheme="minorHAnsi"/>
          <w:lang w:val="pt-PT"/>
        </w:rPr>
        <w:t>Argumenta-se que os indicadores observáveis do constructo de aceitação são de fácil compreensão, exceto para o item “</w:t>
      </w:r>
      <w:r w:rsidRPr="00AB315F">
        <w:rPr>
          <w:rFonts w:asciiTheme="minorHAnsi" w:hAnsiTheme="minorHAnsi"/>
          <w:i/>
        </w:rPr>
        <w:t xml:space="preserve">Receber Benefícios do Governo mesmo sabendo que não tem direito a eles”. </w:t>
      </w:r>
      <w:r w:rsidRPr="00AB315F">
        <w:rPr>
          <w:rFonts w:asciiTheme="minorHAnsi" w:hAnsiTheme="minorHAnsi"/>
        </w:rPr>
        <w:t>Está variável pode ser afetada pelo efeito de “não-atitude” e, conforme será visto adiante, certamente carrega um problema de “não-resposta”.</w:t>
      </w:r>
    </w:p>
    <w:p w14:paraId="1AA2816A" w14:textId="77777777" w:rsidR="001F2BF2" w:rsidRPr="00AB315F" w:rsidRDefault="001F2BF2" w:rsidP="001F2BF2">
      <w:pPr>
        <w:spacing w:after="240" w:line="360" w:lineRule="auto"/>
        <w:ind w:firstLine="708"/>
        <w:jc w:val="both"/>
        <w:rPr>
          <w:rFonts w:asciiTheme="minorHAnsi" w:hAnsiTheme="minorHAnsi"/>
          <w:lang w:val="pt-PT"/>
        </w:rPr>
      </w:pPr>
      <w:r w:rsidRPr="00AB315F">
        <w:rPr>
          <w:rFonts w:asciiTheme="minorHAnsi" w:hAnsiTheme="minorHAnsi"/>
          <w:lang w:val="pt-PT"/>
        </w:rPr>
        <w:t xml:space="preserve">A ultima possibilidade de “não-atitude” se refere ao fato de que </w:t>
      </w:r>
      <w:r w:rsidRPr="00AB315F">
        <w:rPr>
          <w:rStyle w:val="hps"/>
          <w:rFonts w:asciiTheme="minorHAnsi" w:hAnsiTheme="minorHAnsi"/>
          <w:lang w:val="pt-PT"/>
        </w:rPr>
        <w:t>os indivíduos</w:t>
      </w:r>
      <w:r w:rsidRPr="00AB315F">
        <w:rPr>
          <w:rFonts w:asciiTheme="minorHAnsi" w:hAnsiTheme="minorHAnsi"/>
          <w:lang w:val="pt-PT"/>
        </w:rPr>
        <w:t xml:space="preserve"> </w:t>
      </w:r>
      <w:r w:rsidRPr="00AB315F">
        <w:rPr>
          <w:rStyle w:val="hps"/>
          <w:rFonts w:asciiTheme="minorHAnsi" w:hAnsiTheme="minorHAnsi"/>
          <w:lang w:val="pt-PT"/>
        </w:rPr>
        <w:t>podem relatar</w:t>
      </w:r>
      <w:r w:rsidRPr="00AB315F">
        <w:rPr>
          <w:rFonts w:asciiTheme="minorHAnsi" w:hAnsiTheme="minorHAnsi"/>
          <w:lang w:val="pt-PT"/>
        </w:rPr>
        <w:t xml:space="preserve"> </w:t>
      </w:r>
      <w:r w:rsidRPr="00AB315F">
        <w:rPr>
          <w:rStyle w:val="hps"/>
          <w:rFonts w:asciiTheme="minorHAnsi" w:hAnsiTheme="minorHAnsi"/>
          <w:lang w:val="pt-PT"/>
        </w:rPr>
        <w:t>atitudes</w:t>
      </w:r>
      <w:r w:rsidRPr="00AB315F">
        <w:rPr>
          <w:rFonts w:asciiTheme="minorHAnsi" w:hAnsiTheme="minorHAnsi"/>
          <w:lang w:val="pt-PT"/>
        </w:rPr>
        <w:t xml:space="preserve"> </w:t>
      </w:r>
      <w:r w:rsidRPr="00AB315F">
        <w:rPr>
          <w:rStyle w:val="hps"/>
          <w:rFonts w:asciiTheme="minorHAnsi" w:hAnsiTheme="minorHAnsi"/>
          <w:lang w:val="pt-PT"/>
        </w:rPr>
        <w:t>que são explicadas com</w:t>
      </w:r>
      <w:r w:rsidRPr="00AB315F">
        <w:rPr>
          <w:rFonts w:asciiTheme="minorHAnsi" w:hAnsiTheme="minorHAnsi"/>
          <w:lang w:val="pt-PT"/>
        </w:rPr>
        <w:t xml:space="preserve"> </w:t>
      </w:r>
      <w:r w:rsidRPr="00AB315F">
        <w:rPr>
          <w:rStyle w:val="hps"/>
          <w:rFonts w:asciiTheme="minorHAnsi" w:hAnsiTheme="minorHAnsi"/>
          <w:lang w:val="pt-PT"/>
        </w:rPr>
        <w:t>o seu comportamento e</w:t>
      </w:r>
      <w:r w:rsidRPr="00AB315F">
        <w:rPr>
          <w:rFonts w:asciiTheme="minorHAnsi" w:hAnsiTheme="minorHAnsi"/>
          <w:lang w:val="pt-PT"/>
        </w:rPr>
        <w:t xml:space="preserve"> </w:t>
      </w:r>
      <w:r w:rsidRPr="00AB315F">
        <w:rPr>
          <w:rStyle w:val="hps"/>
          <w:rFonts w:asciiTheme="minorHAnsi" w:hAnsiTheme="minorHAnsi"/>
          <w:lang w:val="pt-PT"/>
        </w:rPr>
        <w:t>atitudes</w:t>
      </w:r>
      <w:r w:rsidRPr="00AB315F">
        <w:rPr>
          <w:rFonts w:asciiTheme="minorHAnsi" w:hAnsiTheme="minorHAnsi"/>
          <w:lang w:val="pt-PT"/>
        </w:rPr>
        <w:t xml:space="preserve"> </w:t>
      </w:r>
      <w:r w:rsidRPr="00AB315F">
        <w:rPr>
          <w:rStyle w:val="hps"/>
          <w:rFonts w:asciiTheme="minorHAnsi" w:hAnsiTheme="minorHAnsi"/>
          <w:lang w:val="pt-PT"/>
        </w:rPr>
        <w:t>anteriormente reportadas. Neste caso</w:t>
      </w:r>
      <w:r w:rsidRPr="00AB315F">
        <w:rPr>
          <w:rFonts w:asciiTheme="minorHAnsi" w:hAnsiTheme="minorHAnsi"/>
          <w:lang w:val="pt-PT"/>
        </w:rPr>
        <w:t xml:space="preserve">, uma atitude recentemente relatada molda a próxima atitude, ou, um comportamento </w:t>
      </w:r>
      <w:r w:rsidRPr="00AB315F">
        <w:rPr>
          <w:rStyle w:val="hps"/>
          <w:rFonts w:asciiTheme="minorHAnsi" w:hAnsiTheme="minorHAnsi"/>
          <w:lang w:val="pt-PT"/>
        </w:rPr>
        <w:t>molda</w:t>
      </w:r>
      <w:r w:rsidRPr="00AB315F">
        <w:rPr>
          <w:rFonts w:asciiTheme="minorHAnsi" w:hAnsiTheme="minorHAnsi"/>
          <w:lang w:val="pt-PT"/>
        </w:rPr>
        <w:t xml:space="preserve"> </w:t>
      </w:r>
      <w:r w:rsidRPr="00AB315F">
        <w:rPr>
          <w:rStyle w:val="hps"/>
          <w:rFonts w:asciiTheme="minorHAnsi" w:hAnsiTheme="minorHAnsi"/>
          <w:lang w:val="pt-PT"/>
        </w:rPr>
        <w:t>atitudes e</w:t>
      </w:r>
      <w:r w:rsidRPr="00AB315F">
        <w:rPr>
          <w:rFonts w:asciiTheme="minorHAnsi" w:hAnsiTheme="minorHAnsi"/>
          <w:lang w:val="pt-PT"/>
        </w:rPr>
        <w:t xml:space="preserve"> </w:t>
      </w:r>
      <w:r w:rsidRPr="00AB315F">
        <w:rPr>
          <w:rStyle w:val="hps"/>
          <w:rFonts w:asciiTheme="minorHAnsi" w:hAnsiTheme="minorHAnsi"/>
          <w:lang w:val="pt-PT"/>
        </w:rPr>
        <w:t>não</w:t>
      </w:r>
      <w:r w:rsidRPr="00AB315F">
        <w:rPr>
          <w:rFonts w:asciiTheme="minorHAnsi" w:hAnsiTheme="minorHAnsi"/>
          <w:lang w:val="pt-PT"/>
        </w:rPr>
        <w:t xml:space="preserve"> </w:t>
      </w:r>
      <w:r w:rsidRPr="00AB315F">
        <w:rPr>
          <w:rStyle w:val="hps"/>
          <w:rFonts w:asciiTheme="minorHAnsi" w:hAnsiTheme="minorHAnsi"/>
          <w:lang w:val="pt-PT"/>
        </w:rPr>
        <w:t>o contrário</w:t>
      </w:r>
      <w:r>
        <w:rPr>
          <w:rStyle w:val="Refdenotaderodap"/>
          <w:rFonts w:asciiTheme="minorHAnsi" w:hAnsiTheme="minorHAnsi"/>
          <w:lang w:val="pt-PT"/>
        </w:rPr>
        <w:footnoteReference w:id="9"/>
      </w:r>
      <w:r w:rsidRPr="00AB315F">
        <w:rPr>
          <w:rFonts w:asciiTheme="minorHAnsi" w:hAnsiTheme="minorHAnsi"/>
          <w:lang w:val="pt-PT"/>
        </w:rPr>
        <w:t xml:space="preserve">. </w:t>
      </w:r>
      <w:r>
        <w:rPr>
          <w:rFonts w:asciiTheme="minorHAnsi" w:hAnsiTheme="minorHAnsi"/>
          <w:lang w:val="pt-PT"/>
        </w:rPr>
        <w:t xml:space="preserve">Esta </w:t>
      </w:r>
      <w:r>
        <w:rPr>
          <w:rFonts w:asciiTheme="minorHAnsi" w:hAnsiTheme="minorHAnsi"/>
          <w:lang w:val="pt-PT"/>
        </w:rPr>
        <w:lastRenderedPageBreak/>
        <w:t>situação existe no momento de auferição dos indicadores observáveis do constructo aceitação, uma vez que, dentro do questionário, estão posicionados em meio a uma bateria de questões sobre quebra de normas sociais.</w:t>
      </w:r>
    </w:p>
    <w:p w14:paraId="674B6FAF" w14:textId="702299FD" w:rsidR="001F2BF2" w:rsidRPr="00AB315F" w:rsidRDefault="001F2BF2" w:rsidP="001F2BF2">
      <w:pPr>
        <w:pStyle w:val="Ttulo3"/>
        <w:spacing w:before="0" w:after="240"/>
      </w:pPr>
      <w:bookmarkStart w:id="6" w:name="_Toc456241243"/>
      <w:r>
        <w:t>1.1</w:t>
      </w:r>
      <w:r w:rsidRPr="00AB315F">
        <w:t>.3 Não-resposta</w:t>
      </w:r>
      <w:bookmarkEnd w:id="6"/>
    </w:p>
    <w:p w14:paraId="540884E8" w14:textId="12E6EDC1" w:rsidR="001F2BF2"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Berinsky (2008) disserta sobre as implicações práticas da “não resposta” ou missing values sobre os resultados de um survey. O primeiro fato considerado pelo autor é que a “não-resposta” poderia ser uma prevenção contra “não-atitudes”, </w:t>
      </w:r>
      <w:r w:rsidR="00C00974">
        <w:rPr>
          <w:rFonts w:asciiTheme="minorHAnsi" w:hAnsiTheme="minorHAnsi"/>
        </w:rPr>
        <w:t xml:space="preserve">o que, segundo Berinsky, </w:t>
      </w:r>
      <w:r w:rsidRPr="00AB315F">
        <w:rPr>
          <w:rFonts w:asciiTheme="minorHAnsi" w:hAnsiTheme="minorHAnsi"/>
        </w:rPr>
        <w:t xml:space="preserve">raramente ocorre. </w:t>
      </w:r>
    </w:p>
    <w:p w14:paraId="65DFAD8B" w14:textId="77777777" w:rsidR="001F2BF2" w:rsidRDefault="001F2BF2" w:rsidP="001F2BF2">
      <w:pPr>
        <w:spacing w:after="240" w:line="360" w:lineRule="auto"/>
        <w:ind w:firstLine="708"/>
        <w:jc w:val="both"/>
        <w:rPr>
          <w:rFonts w:asciiTheme="minorHAnsi" w:hAnsiTheme="minorHAnsi"/>
        </w:rPr>
      </w:pPr>
      <w:r>
        <w:rPr>
          <w:rFonts w:asciiTheme="minorHAnsi" w:hAnsiTheme="minorHAnsi"/>
        </w:rPr>
        <w:t>Conforme ponderado pel</w:t>
      </w:r>
      <w:r w:rsidRPr="00AB315F">
        <w:rPr>
          <w:rFonts w:asciiTheme="minorHAnsi" w:hAnsiTheme="minorHAnsi"/>
        </w:rPr>
        <w:t xml:space="preserve">o autor, a “não-resposta” geralmente também está atrelada ao desejo social com relação ao tema, </w:t>
      </w:r>
      <w:r>
        <w:rPr>
          <w:rFonts w:asciiTheme="minorHAnsi" w:hAnsiTheme="minorHAnsi"/>
        </w:rPr>
        <w:t>deste modo</w:t>
      </w:r>
      <w:r w:rsidRPr="00AB315F">
        <w:rPr>
          <w:rFonts w:asciiTheme="minorHAnsi" w:hAnsiTheme="minorHAnsi"/>
        </w:rPr>
        <w:t>, ao invés de declarar uma resposta socialmente desejável, o entrevistado se exime da opinião numa tentativa de evitar constrangimento.</w:t>
      </w:r>
      <w:r>
        <w:rPr>
          <w:rFonts w:asciiTheme="minorHAnsi" w:hAnsiTheme="minorHAnsi"/>
        </w:rPr>
        <w:t xml:space="preserve"> </w:t>
      </w:r>
    </w:p>
    <w:p w14:paraId="51119199" w14:textId="2A83704D"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Assim, perguntas que mensuram atitudes atreladas a certas normas sociais podem causar problemas de não resposta (Berinsky 1999). </w:t>
      </w:r>
      <w:r>
        <w:rPr>
          <w:rFonts w:asciiTheme="minorHAnsi" w:hAnsiTheme="minorHAnsi"/>
        </w:rPr>
        <w:t>Novamente, o desejo social com relação ao tema de</w:t>
      </w:r>
      <w:r w:rsidR="00C00974">
        <w:rPr>
          <w:rFonts w:asciiTheme="minorHAnsi" w:hAnsiTheme="minorHAnsi"/>
        </w:rPr>
        <w:t>ve influenciar a ocorrência deste tipo de erro</w:t>
      </w:r>
      <w:r>
        <w:rPr>
          <w:rFonts w:asciiTheme="minorHAnsi" w:hAnsiTheme="minorHAnsi"/>
        </w:rPr>
        <w:t>.</w:t>
      </w:r>
    </w:p>
    <w:p w14:paraId="2A0B8E33"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Outra questão que pode gerar “não-respostas” e também “não-atitudes” é a capacidade que o item tem de captar exatamente o propósito do pesquisador. Isto interfere diretamente na validade das medidas baseadas em itens de surveys.</w:t>
      </w:r>
    </w:p>
    <w:p w14:paraId="185AF86C" w14:textId="77777777" w:rsidR="001F2BF2" w:rsidRPr="00AB315F" w:rsidRDefault="001F2BF2" w:rsidP="001F2BF2">
      <w:pPr>
        <w:spacing w:after="240" w:line="360" w:lineRule="auto"/>
        <w:ind w:firstLine="708"/>
        <w:jc w:val="both"/>
        <w:rPr>
          <w:rFonts w:asciiTheme="minorHAnsi" w:hAnsiTheme="minorHAnsi"/>
        </w:rPr>
      </w:pPr>
      <w:r w:rsidRPr="00AB315F">
        <w:rPr>
          <w:rFonts w:asciiTheme="minorHAnsi" w:hAnsiTheme="minorHAnsi"/>
        </w:rPr>
        <w:t xml:space="preserve">No caso de variáveis observadas baseadas em itens de resposta de surveys, a validade é propriamente auferida na relação entre as perguntas de um questionário e os propósitos da pesquisa. Assim, as questões de um questionário são válidas em virtude do seu conteúdo e da capacidade de representar o conceito. </w:t>
      </w:r>
    </w:p>
    <w:p w14:paraId="74F8FC0E" w14:textId="2CDC84C7" w:rsidR="001F2BF2" w:rsidRPr="00AB315F" w:rsidRDefault="001F2BF2" w:rsidP="001F2BF2">
      <w:pPr>
        <w:pStyle w:val="Ttulo3"/>
        <w:spacing w:before="0"/>
      </w:pPr>
      <w:bookmarkStart w:id="7" w:name="_Toc456241244"/>
      <w:r>
        <w:t>1.1</w:t>
      </w:r>
      <w:r w:rsidRPr="00AB315F">
        <w:t>.4 Escalas enviesadas</w:t>
      </w:r>
      <w:bookmarkEnd w:id="7"/>
    </w:p>
    <w:p w14:paraId="0EEAA777" w14:textId="77777777" w:rsidR="001F2BF2" w:rsidRPr="00AB315F" w:rsidRDefault="001F2BF2" w:rsidP="001F2BF2">
      <w:pPr>
        <w:spacing w:before="240" w:after="240" w:line="360" w:lineRule="auto"/>
        <w:jc w:val="both"/>
        <w:rPr>
          <w:rFonts w:asciiTheme="minorHAnsi" w:hAnsiTheme="minorHAnsi"/>
        </w:rPr>
      </w:pPr>
      <w:r w:rsidRPr="00AB315F">
        <w:rPr>
          <w:rFonts w:asciiTheme="minorHAnsi" w:hAnsiTheme="minorHAnsi"/>
        </w:rPr>
        <w:tab/>
        <w:t>Este último problema referente ao uso da metodologia de survey foi apontado por Bertrand e Mullainathan (2000) como um problema cognitivo. Escalas diferentes para perguntas iguais ou semelha</w:t>
      </w:r>
      <w:r>
        <w:rPr>
          <w:rFonts w:asciiTheme="minorHAnsi" w:hAnsiTheme="minorHAnsi"/>
        </w:rPr>
        <w:t>ntes, provavelmente apresentarão</w:t>
      </w:r>
      <w:r w:rsidRPr="00AB315F">
        <w:rPr>
          <w:rFonts w:asciiTheme="minorHAnsi" w:hAnsiTheme="minorHAnsi"/>
        </w:rPr>
        <w:t xml:space="preserve"> resultados distintos. </w:t>
      </w:r>
    </w:p>
    <w:p w14:paraId="5B2735CE" w14:textId="160D373A" w:rsidR="001F2BF2" w:rsidRDefault="001F2BF2" w:rsidP="001F2BF2">
      <w:pPr>
        <w:spacing w:after="240" w:line="360" w:lineRule="auto"/>
        <w:ind w:firstLine="708"/>
        <w:jc w:val="both"/>
        <w:rPr>
          <w:rFonts w:asciiTheme="minorHAnsi" w:hAnsiTheme="minorHAnsi"/>
        </w:rPr>
      </w:pPr>
      <w:r w:rsidRPr="00AB315F">
        <w:rPr>
          <w:rFonts w:asciiTheme="minorHAnsi" w:hAnsiTheme="minorHAnsi"/>
        </w:rPr>
        <w:lastRenderedPageBreak/>
        <w:t xml:space="preserve">Mensurar atitudes requer o entendimento da subjetividade das respostas, quanto mais abrangente uma escala mais carga subjetiva ela pode reter. No caso da aceitação da corrupção a escala de resposta de 1 a 10 sobre ser justificável ou não determinada prática deve dizer mais do que uma escala dicotômica de “sim” ou “não”. </w:t>
      </w:r>
    </w:p>
    <w:p w14:paraId="588A1909" w14:textId="05875BEE" w:rsidR="001F2BF2" w:rsidRDefault="001F2BF2" w:rsidP="001F2BF2">
      <w:pPr>
        <w:spacing w:after="240" w:line="360" w:lineRule="auto"/>
        <w:ind w:firstLine="708"/>
        <w:jc w:val="both"/>
        <w:rPr>
          <w:rFonts w:asciiTheme="minorHAnsi" w:hAnsiTheme="minorHAnsi"/>
        </w:rPr>
      </w:pPr>
      <w:r>
        <w:rPr>
          <w:rFonts w:asciiTheme="minorHAnsi" w:hAnsiTheme="minorHAnsi"/>
        </w:rPr>
        <w:br w:type="page"/>
      </w:r>
    </w:p>
    <w:p w14:paraId="4E3DAD6D" w14:textId="683355CD" w:rsidR="00D71807" w:rsidRPr="00AB315F" w:rsidRDefault="00D71807" w:rsidP="000F485C">
      <w:pPr>
        <w:pStyle w:val="Ttulo2"/>
        <w:spacing w:after="240"/>
        <w:rPr>
          <w:color w:val="auto"/>
        </w:rPr>
      </w:pPr>
      <w:bookmarkStart w:id="8" w:name="_Toc456241245"/>
      <w:r w:rsidRPr="00AB315F">
        <w:rPr>
          <w:color w:val="auto"/>
        </w:rPr>
        <w:lastRenderedPageBreak/>
        <w:t xml:space="preserve">1.2 </w:t>
      </w:r>
      <w:r w:rsidR="00113799">
        <w:rPr>
          <w:color w:val="auto"/>
        </w:rPr>
        <w:t>A o</w:t>
      </w:r>
      <w:r w:rsidRPr="00AB315F">
        <w:rPr>
          <w:color w:val="auto"/>
        </w:rPr>
        <w:t xml:space="preserve">pinião pública, </w:t>
      </w:r>
      <w:r w:rsidR="00CC2E01">
        <w:rPr>
          <w:color w:val="auto"/>
        </w:rPr>
        <w:t>dinâmica e efeitos</w:t>
      </w:r>
      <w:bookmarkEnd w:id="8"/>
      <w:r w:rsidR="00CC2E01">
        <w:rPr>
          <w:color w:val="auto"/>
        </w:rPr>
        <w:t xml:space="preserve"> </w:t>
      </w:r>
    </w:p>
    <w:p w14:paraId="55CD1BC1" w14:textId="77777777" w:rsidR="00D71807" w:rsidRPr="00AB315F" w:rsidRDefault="00D71807" w:rsidP="00113799">
      <w:pPr>
        <w:autoSpaceDE w:val="0"/>
        <w:autoSpaceDN w:val="0"/>
        <w:adjustRightInd w:val="0"/>
        <w:spacing w:after="240" w:line="360" w:lineRule="auto"/>
        <w:ind w:firstLine="360"/>
        <w:jc w:val="both"/>
        <w:rPr>
          <w:rFonts w:asciiTheme="minorHAnsi" w:hAnsiTheme="minorHAnsi"/>
        </w:rPr>
      </w:pPr>
      <w:r w:rsidRPr="00AB315F">
        <w:rPr>
          <w:rFonts w:asciiTheme="minorHAnsi" w:hAnsiTheme="minorHAnsi"/>
        </w:rPr>
        <w:t>A combinação do termo opinião pública foi formada seguindo diversas tendências econômicas, políticas e sociais europeias. O termo é resultado de uma nova forma de sociabilidade focada no público, cuja gênese define a modernidade ocidental, mas</w:t>
      </w:r>
      <w:r w:rsidRPr="00AB315F">
        <w:rPr>
          <w:rFonts w:asciiTheme="minorHAnsi" w:hAnsiTheme="minorHAnsi" w:cs="Helvetica"/>
        </w:rPr>
        <w:t>, em quase meio milênio de história, o conceito de opinião pública só fez acumular controvérsias.</w:t>
      </w:r>
    </w:p>
    <w:p w14:paraId="38AE9ACC" w14:textId="36AF8ECE"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t xml:space="preserve">Segundo Noelle-Neumann (1999) Rousseau teria sido o primeiro usuário do termo composto </w:t>
      </w:r>
      <w:r w:rsidRPr="00AB315F">
        <w:rPr>
          <w:rFonts w:asciiTheme="minorHAnsi" w:hAnsiTheme="minorHAnsi"/>
          <w:i/>
        </w:rPr>
        <w:t>Opinião Pública</w:t>
      </w:r>
      <w:r w:rsidRPr="00AB315F">
        <w:rPr>
          <w:rFonts w:asciiTheme="minorHAnsi" w:hAnsiTheme="minorHAnsi"/>
        </w:rPr>
        <w:t xml:space="preserve">, utilizando-a no sentido de costumes morais e modos da sociedade e </w:t>
      </w:r>
      <w:r w:rsidRPr="00AB315F">
        <w:rPr>
          <w:rFonts w:asciiTheme="minorHAnsi" w:hAnsiTheme="minorHAnsi" w:cs="Helvetica"/>
        </w:rPr>
        <w:t xml:space="preserve">vendo-a como expressão da soberania popular, como um momento de uma </w:t>
      </w:r>
      <w:r w:rsidRPr="00AB315F">
        <w:rPr>
          <w:rFonts w:asciiTheme="minorHAnsi" w:hAnsiTheme="minorHAnsi" w:cs="Helvetica-Oblique"/>
          <w:i/>
          <w:iCs/>
        </w:rPr>
        <w:t xml:space="preserve">vontade geral </w:t>
      </w:r>
      <w:r w:rsidRPr="00AB315F">
        <w:rPr>
          <w:rFonts w:asciiTheme="minorHAnsi" w:hAnsiTheme="minorHAnsi" w:cs="Helvetica"/>
        </w:rPr>
        <w:t>indiferenciada, advogando a favor da censura</w:t>
      </w:r>
      <w:r w:rsidRPr="00AB315F">
        <w:rPr>
          <w:rFonts w:asciiTheme="minorHAnsi" w:hAnsiTheme="minorHAnsi"/>
        </w:rPr>
        <w:t xml:space="preserve">. Escritores franceses em 1780 utilizaram o termo para se referirem a um fenômeno mais político que social, em união com a ideia de bem público, espírito público, consciência pública. </w:t>
      </w:r>
    </w:p>
    <w:p w14:paraId="1D755C3A" w14:textId="77777777"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t>Os atos históricos que precederam a utilização do conceito, como a Reforma protestante (além da circulação de informação, questionou a ordem política e social quanto aos domínios morais e religiosos da vida, indivíduos como donos do próprio destino); advento do Estado moderno teve como contrapartida a formação de uma sociedade civil, o que cria uma nova forma de sociabilidade focada no público; afirmação da liberdade e noção emergente de dignidade universal, no contexto de embate entre aristocracia e burguesia, escritos de Locke (afirmava que os indivíduos deveriam ser livres para seguir suas próprias preferências em todos os aspectos da vida, econômica, política e religiosa).</w:t>
      </w:r>
    </w:p>
    <w:p w14:paraId="3A5FE7ED" w14:textId="77777777"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t>Mas outros aspectos chaves da concepção de opinião pública tem origem nos escritos posteriores da democracia representativa do século XVIII que utilizaram o termo para se referir a um mecanismo que interfere nos assuntos do governo.</w:t>
      </w:r>
    </w:p>
    <w:p w14:paraId="0C51342F" w14:textId="77777777"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t xml:space="preserve">Os trabalhos de Madison, Mill e Bentham, atribuíram um papel muito mais formal à </w:t>
      </w:r>
      <w:r w:rsidRPr="00AB315F">
        <w:rPr>
          <w:rFonts w:asciiTheme="minorHAnsi" w:hAnsiTheme="minorHAnsi"/>
          <w:i/>
        </w:rPr>
        <w:t>opinião pública</w:t>
      </w:r>
      <w:r w:rsidRPr="00AB315F">
        <w:rPr>
          <w:rFonts w:asciiTheme="minorHAnsi" w:hAnsiTheme="minorHAnsi"/>
        </w:rPr>
        <w:t xml:space="preserve"> no governo, baseada em termos legislativos e eleitorais. Em contraste com Rousseau, estes autores opinam que as pessoas atuam primariamente para satisfazerem seus desejos individuais. </w:t>
      </w:r>
    </w:p>
    <w:p w14:paraId="224BB4AF" w14:textId="3BB718A4"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lastRenderedPageBreak/>
        <w:t>Surge o problema de harmonizar os interesses díspares, e a resposta seria o governo da maioria, estabelecido por meio de eleições regulares e plebiscitos. Nesta perspectiva a opinião pública é uma reunião de interesses de homens de uma comunidade. Este modelo democrático utilitarista compõe a visão mais moderna de opinião pública, aquela que toma emprestado a legitimidade do sufrágio universal “cada pessoa um voto” e</w:t>
      </w:r>
      <w:r w:rsidR="00536938">
        <w:rPr>
          <w:rFonts w:asciiTheme="minorHAnsi" w:hAnsiTheme="minorHAnsi"/>
        </w:rPr>
        <w:t xml:space="preserve"> a</w:t>
      </w:r>
      <w:r w:rsidRPr="00AB315F">
        <w:rPr>
          <w:rFonts w:asciiTheme="minorHAnsi" w:hAnsiTheme="minorHAnsi"/>
        </w:rPr>
        <w:t xml:space="preserve"> prevalência da maioria. </w:t>
      </w:r>
    </w:p>
    <w:p w14:paraId="4D5F6D99" w14:textId="770CA0E2" w:rsidR="00D71807" w:rsidRPr="00AB315F" w:rsidRDefault="00D71807" w:rsidP="00D71807">
      <w:pPr>
        <w:spacing w:after="240" w:line="360" w:lineRule="auto"/>
        <w:ind w:firstLine="360"/>
        <w:jc w:val="both"/>
        <w:rPr>
          <w:rFonts w:asciiTheme="minorHAnsi" w:hAnsiTheme="minorHAnsi" w:cs="Helvetica"/>
          <w:lang w:val="es-MX"/>
        </w:rPr>
      </w:pPr>
      <w:r w:rsidRPr="00AB315F">
        <w:rPr>
          <w:rFonts w:asciiTheme="minorHAnsi" w:hAnsiTheme="minorHAnsi"/>
        </w:rPr>
        <w:t xml:space="preserve">A visão ainda suporta a ideia de ampla liberdade de imprensa, reconhecendo sua importância, e aproximando seu significado a explicações atuais, como uma noção contemporânea de liberdade de informação e condição dos meios de comunicação como vigilantes públicos. </w:t>
      </w:r>
      <w:r w:rsidRPr="00AB315F">
        <w:rPr>
          <w:rFonts w:asciiTheme="minorHAnsi" w:hAnsiTheme="minorHAnsi" w:cs="Helvetica"/>
        </w:rPr>
        <w:t>Se outrora essa opinião pública difusa referia-se apenas a fenômenos da esfera não-pública, ou seja, à esfera civil, não política, dos costumes, hoje ela volta seu potencial de sanção moral também para a legitimação ou deslegitimação de poderes e agentes públicos, antes uma prerrogativa da opinião pública organizada. Muitas vezes as duas modalidades de opinião pública se expressam de forma coerent</w:t>
      </w:r>
      <w:r w:rsidR="004A35B8">
        <w:rPr>
          <w:rFonts w:asciiTheme="minorHAnsi" w:hAnsiTheme="minorHAnsi" w:cs="Helvetica"/>
        </w:rPr>
        <w:t>e ou complementar, mas com frequ</w:t>
      </w:r>
      <w:r w:rsidRPr="00AB315F">
        <w:rPr>
          <w:rFonts w:asciiTheme="minorHAnsi" w:hAnsiTheme="minorHAnsi" w:cs="Helvetica"/>
        </w:rPr>
        <w:t>ência esses dois formatos da opinião pública competem entre si, estabelecendo uma disputa de legitimidade.</w:t>
      </w:r>
      <w:r w:rsidRPr="00AB315F">
        <w:rPr>
          <w:rFonts w:asciiTheme="minorHAnsi" w:hAnsiTheme="minorHAnsi"/>
        </w:rPr>
        <w:t xml:space="preserve"> </w:t>
      </w:r>
      <w:r w:rsidRPr="00AB315F">
        <w:rPr>
          <w:rFonts w:asciiTheme="minorHAnsi" w:hAnsiTheme="minorHAnsi"/>
          <w:lang w:val="es-MX"/>
        </w:rPr>
        <w:t>Para Bryce (1988):</w:t>
      </w:r>
    </w:p>
    <w:p w14:paraId="60FC601F" w14:textId="533F1B00" w:rsidR="00D71807" w:rsidRPr="000073A3" w:rsidRDefault="00D71807" w:rsidP="00D71807">
      <w:pPr>
        <w:pStyle w:val="NormalWeb"/>
        <w:spacing w:before="0" w:beforeAutospacing="0" w:after="240" w:afterAutospacing="0"/>
        <w:ind w:left="2124" w:firstLine="3"/>
        <w:jc w:val="both"/>
        <w:rPr>
          <w:rFonts w:asciiTheme="minorHAnsi" w:hAnsiTheme="minorHAnsi"/>
          <w:lang w:val="es-MX"/>
        </w:rPr>
      </w:pPr>
      <w:r w:rsidRPr="00AB315F">
        <w:rPr>
          <w:rFonts w:asciiTheme="minorHAnsi" w:hAnsiTheme="minorHAnsi"/>
          <w:lang w:val="es-MX"/>
        </w:rPr>
        <w:t xml:space="preserve"> “la opinión pública es o que cualquier hombre dice, es lo pensamiento general y natural que una situación o aparición evoca. Lo autor sustenta que es posible ver lo cuanto es pequeña la parte de la opinión que lo proprio hombre común formula por si mismo, porque ello fue orientado a como pensar y porque pensar así. Los argumentos san ofertados al hombre mediano de forma externa, y existe poca o ninguna reflexividad.” </w:t>
      </w:r>
      <w:r w:rsidR="000073A3" w:rsidRPr="000073A3">
        <w:rPr>
          <w:rFonts w:asciiTheme="minorHAnsi" w:hAnsiTheme="minorHAnsi"/>
          <w:lang w:val="es-MX"/>
        </w:rPr>
        <w:t>(Bryce, 1988, pag</w:t>
      </w:r>
      <w:r w:rsidR="007F2C6A">
        <w:rPr>
          <w:rFonts w:asciiTheme="minorHAnsi" w:hAnsiTheme="minorHAnsi"/>
          <w:lang w:val="es-MX"/>
        </w:rPr>
        <w:t>.</w:t>
      </w:r>
      <w:r w:rsidR="000073A3" w:rsidRPr="000073A3">
        <w:rPr>
          <w:rFonts w:asciiTheme="minorHAnsi" w:hAnsiTheme="minorHAnsi"/>
          <w:lang w:val="es-MX"/>
        </w:rPr>
        <w:t xml:space="preserve"> 94</w:t>
      </w:r>
      <w:r w:rsidRPr="000073A3">
        <w:rPr>
          <w:rFonts w:asciiTheme="minorHAnsi" w:hAnsiTheme="minorHAnsi"/>
          <w:lang w:val="es-MX"/>
        </w:rPr>
        <w:t>)</w:t>
      </w:r>
    </w:p>
    <w:p w14:paraId="62423CE6" w14:textId="52DD1866"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t xml:space="preserve">Após final do século XIX a opinião pública passou a ser sistematicamente analisada de maneira empírica, característica da </w:t>
      </w:r>
      <w:r w:rsidR="007F2C6A" w:rsidRPr="00AB315F">
        <w:rPr>
          <w:rFonts w:asciiTheme="minorHAnsi" w:hAnsiTheme="minorHAnsi"/>
        </w:rPr>
        <w:t>Ciências</w:t>
      </w:r>
      <w:r w:rsidRPr="00AB315F">
        <w:rPr>
          <w:rFonts w:asciiTheme="minorHAnsi" w:hAnsiTheme="minorHAnsi"/>
        </w:rPr>
        <w:t xml:space="preserve"> Sociais. Estudiosos se interessaram pela força que a opinião pública ganhava devido a eficiência dos meios de comunicação em massa e aumento dos níveis educacionais. </w:t>
      </w:r>
    </w:p>
    <w:p w14:paraId="22271D65" w14:textId="77777777"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t>O interesse era motivado a compreender a função e poder da opinião pública na sociedade, como modificá-la e controlá-la, e a importância dos fatores emocionais e intelectuais na sua formação.</w:t>
      </w:r>
    </w:p>
    <w:p w14:paraId="519F7D5D" w14:textId="77777777"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lastRenderedPageBreak/>
        <w:t>Paralelo a sistematização da análise, seguiram-se diversas críticas e questionamentos quanto às inferências dadas à operacionalização do conceito de opinião pública, principalmente quando captada pela metodologia surveys. Os primeiros indicativos de falhas da opinião pública eram referentes a racionalidade dos agentes envolvidos, ou melhor, quais seriam os aspectos não racionais da opinião pública.</w:t>
      </w:r>
    </w:p>
    <w:p w14:paraId="6E99322C" w14:textId="3441DDDA"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t xml:space="preserve">Outro ponto destacado em meio às críticas é a competência do Público para se dirigir a assuntos políticos. Lippmann </w:t>
      </w:r>
      <w:r w:rsidR="007F2C6A" w:rsidRPr="007F2C6A">
        <w:rPr>
          <w:rFonts w:asciiTheme="minorHAnsi" w:hAnsiTheme="minorHAnsi"/>
        </w:rPr>
        <w:t>(1922)</w:t>
      </w:r>
      <w:r w:rsidRPr="00AB315F">
        <w:rPr>
          <w:rFonts w:asciiTheme="minorHAnsi" w:hAnsiTheme="minorHAnsi"/>
        </w:rPr>
        <w:t xml:space="preserve"> sugere que a teoria democrática exige muito dos cidadãos ordinários, pois não se pode esperar que eles ajam como legisladores, que sejam ativos e que se envolvam em todos os assuntos importantes. Os cidadãos formam ideias a partir de informações altamente incompletas, e mantem pouca relação com os fatos reais, além disso, filtram o que vem ou que ouvem através de seus próprios preconceitos e temores. </w:t>
      </w:r>
      <w:r w:rsidR="00A42E2A">
        <w:rPr>
          <w:rFonts w:asciiTheme="minorHAnsi" w:hAnsiTheme="minorHAnsi"/>
        </w:rPr>
        <w:t xml:space="preserve">Walter </w:t>
      </w:r>
      <w:r w:rsidRPr="00AB315F">
        <w:rPr>
          <w:rFonts w:asciiTheme="minorHAnsi" w:hAnsiTheme="minorHAnsi"/>
        </w:rPr>
        <w:t>Lippmann ainda reitera que a imprensa só potencializa os problemas relacionados a opinião pública.</w:t>
      </w:r>
    </w:p>
    <w:p w14:paraId="0626B694" w14:textId="77777777"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t xml:space="preserve">Por sua vez, outros autores problematizam que recursos ruins e ineficientes são base dos debates e discussões públicos (Dewey, 1927). Este problema estaria relacionado a eficácia e eficiência da vinculação de informação pelos meios de comunicação. Diferente dos apontamentos de Lippman estes autores estavam preocupados com a qualidade e acessibilidade da informação. </w:t>
      </w:r>
    </w:p>
    <w:p w14:paraId="1636F128" w14:textId="36113E9F" w:rsidR="00D71807" w:rsidRPr="00AB315F" w:rsidRDefault="00D71807" w:rsidP="00D71807">
      <w:pPr>
        <w:spacing w:after="240" w:line="360" w:lineRule="auto"/>
        <w:ind w:firstLine="360"/>
        <w:jc w:val="both"/>
        <w:rPr>
          <w:rFonts w:asciiTheme="minorHAnsi" w:hAnsiTheme="minorHAnsi"/>
        </w:rPr>
      </w:pPr>
      <w:r w:rsidRPr="00AB315F">
        <w:rPr>
          <w:rFonts w:asciiTheme="minorHAnsi" w:hAnsiTheme="minorHAnsi"/>
        </w:rPr>
        <w:t xml:space="preserve">Noelle-Neumann </w:t>
      </w:r>
      <w:r w:rsidRPr="000073A3">
        <w:rPr>
          <w:rFonts w:asciiTheme="minorHAnsi" w:hAnsiTheme="minorHAnsi"/>
        </w:rPr>
        <w:t>(</w:t>
      </w:r>
      <w:r w:rsidR="000073A3" w:rsidRPr="000073A3">
        <w:rPr>
          <w:rFonts w:asciiTheme="minorHAnsi" w:hAnsiTheme="minorHAnsi"/>
        </w:rPr>
        <w:t>1984</w:t>
      </w:r>
      <w:r w:rsidRPr="000073A3">
        <w:rPr>
          <w:rFonts w:asciiTheme="minorHAnsi" w:hAnsiTheme="minorHAnsi"/>
        </w:rPr>
        <w:t>)</w:t>
      </w:r>
      <w:r w:rsidRPr="00AB315F">
        <w:rPr>
          <w:rFonts w:asciiTheme="minorHAnsi" w:hAnsiTheme="minorHAnsi"/>
        </w:rPr>
        <w:t xml:space="preserve"> chama atenção para a prevalência de uma opinião majoritária. Ou seja, a possibilidade de prevalecer uma mediocridade da opinião pública criada e mantida por pressão de uma </w:t>
      </w:r>
      <w:r w:rsidR="00334A0E">
        <w:rPr>
          <w:rFonts w:asciiTheme="minorHAnsi" w:hAnsiTheme="minorHAnsi"/>
        </w:rPr>
        <w:t>maioria. Assim, ocorre a exclusã</w:t>
      </w:r>
      <w:r w:rsidRPr="00AB315F">
        <w:rPr>
          <w:rFonts w:asciiTheme="minorHAnsi" w:hAnsiTheme="minorHAnsi"/>
        </w:rPr>
        <w:t xml:space="preserve">o de pontos de vistas importantes que são considerados minoritários. A teoria da “espiral do silêncio” significa o constrangimento de um discurso diante da pressão de uma maioria. </w:t>
      </w:r>
    </w:p>
    <w:p w14:paraId="54CE5782" w14:textId="72F357CB" w:rsidR="00D71807" w:rsidRDefault="00D71807" w:rsidP="00D71807">
      <w:pPr>
        <w:spacing w:after="240" w:line="360" w:lineRule="auto"/>
        <w:ind w:firstLine="360"/>
        <w:jc w:val="both"/>
        <w:rPr>
          <w:rFonts w:asciiTheme="minorHAnsi" w:hAnsiTheme="minorHAnsi"/>
        </w:rPr>
      </w:pPr>
      <w:r w:rsidRPr="00AB315F">
        <w:rPr>
          <w:rFonts w:asciiTheme="minorHAnsi" w:hAnsiTheme="minorHAnsi"/>
        </w:rPr>
        <w:t>Alguns autores ainda problematizaram a vulnerabilidade à persuasão. E a susceptibilidade do público a discursos altamente emocionais</w:t>
      </w:r>
      <w:r w:rsidR="00DA6A07">
        <w:rPr>
          <w:rFonts w:asciiTheme="minorHAnsi" w:hAnsiTheme="minorHAnsi"/>
        </w:rPr>
        <w:t xml:space="preserve"> e não racionais. Neste caso</w:t>
      </w:r>
      <w:r w:rsidRPr="00AB315F">
        <w:rPr>
          <w:rFonts w:asciiTheme="minorHAnsi" w:hAnsiTheme="minorHAnsi"/>
        </w:rPr>
        <w:t xml:space="preserve"> domínio das elites desencadeia um processo de domesticação das crenças das massas. </w:t>
      </w:r>
    </w:p>
    <w:p w14:paraId="362E2E23" w14:textId="0183F02D" w:rsidR="00D30800" w:rsidRDefault="00D30800" w:rsidP="00D30800">
      <w:pPr>
        <w:spacing w:after="240" w:line="360" w:lineRule="auto"/>
        <w:ind w:firstLine="708"/>
        <w:jc w:val="both"/>
        <w:rPr>
          <w:rFonts w:asciiTheme="minorHAnsi" w:hAnsiTheme="minorHAnsi"/>
        </w:rPr>
      </w:pPr>
      <w:r w:rsidRPr="00D30800">
        <w:rPr>
          <w:rFonts w:asciiTheme="minorHAnsi" w:hAnsiTheme="minorHAnsi"/>
        </w:rPr>
        <w:t xml:space="preserve">Por fim, a crítica mais recente </w:t>
      </w:r>
      <w:r>
        <w:rPr>
          <w:rFonts w:asciiTheme="minorHAnsi" w:hAnsiTheme="minorHAnsi"/>
        </w:rPr>
        <w:t>à natureza e forma da Opinião Pública, parte de</w:t>
      </w:r>
      <w:r w:rsidRPr="00D30800">
        <w:rPr>
          <w:rFonts w:asciiTheme="minorHAnsi" w:hAnsiTheme="minorHAnsi"/>
        </w:rPr>
        <w:t xml:space="preserve"> Bourdieu</w:t>
      </w:r>
      <w:r w:rsidR="00DA6A07">
        <w:rPr>
          <w:rFonts w:asciiTheme="minorHAnsi" w:hAnsiTheme="minorHAnsi"/>
        </w:rPr>
        <w:t xml:space="preserve"> (1983</w:t>
      </w:r>
      <w:r>
        <w:rPr>
          <w:rFonts w:asciiTheme="minorHAnsi" w:hAnsiTheme="minorHAnsi"/>
        </w:rPr>
        <w:t xml:space="preserve">). </w:t>
      </w:r>
      <w:r w:rsidR="0091735C">
        <w:rPr>
          <w:rFonts w:asciiTheme="minorHAnsi" w:hAnsiTheme="minorHAnsi"/>
        </w:rPr>
        <w:t>O autor, ao se referir a trê</w:t>
      </w:r>
      <w:r w:rsidRPr="00D30800">
        <w:rPr>
          <w:rFonts w:asciiTheme="minorHAnsi" w:hAnsiTheme="minorHAnsi"/>
        </w:rPr>
        <w:t>s fundamentos das pesquisa</w:t>
      </w:r>
      <w:r>
        <w:rPr>
          <w:rFonts w:asciiTheme="minorHAnsi" w:hAnsiTheme="minorHAnsi"/>
        </w:rPr>
        <w:t>s</w:t>
      </w:r>
      <w:r w:rsidRPr="00D30800">
        <w:rPr>
          <w:rFonts w:asciiTheme="minorHAnsi" w:hAnsiTheme="minorHAnsi"/>
        </w:rPr>
        <w:t xml:space="preserve"> de opinião, </w:t>
      </w:r>
      <w:r w:rsidRPr="00D30800">
        <w:rPr>
          <w:rFonts w:asciiTheme="minorHAnsi" w:hAnsiTheme="minorHAnsi"/>
        </w:rPr>
        <w:lastRenderedPageBreak/>
        <w:t xml:space="preserve">argumenta que nem todas as pessoas tem uma opinião </w:t>
      </w:r>
      <w:r>
        <w:rPr>
          <w:rFonts w:asciiTheme="minorHAnsi" w:hAnsiTheme="minorHAnsi"/>
        </w:rPr>
        <w:t>acerca de um tema, e que as diferentes opiniões não podem</w:t>
      </w:r>
      <w:r w:rsidRPr="00D30800">
        <w:rPr>
          <w:rFonts w:asciiTheme="minorHAnsi" w:hAnsiTheme="minorHAnsi"/>
        </w:rPr>
        <w:t xml:space="preserve"> te</w:t>
      </w:r>
      <w:r>
        <w:rPr>
          <w:rFonts w:asciiTheme="minorHAnsi" w:hAnsiTheme="minorHAnsi"/>
        </w:rPr>
        <w:t xml:space="preserve">r o mesmo valor – a exemplo da opinião de um técnico e a opinião de uma pessoa comum. </w:t>
      </w:r>
      <w:r w:rsidR="007F2C6A">
        <w:rPr>
          <w:rFonts w:asciiTheme="minorHAnsi" w:hAnsiTheme="minorHAnsi"/>
        </w:rPr>
        <w:t xml:space="preserve">A demais, o autor sugere que </w:t>
      </w:r>
      <w:r w:rsidRPr="00D30800">
        <w:rPr>
          <w:rFonts w:asciiTheme="minorHAnsi" w:hAnsiTheme="minorHAnsi"/>
        </w:rPr>
        <w:t>pessoas não tem uma posição consensual, e o conceito de opinião captado pelas p</w:t>
      </w:r>
      <w:r>
        <w:rPr>
          <w:rFonts w:asciiTheme="minorHAnsi" w:hAnsiTheme="minorHAnsi"/>
        </w:rPr>
        <w:t>esquisas ignora as relações conflitivas entre opiniões, as quais</w:t>
      </w:r>
      <w:r w:rsidR="00DA6A07">
        <w:rPr>
          <w:rFonts w:asciiTheme="minorHAnsi" w:hAnsiTheme="minorHAnsi"/>
        </w:rPr>
        <w:t>,</w:t>
      </w:r>
      <w:r>
        <w:rPr>
          <w:rFonts w:asciiTheme="minorHAnsi" w:hAnsiTheme="minorHAnsi"/>
        </w:rPr>
        <w:t xml:space="preserve"> em </w:t>
      </w:r>
      <w:r w:rsidR="00113799">
        <w:rPr>
          <w:rFonts w:asciiTheme="minorHAnsi" w:hAnsiTheme="minorHAnsi"/>
        </w:rPr>
        <w:t>suma</w:t>
      </w:r>
      <w:r w:rsidR="00DA6A07">
        <w:rPr>
          <w:rFonts w:asciiTheme="minorHAnsi" w:hAnsiTheme="minorHAnsi"/>
        </w:rPr>
        <w:t>,</w:t>
      </w:r>
      <w:r w:rsidR="00113799">
        <w:rPr>
          <w:rFonts w:asciiTheme="minorHAnsi" w:hAnsiTheme="minorHAnsi"/>
        </w:rPr>
        <w:t xml:space="preserve"> são conflitos de forças so</w:t>
      </w:r>
      <w:r>
        <w:rPr>
          <w:rFonts w:asciiTheme="minorHAnsi" w:hAnsiTheme="minorHAnsi"/>
        </w:rPr>
        <w:t>c</w:t>
      </w:r>
      <w:r w:rsidR="00113799">
        <w:rPr>
          <w:rFonts w:asciiTheme="minorHAnsi" w:hAnsiTheme="minorHAnsi"/>
        </w:rPr>
        <w:t>i</w:t>
      </w:r>
      <w:r>
        <w:rPr>
          <w:rFonts w:asciiTheme="minorHAnsi" w:hAnsiTheme="minorHAnsi"/>
        </w:rPr>
        <w:t>ais</w:t>
      </w:r>
      <w:r w:rsidRPr="00D30800">
        <w:rPr>
          <w:rFonts w:asciiTheme="minorHAnsi" w:hAnsiTheme="minorHAnsi"/>
        </w:rPr>
        <w:t>.</w:t>
      </w:r>
    </w:p>
    <w:p w14:paraId="0AFFF71D" w14:textId="6AD27271" w:rsidR="00D71807" w:rsidRPr="00D30800" w:rsidRDefault="00D71807" w:rsidP="00D30800">
      <w:pPr>
        <w:spacing w:after="240" w:line="360" w:lineRule="auto"/>
        <w:ind w:firstLine="708"/>
        <w:jc w:val="both"/>
        <w:rPr>
          <w:rFonts w:asciiTheme="minorHAnsi" w:hAnsiTheme="minorHAnsi"/>
        </w:rPr>
      </w:pPr>
      <w:r w:rsidRPr="00AB315F">
        <w:rPr>
          <w:rFonts w:asciiTheme="minorHAnsi" w:hAnsiTheme="minorHAnsi" w:cs="Helvetica"/>
        </w:rPr>
        <w:t>Em quase meio milênio de história, o conceito de opinião pública só fez acumular controvérsias. Enquanto isso, ela própria tem renascido, seja articulada seja difusa, mas captável pelas pesqui</w:t>
      </w:r>
      <w:r w:rsidR="00DA6A07">
        <w:rPr>
          <w:rFonts w:asciiTheme="minorHAnsi" w:hAnsiTheme="minorHAnsi" w:cs="Helvetica"/>
        </w:rPr>
        <w:t>sas. O</w:t>
      </w:r>
      <w:r w:rsidRPr="00AB315F">
        <w:rPr>
          <w:rFonts w:asciiTheme="minorHAnsi" w:hAnsiTheme="minorHAnsi" w:cs="Helvetica"/>
        </w:rPr>
        <w:t>ra mais livre ora domesticada, a opinião pública vem se construindo como um quinto poder cuja cumplicidade, nas sociedades democráticas, tem sido objeto de desejo crescente dos demais poderes.</w:t>
      </w:r>
    </w:p>
    <w:p w14:paraId="18B7C1B2" w14:textId="588108DC" w:rsidR="00D71807" w:rsidRPr="00AB315F" w:rsidRDefault="00D71807" w:rsidP="00D71807">
      <w:pPr>
        <w:spacing w:after="240" w:line="360" w:lineRule="auto"/>
        <w:jc w:val="both"/>
        <w:rPr>
          <w:rFonts w:asciiTheme="minorHAnsi" w:hAnsiTheme="minorHAnsi"/>
        </w:rPr>
      </w:pPr>
      <w:r w:rsidRPr="00AB315F">
        <w:rPr>
          <w:rFonts w:asciiTheme="minorHAnsi" w:hAnsiTheme="minorHAnsi"/>
        </w:rPr>
        <w:tab/>
        <w:t xml:space="preserve">Em meio às críticas e problematizações, deve-se enfocar alguns poucos aspectos importantes do amplo conceito e espectro da opinião pública para entender possíveis viesses e inconsistência de </w:t>
      </w:r>
      <w:r w:rsidRPr="00113799">
        <w:rPr>
          <w:rFonts w:asciiTheme="minorHAnsi" w:hAnsiTheme="minorHAnsi"/>
        </w:rPr>
        <w:t xml:space="preserve">medidas captadas sob a regência de pesquisas de opinião, as quais, nas palavras de Converse </w:t>
      </w:r>
      <w:r w:rsidR="00D30800" w:rsidRPr="00113799">
        <w:rPr>
          <w:rFonts w:asciiTheme="minorHAnsi" w:hAnsiTheme="minorHAnsi"/>
        </w:rPr>
        <w:t>(1987</w:t>
      </w:r>
      <w:r w:rsidRPr="00113799">
        <w:rPr>
          <w:rFonts w:asciiTheme="minorHAnsi" w:hAnsiTheme="minorHAnsi"/>
        </w:rPr>
        <w:t>)</w:t>
      </w:r>
      <w:r w:rsidR="00DA6A07" w:rsidRPr="00AB315F">
        <w:rPr>
          <w:rFonts w:asciiTheme="minorHAnsi" w:hAnsiTheme="minorHAnsi"/>
        </w:rPr>
        <w:t>, a ideia das pesquisas de opinião é justamente decompor a complexidade dos nexos complexos da opinião para então se possa tentar entende-la completamente como um todo.</w:t>
      </w:r>
      <w:r w:rsidR="00DA6A07">
        <w:rPr>
          <w:rFonts w:asciiTheme="minorHAnsi" w:hAnsiTheme="minorHAnsi"/>
        </w:rPr>
        <w:t xml:space="preserve"> O autor ainda</w:t>
      </w:r>
      <w:r w:rsidRPr="00AB315F">
        <w:rPr>
          <w:rFonts w:asciiTheme="minorHAnsi" w:hAnsiTheme="minorHAnsi"/>
        </w:rPr>
        <w:t xml:space="preserve"> assume que não se pode entender totalmente a complexidade da opinião pública e assim medi</w:t>
      </w:r>
      <w:r w:rsidR="00DA6A07">
        <w:rPr>
          <w:rFonts w:asciiTheme="minorHAnsi" w:hAnsiTheme="minorHAnsi"/>
        </w:rPr>
        <w:t>-la em uma única dimensão.</w:t>
      </w:r>
    </w:p>
    <w:p w14:paraId="5C8E78F1" w14:textId="77777777" w:rsidR="00D71807" w:rsidRPr="00AB315F" w:rsidRDefault="00D71807" w:rsidP="00D71807">
      <w:pPr>
        <w:spacing w:after="240" w:line="360" w:lineRule="auto"/>
        <w:jc w:val="both"/>
        <w:rPr>
          <w:rFonts w:asciiTheme="minorHAnsi" w:hAnsiTheme="minorHAnsi"/>
        </w:rPr>
      </w:pPr>
      <w:r w:rsidRPr="00AB315F">
        <w:rPr>
          <w:rFonts w:asciiTheme="minorHAnsi" w:hAnsiTheme="minorHAnsi"/>
        </w:rPr>
        <w:tab/>
        <w:t>Diante da multidimensionalidade da opinião pública, propõe-se como referencial a abordagem de Shamir e Shamir (2000) que entende que a opinião pública se configura na conjunção da sociedade, comunicação e do indivíduo e se sustenta por quatro premissa principais.</w:t>
      </w:r>
    </w:p>
    <w:p w14:paraId="60C2A6FE" w14:textId="77777777" w:rsidR="00D71807" w:rsidRPr="00AB315F" w:rsidRDefault="00D71807" w:rsidP="00D71807">
      <w:pPr>
        <w:spacing w:after="240" w:line="360" w:lineRule="auto"/>
        <w:ind w:left="709"/>
        <w:jc w:val="both"/>
        <w:rPr>
          <w:rFonts w:asciiTheme="minorHAnsi" w:hAnsiTheme="minorHAnsi"/>
          <w:b/>
        </w:rPr>
      </w:pPr>
      <w:r w:rsidRPr="00AB315F">
        <w:rPr>
          <w:rFonts w:asciiTheme="minorHAnsi" w:hAnsiTheme="minorHAnsi"/>
          <w:i/>
          <w:u w:val="single"/>
        </w:rPr>
        <w:t>A Opinião Pública é um sistema social que media e acomoda a integração e a mudança social</w:t>
      </w:r>
      <w:r w:rsidRPr="00AB315F">
        <w:rPr>
          <w:rFonts w:asciiTheme="minorHAnsi" w:hAnsiTheme="minorHAnsi"/>
          <w:b/>
        </w:rPr>
        <w:t xml:space="preserve">. </w:t>
      </w:r>
    </w:p>
    <w:p w14:paraId="268D3844" w14:textId="77777777" w:rsidR="00D71807" w:rsidRPr="00AB315F" w:rsidRDefault="00D71807" w:rsidP="00D71807">
      <w:pPr>
        <w:spacing w:after="240" w:line="360" w:lineRule="auto"/>
        <w:ind w:left="709" w:firstLine="707"/>
        <w:jc w:val="both"/>
        <w:rPr>
          <w:rFonts w:asciiTheme="minorHAnsi" w:hAnsiTheme="minorHAnsi"/>
        </w:rPr>
      </w:pPr>
      <w:r w:rsidRPr="00AB315F">
        <w:rPr>
          <w:rFonts w:asciiTheme="minorHAnsi" w:hAnsiTheme="minorHAnsi"/>
        </w:rPr>
        <w:t xml:space="preserve">Um sistema de valores permanentes e subconscientes de uma sociedade e da reação efêmera das pessoas sobre os eventos do dia a dia (Lazarsfeld, 1972). Nesta premissa está presente a tensão entre forças normativas do controle social e o importante impacto da informação. Vários conceitos de opinião pública </w:t>
      </w:r>
      <w:r w:rsidRPr="00AB315F">
        <w:rPr>
          <w:rFonts w:asciiTheme="minorHAnsi" w:hAnsiTheme="minorHAnsi"/>
        </w:rPr>
        <w:lastRenderedPageBreak/>
        <w:t>chamam atenção sobre o controle social ou a informação e racionalidade como as principais forças de influência na dinâmica da opinião pública.</w:t>
      </w:r>
    </w:p>
    <w:p w14:paraId="2852D86D" w14:textId="77777777" w:rsidR="00D71807" w:rsidRPr="00AB315F" w:rsidRDefault="00D71807" w:rsidP="00D71807">
      <w:pPr>
        <w:pStyle w:val="PargrafodaLista"/>
        <w:spacing w:after="240" w:line="360" w:lineRule="auto"/>
        <w:jc w:val="both"/>
        <w:rPr>
          <w:rFonts w:asciiTheme="minorHAnsi" w:hAnsiTheme="minorHAnsi"/>
        </w:rPr>
      </w:pPr>
      <w:r w:rsidRPr="00AB315F">
        <w:rPr>
          <w:rFonts w:asciiTheme="minorHAnsi" w:hAnsiTheme="minorHAnsi"/>
          <w:i/>
          <w:u w:val="single"/>
        </w:rPr>
        <w:t>A Opinião Pública é um fenômeno multidimensional e não pode ser reduzido a nenhuma expressão singular.</w:t>
      </w:r>
      <w:r w:rsidRPr="00AB315F">
        <w:rPr>
          <w:rFonts w:asciiTheme="minorHAnsi" w:hAnsiTheme="minorHAnsi"/>
          <w:b/>
        </w:rPr>
        <w:t xml:space="preserve"> </w:t>
      </w:r>
    </w:p>
    <w:p w14:paraId="0D459C93" w14:textId="77777777" w:rsidR="00D71807" w:rsidRPr="00AB315F" w:rsidRDefault="00D71807" w:rsidP="00D71807">
      <w:pPr>
        <w:spacing w:after="240" w:line="360" w:lineRule="auto"/>
        <w:ind w:left="709" w:firstLine="707"/>
        <w:jc w:val="both"/>
        <w:rPr>
          <w:rFonts w:asciiTheme="minorHAnsi" w:hAnsiTheme="minorHAnsi"/>
        </w:rPr>
      </w:pPr>
      <w:r w:rsidRPr="00AB315F">
        <w:rPr>
          <w:rFonts w:asciiTheme="minorHAnsi" w:hAnsiTheme="minorHAnsi"/>
        </w:rPr>
        <w:t>Uma das dimensões da opinião pública que mais se aproxima do sistema de valores e melhor se relaciona com significados sociais e normativos é o chamado “clima da opinião pública</w:t>
      </w:r>
      <w:r w:rsidRPr="00AB315F">
        <w:rPr>
          <w:rStyle w:val="Refdenotaderodap"/>
          <w:rFonts w:asciiTheme="minorHAnsi" w:hAnsiTheme="minorHAnsi"/>
        </w:rPr>
        <w:footnoteReference w:id="10"/>
      </w:r>
      <w:r w:rsidRPr="00AB315F">
        <w:rPr>
          <w:rFonts w:asciiTheme="minorHAnsi" w:hAnsiTheme="minorHAnsi"/>
        </w:rPr>
        <w:t xml:space="preserve">”. Noelle-Neumann usa esse termo para descrever a presença de uma força social que funciona para garantir coesão e consenso em torno de valores para uma sociedade. </w:t>
      </w:r>
    </w:p>
    <w:p w14:paraId="4294781D" w14:textId="77777777" w:rsidR="00D71807" w:rsidRPr="00AB315F" w:rsidRDefault="00D71807" w:rsidP="00D71807">
      <w:pPr>
        <w:spacing w:after="240" w:line="360" w:lineRule="auto"/>
        <w:ind w:left="709" w:firstLine="707"/>
        <w:jc w:val="both"/>
        <w:rPr>
          <w:rFonts w:asciiTheme="minorHAnsi" w:hAnsiTheme="minorHAnsi"/>
        </w:rPr>
      </w:pPr>
      <w:r w:rsidRPr="00AB315F">
        <w:rPr>
          <w:rFonts w:asciiTheme="minorHAnsi" w:hAnsiTheme="minorHAnsi"/>
        </w:rPr>
        <w:t xml:space="preserve">Outra dimensão é a chamada </w:t>
      </w:r>
      <w:r w:rsidRPr="00AB315F">
        <w:rPr>
          <w:rFonts w:asciiTheme="minorHAnsi" w:hAnsiTheme="minorHAnsi"/>
          <w:i/>
        </w:rPr>
        <w:t xml:space="preserve">informacional-prospectiva, </w:t>
      </w:r>
      <w:r w:rsidRPr="00AB315F">
        <w:rPr>
          <w:rFonts w:asciiTheme="minorHAnsi" w:hAnsiTheme="minorHAnsi"/>
        </w:rPr>
        <w:t>a qual assume que o comportamento humano é orientado a fins e guiado por expectativas ao longo do processo e sobre as consequências desse comportamento. Uma perspectiva fundamentada em uma abordagem econômica da opinião e representa a necessidade humana básica para formar uma visão válida da realidade.</w:t>
      </w:r>
    </w:p>
    <w:p w14:paraId="54D0B9AA" w14:textId="1FA47996" w:rsidR="00D71807" w:rsidRPr="00AB315F" w:rsidRDefault="00D30800" w:rsidP="00D71807">
      <w:pPr>
        <w:spacing w:after="240" w:line="360" w:lineRule="auto"/>
        <w:ind w:left="709" w:firstLine="707"/>
        <w:jc w:val="both"/>
        <w:rPr>
          <w:rFonts w:asciiTheme="minorHAnsi" w:hAnsiTheme="minorHAnsi"/>
        </w:rPr>
      </w:pPr>
      <w:r>
        <w:rPr>
          <w:rFonts w:asciiTheme="minorHAnsi" w:hAnsiTheme="minorHAnsi"/>
        </w:rPr>
        <w:t xml:space="preserve">A terceira dimensão é a chamada </w:t>
      </w:r>
      <w:r w:rsidR="00D71807" w:rsidRPr="00D30800">
        <w:rPr>
          <w:rFonts w:asciiTheme="minorHAnsi" w:hAnsiTheme="minorHAnsi"/>
          <w:i/>
        </w:rPr>
        <w:t>avaliativa</w:t>
      </w:r>
      <w:r>
        <w:rPr>
          <w:rFonts w:asciiTheme="minorHAnsi" w:hAnsiTheme="minorHAnsi"/>
          <w:i/>
        </w:rPr>
        <w:t>,</w:t>
      </w:r>
      <w:r w:rsidR="00D71807" w:rsidRPr="00AB315F">
        <w:rPr>
          <w:rFonts w:asciiTheme="minorHAnsi" w:hAnsiTheme="minorHAnsi"/>
        </w:rPr>
        <w:t xml:space="preserve"> comumente captada nas pesquisas de opinião. Ela foca aspectos individuais de valores, crenças, atitudes e uma expressão pública da opinião. A distribuição agregada das atitudes individuais é a origem da avaliação da opinião pública captada por pesquisas de opinião. </w:t>
      </w:r>
    </w:p>
    <w:p w14:paraId="666F9362" w14:textId="77777777" w:rsidR="00D71807" w:rsidRDefault="00D71807" w:rsidP="00D71807">
      <w:pPr>
        <w:spacing w:after="240" w:line="360" w:lineRule="auto"/>
        <w:ind w:left="709" w:firstLine="707"/>
        <w:jc w:val="both"/>
        <w:rPr>
          <w:rFonts w:asciiTheme="minorHAnsi" w:hAnsiTheme="minorHAnsi"/>
        </w:rPr>
      </w:pPr>
      <w:r w:rsidRPr="00AB315F">
        <w:rPr>
          <w:rFonts w:asciiTheme="minorHAnsi" w:hAnsiTheme="minorHAnsi"/>
        </w:rPr>
        <w:t xml:space="preserve">Por fim, a quarta dimensão é a do </w:t>
      </w:r>
      <w:r w:rsidRPr="00AB315F">
        <w:rPr>
          <w:rFonts w:asciiTheme="minorHAnsi" w:hAnsiTheme="minorHAnsi"/>
          <w:i/>
        </w:rPr>
        <w:t>comportamento,</w:t>
      </w:r>
      <w:r w:rsidRPr="00AB315F">
        <w:rPr>
          <w:rFonts w:asciiTheme="minorHAnsi" w:hAnsiTheme="minorHAnsi"/>
        </w:rPr>
        <w:t xml:space="preserve"> ela representa o melhor elo entre comunicação e política, já que a opinião pública é uma entidade orgânica que emerge da discussão e do debate público, ela tem uma atividade inerente e uma faceta comportamental, a qual envolve conversação, discursos, deliberação, julgamento ativo, e ação política.</w:t>
      </w:r>
    </w:p>
    <w:p w14:paraId="4E9C36BF" w14:textId="77777777" w:rsidR="000073A3" w:rsidRPr="00AB315F" w:rsidRDefault="000073A3" w:rsidP="00D71807">
      <w:pPr>
        <w:spacing w:after="240" w:line="360" w:lineRule="auto"/>
        <w:ind w:left="709" w:firstLine="707"/>
        <w:jc w:val="both"/>
        <w:rPr>
          <w:rFonts w:asciiTheme="minorHAnsi" w:hAnsiTheme="minorHAnsi"/>
        </w:rPr>
      </w:pPr>
    </w:p>
    <w:p w14:paraId="161A8BCA" w14:textId="77777777" w:rsidR="00D71807" w:rsidRPr="00AB315F" w:rsidRDefault="00D71807" w:rsidP="00D71807">
      <w:pPr>
        <w:spacing w:after="240" w:line="360" w:lineRule="auto"/>
        <w:ind w:left="709"/>
        <w:jc w:val="both"/>
        <w:rPr>
          <w:rFonts w:asciiTheme="minorHAnsi" w:hAnsiTheme="minorHAnsi"/>
          <w:b/>
        </w:rPr>
      </w:pPr>
      <w:r w:rsidRPr="00AB315F">
        <w:rPr>
          <w:rFonts w:asciiTheme="minorHAnsi" w:hAnsiTheme="minorHAnsi"/>
          <w:i/>
          <w:u w:val="single"/>
        </w:rPr>
        <w:lastRenderedPageBreak/>
        <w:t>Opinião Pública pode envolver trajetórias distintas.</w:t>
      </w:r>
      <w:r w:rsidRPr="00AB315F">
        <w:rPr>
          <w:rFonts w:asciiTheme="minorHAnsi" w:hAnsiTheme="minorHAnsi"/>
          <w:b/>
        </w:rPr>
        <w:t xml:space="preserve"> </w:t>
      </w:r>
    </w:p>
    <w:p w14:paraId="137187BF" w14:textId="77777777" w:rsidR="00D71807" w:rsidRPr="00AB315F" w:rsidRDefault="00D71807" w:rsidP="00D71807">
      <w:pPr>
        <w:spacing w:after="240" w:line="360" w:lineRule="auto"/>
        <w:ind w:left="709" w:firstLine="707"/>
        <w:jc w:val="both"/>
        <w:rPr>
          <w:rFonts w:asciiTheme="minorHAnsi" w:hAnsiTheme="minorHAnsi"/>
        </w:rPr>
      </w:pPr>
      <w:r w:rsidRPr="00AB315F">
        <w:rPr>
          <w:rFonts w:asciiTheme="minorHAnsi" w:hAnsiTheme="minorHAnsi"/>
        </w:rPr>
        <w:t>Mudanças na opinião pública podem não ser explicadas por citar apenas uma dimensão ou traçar uma única trajetória causal. A dinâmica e versatilidade da opinião pública é função de influencias normativas e informativas, controles sociais, e eventos de informação.</w:t>
      </w:r>
    </w:p>
    <w:p w14:paraId="6ADCC56D" w14:textId="77777777" w:rsidR="00D71807" w:rsidRPr="00AB315F" w:rsidRDefault="00D71807" w:rsidP="00D71807">
      <w:pPr>
        <w:spacing w:after="240" w:line="360" w:lineRule="auto"/>
        <w:ind w:left="709"/>
        <w:jc w:val="both"/>
        <w:rPr>
          <w:rFonts w:asciiTheme="minorHAnsi" w:hAnsiTheme="minorHAnsi"/>
          <w:b/>
        </w:rPr>
      </w:pPr>
      <w:r w:rsidRPr="00AB315F">
        <w:rPr>
          <w:rFonts w:asciiTheme="minorHAnsi" w:hAnsiTheme="minorHAnsi"/>
          <w:i/>
          <w:u w:val="single"/>
        </w:rPr>
        <w:t>A natureza do ambiente de informação é um fator preponderante na determinação da dinâmica do processo de formação da opinião pública</w:t>
      </w:r>
      <w:r w:rsidRPr="00AB315F">
        <w:rPr>
          <w:rFonts w:asciiTheme="minorHAnsi" w:hAnsiTheme="minorHAnsi"/>
          <w:b/>
        </w:rPr>
        <w:t xml:space="preserve">. </w:t>
      </w:r>
    </w:p>
    <w:p w14:paraId="328EDDE2" w14:textId="77777777" w:rsidR="00D71807" w:rsidRPr="00AB315F" w:rsidRDefault="00D71807" w:rsidP="00D71807">
      <w:pPr>
        <w:spacing w:after="240" w:line="360" w:lineRule="auto"/>
        <w:ind w:left="709" w:firstLine="707"/>
        <w:jc w:val="both"/>
        <w:rPr>
          <w:rFonts w:asciiTheme="minorHAnsi" w:hAnsiTheme="minorHAnsi"/>
          <w:b/>
        </w:rPr>
      </w:pPr>
      <w:r w:rsidRPr="00AB315F">
        <w:rPr>
          <w:rFonts w:asciiTheme="minorHAnsi" w:hAnsiTheme="minorHAnsi"/>
        </w:rPr>
        <w:t>O ambiente de informação consiste em uma miríade de inclinações sociais e informação substantiva sobre eventos. A percepção sobre o clima se sustenta majoritariamente em sinais de informação social e normativa, como: estrutura política e social, práticas diárias, normas e opiniões expressas.</w:t>
      </w:r>
    </w:p>
    <w:p w14:paraId="79A4E3D7" w14:textId="1AF83D13"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A primeira e segunda premissa são especialmente caras a este trabalho. Pressões normativas de controle e conformidade social as quais definem, regulam e controlam o</w:t>
      </w:r>
      <w:r w:rsidR="00DA6A07">
        <w:rPr>
          <w:rFonts w:asciiTheme="minorHAnsi" w:hAnsiTheme="minorHAnsi"/>
        </w:rPr>
        <w:t xml:space="preserve"> </w:t>
      </w:r>
      <w:r w:rsidR="00DA6A07" w:rsidRPr="00AB315F">
        <w:rPr>
          <w:rFonts w:asciiTheme="minorHAnsi" w:hAnsiTheme="minorHAnsi"/>
        </w:rPr>
        <w:t>comportamento</w:t>
      </w:r>
      <w:r w:rsidRPr="00AB315F">
        <w:rPr>
          <w:rFonts w:asciiTheme="minorHAnsi" w:hAnsiTheme="minorHAnsi"/>
        </w:rPr>
        <w:t xml:space="preserve"> apropriado e aceitável, estão incorporadas no “clima da opinião”. Ademais</w:t>
      </w:r>
      <w:r w:rsidR="00DA6A07">
        <w:rPr>
          <w:rFonts w:asciiTheme="minorHAnsi" w:hAnsiTheme="minorHAnsi"/>
        </w:rPr>
        <w:t>, ist</w:t>
      </w:r>
      <w:r w:rsidRPr="00AB315F">
        <w:rPr>
          <w:rFonts w:asciiTheme="minorHAnsi" w:hAnsiTheme="minorHAnsi"/>
        </w:rPr>
        <w:t>o tem sido associado à função latente da coesão so</w:t>
      </w:r>
      <w:r w:rsidR="00DA6A07">
        <w:rPr>
          <w:rFonts w:asciiTheme="minorHAnsi" w:hAnsiTheme="minorHAnsi"/>
        </w:rPr>
        <w:t>cial e dos valores consensuais (</w:t>
      </w:r>
      <w:r w:rsidR="00DA6A07" w:rsidRPr="00AB315F">
        <w:rPr>
          <w:rFonts w:asciiTheme="minorHAnsi" w:hAnsiTheme="minorHAnsi"/>
        </w:rPr>
        <w:t>NEUMANN</w:t>
      </w:r>
      <w:r w:rsidRPr="00AB315F">
        <w:rPr>
          <w:rFonts w:asciiTheme="minorHAnsi" w:hAnsiTheme="minorHAnsi"/>
        </w:rPr>
        <w:t xml:space="preserve"> 1993, 1995).</w:t>
      </w:r>
    </w:p>
    <w:p w14:paraId="45C59D7A" w14:textId="14184674" w:rsidR="00D71807" w:rsidRPr="00AB315F" w:rsidRDefault="00D71807" w:rsidP="000F485C">
      <w:pPr>
        <w:spacing w:after="240" w:line="360" w:lineRule="auto"/>
        <w:ind w:firstLine="708"/>
        <w:jc w:val="both"/>
        <w:rPr>
          <w:rFonts w:asciiTheme="minorHAnsi" w:hAnsiTheme="minorHAnsi"/>
        </w:rPr>
      </w:pPr>
      <w:r w:rsidRPr="00AB315F">
        <w:rPr>
          <w:rFonts w:asciiTheme="minorHAnsi" w:hAnsiTheme="minorHAnsi"/>
        </w:rPr>
        <w:t>O clima de opinião é um fenômeno compartilhado d</w:t>
      </w:r>
      <w:r w:rsidR="000F485C">
        <w:rPr>
          <w:rFonts w:asciiTheme="minorHAnsi" w:hAnsiTheme="minorHAnsi"/>
        </w:rPr>
        <w:t xml:space="preserve">e cognição coletiva e normativa, uma vez que </w:t>
      </w:r>
      <w:r w:rsidR="000F485C" w:rsidRPr="00AB315F">
        <w:rPr>
          <w:rFonts w:asciiTheme="minorHAnsi" w:hAnsiTheme="minorHAnsi"/>
        </w:rPr>
        <w:t>exerce con</w:t>
      </w:r>
      <w:r w:rsidR="000F485C">
        <w:rPr>
          <w:rFonts w:asciiTheme="minorHAnsi" w:hAnsiTheme="minorHAnsi"/>
        </w:rPr>
        <w:t xml:space="preserve">trole social ao pressionar indivíduos </w:t>
      </w:r>
      <w:r w:rsidR="000F485C" w:rsidRPr="00AB315F">
        <w:rPr>
          <w:rFonts w:asciiTheme="minorHAnsi" w:hAnsiTheme="minorHAnsi"/>
        </w:rPr>
        <w:t>a se comportarem de maneira que persigam aprovação social e afeição</w:t>
      </w:r>
      <w:r w:rsidR="000F485C">
        <w:rPr>
          <w:rFonts w:asciiTheme="minorHAnsi" w:hAnsiTheme="minorHAnsi"/>
        </w:rPr>
        <w:t xml:space="preserve"> por um lado,</w:t>
      </w:r>
      <w:r w:rsidR="000F485C" w:rsidRPr="00AB315F">
        <w:rPr>
          <w:rFonts w:asciiTheme="minorHAnsi" w:hAnsiTheme="minorHAnsi"/>
        </w:rPr>
        <w:t xml:space="preserve"> e evitem a rejeição e o constrangimento social</w:t>
      </w:r>
      <w:r w:rsidR="000F485C">
        <w:rPr>
          <w:rFonts w:asciiTheme="minorHAnsi" w:hAnsiTheme="minorHAnsi"/>
        </w:rPr>
        <w:t xml:space="preserve"> por outro</w:t>
      </w:r>
      <w:r w:rsidR="000F485C" w:rsidRPr="00AB315F">
        <w:rPr>
          <w:rFonts w:asciiTheme="minorHAnsi" w:hAnsiTheme="minorHAnsi"/>
        </w:rPr>
        <w:t xml:space="preserve">. </w:t>
      </w:r>
      <w:r w:rsidRPr="00AB315F">
        <w:rPr>
          <w:rFonts w:asciiTheme="minorHAnsi" w:hAnsiTheme="minorHAnsi"/>
        </w:rPr>
        <w:t>As pessoas devem estar cientes do clima de opinião para serem influenciadas por ele.</w:t>
      </w:r>
    </w:p>
    <w:p w14:paraId="49371A3A" w14:textId="1001A78F"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Assim, Shamir e Shamir (2000), afirmam que a influência do clima tende a impactar a propensão das pessoas em expor e compartilhar suas opiniõ</w:t>
      </w:r>
      <w:r w:rsidR="00535A9B">
        <w:rPr>
          <w:rFonts w:asciiTheme="minorHAnsi" w:hAnsiTheme="minorHAnsi"/>
        </w:rPr>
        <w:t>es com outras pessoas. J</w:t>
      </w:r>
      <w:r w:rsidRPr="00AB315F">
        <w:rPr>
          <w:rFonts w:asciiTheme="minorHAnsi" w:hAnsiTheme="minorHAnsi"/>
        </w:rPr>
        <w:t xml:space="preserve">á que as opiniões mobilizam um conteúdo normativo, atitudes inaceitáveis ou indesejáveis podem ameaçar a estabilidade de relações pessoais. </w:t>
      </w:r>
    </w:p>
    <w:p w14:paraId="337039C7" w14:textId="0A809780" w:rsidR="00D71807" w:rsidRPr="00AB315F" w:rsidRDefault="00D71807" w:rsidP="00535A9B">
      <w:pPr>
        <w:spacing w:after="240" w:line="360" w:lineRule="auto"/>
        <w:ind w:firstLine="708"/>
        <w:jc w:val="both"/>
        <w:rPr>
          <w:rFonts w:asciiTheme="minorHAnsi" w:hAnsiTheme="minorHAnsi"/>
        </w:rPr>
      </w:pPr>
      <w:r w:rsidRPr="00AB315F">
        <w:rPr>
          <w:rFonts w:asciiTheme="minorHAnsi" w:hAnsiTheme="minorHAnsi"/>
        </w:rPr>
        <w:t>Neste sentido faz-se importante ressaltar que a presença da força social em questão é ativada através do debate público, o qual envolve conversação, discursos, deliberação, julg</w:t>
      </w:r>
      <w:r w:rsidR="00535A9B">
        <w:rPr>
          <w:rFonts w:asciiTheme="minorHAnsi" w:hAnsiTheme="minorHAnsi"/>
        </w:rPr>
        <w:t>amento ativo, e ação política. Assim, o</w:t>
      </w:r>
      <w:r w:rsidRPr="00AB315F">
        <w:rPr>
          <w:rFonts w:asciiTheme="minorHAnsi" w:hAnsiTheme="minorHAnsi"/>
        </w:rPr>
        <w:t xml:space="preserve">utra questão cara à relação entre </w:t>
      </w:r>
      <w:r w:rsidRPr="00AB315F">
        <w:rPr>
          <w:rFonts w:asciiTheme="minorHAnsi" w:hAnsiTheme="minorHAnsi"/>
        </w:rPr>
        <w:lastRenderedPageBreak/>
        <w:t>desejabilidade social e opinião pública é a relevância do fluxo de informação. Sobre este ponto é interessante considerar a argumentação de</w:t>
      </w:r>
      <w:r w:rsidR="00DA6A07">
        <w:rPr>
          <w:rFonts w:asciiTheme="minorHAnsi" w:hAnsiTheme="minorHAnsi"/>
        </w:rPr>
        <w:t xml:space="preserve"> John</w:t>
      </w:r>
      <w:r w:rsidRPr="00AB315F">
        <w:rPr>
          <w:rFonts w:asciiTheme="minorHAnsi" w:hAnsiTheme="minorHAnsi"/>
        </w:rPr>
        <w:t xml:space="preserve"> Zaller sobre o papel da mídia</w:t>
      </w:r>
      <w:r w:rsidR="00535A9B">
        <w:rPr>
          <w:rFonts w:asciiTheme="minorHAnsi" w:hAnsiTheme="minorHAnsi"/>
        </w:rPr>
        <w:t xml:space="preserve"> na difusão de conteúdo</w:t>
      </w:r>
      <w:r w:rsidRPr="00AB315F">
        <w:rPr>
          <w:rFonts w:asciiTheme="minorHAnsi" w:hAnsiTheme="minorHAnsi"/>
        </w:rPr>
        <w:t xml:space="preserve">. </w:t>
      </w:r>
    </w:p>
    <w:p w14:paraId="73654D93" w14:textId="77777777"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 xml:space="preserve">De acordo com Zaller (1992), toda opinião é o resultado da união entre informação e predisposição. Nesse caso, a informação tem o papel de formar uma imagem mental a respeito de determinado assunto, enquanto a predisposição motiva algumas conclusões a respeito dessa mesma imagem. </w:t>
      </w:r>
    </w:p>
    <w:p w14:paraId="105DE8C8" w14:textId="77F6CB8F" w:rsidR="00D71807" w:rsidRPr="00AB315F" w:rsidRDefault="002B4382" w:rsidP="00D71807">
      <w:pPr>
        <w:spacing w:after="240" w:line="360" w:lineRule="auto"/>
        <w:ind w:firstLine="708"/>
        <w:jc w:val="both"/>
        <w:rPr>
          <w:rFonts w:asciiTheme="minorHAnsi" w:hAnsiTheme="minorHAnsi"/>
        </w:rPr>
      </w:pPr>
      <w:r>
        <w:rPr>
          <w:rFonts w:asciiTheme="minorHAnsi" w:hAnsiTheme="minorHAnsi"/>
        </w:rPr>
        <w:t>Para o autor</w:t>
      </w:r>
      <w:r w:rsidR="00D71807" w:rsidRPr="00AB315F">
        <w:rPr>
          <w:rFonts w:asciiTheme="minorHAnsi" w:hAnsiTheme="minorHAnsi"/>
        </w:rPr>
        <w:t>, os debates públicos, transmitidos principalmente pela mídia, apresentam informações e opiniões misturadas que ajudam a moldar crenças na massa, encobertas por uma aparente racionalidade, a partir da recepção de novas informações.</w:t>
      </w:r>
    </w:p>
    <w:p w14:paraId="7DB7F52D" w14:textId="20801324"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São esses debates que servem como matriz para a formação da opinião pública. Aceitando a existência da influência da elite política</w:t>
      </w:r>
      <w:r w:rsidR="00535A9B">
        <w:rPr>
          <w:rStyle w:val="Refdenotaderodap"/>
          <w:rFonts w:asciiTheme="minorHAnsi" w:hAnsiTheme="minorHAnsi"/>
        </w:rPr>
        <w:footnoteReference w:id="11"/>
      </w:r>
      <w:r w:rsidRPr="00AB315F">
        <w:rPr>
          <w:rFonts w:asciiTheme="minorHAnsi" w:hAnsiTheme="minorHAnsi"/>
        </w:rPr>
        <w:t xml:space="preserve"> na opinião do cidadão comum e o fato de que as informações transmitidas pela elite são difundidas principalmente pelos meios de comunicação, que por sua vez misturam opinião e informação, a mídia passa a ser um referencial para a identificação das opiniões predominantes nos indivíduos, servindo para a identificação inicial das origens das opiniões predominantes nas pessoas. A mídia, por assim dizer, atua como indicador agregado das opiniões majoritárias na sociedade (ZALLER, 1992, p.41).</w:t>
      </w:r>
    </w:p>
    <w:p w14:paraId="31B8200A" w14:textId="77777777"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Enfatizar o papel da mídia significa supor que a visibilidade e a vinculação de conteúdos na mídia têm impacto na formação da opinião pública. Os conteúdos veiculados podem gerar efeitos sobre a percepção que indivíduos tem da relação entre o fenômeno da corrupção e as práticas cotidianas, na medida em que constroem imagens que agregam valor a comportamentos, práticas, atores e a instituições ou lideranças políticas.</w:t>
      </w:r>
    </w:p>
    <w:p w14:paraId="7FB1F319" w14:textId="77777777" w:rsidR="00D71807" w:rsidRPr="00AB315F" w:rsidRDefault="00D71807" w:rsidP="00D71807">
      <w:pPr>
        <w:spacing w:after="240" w:line="360" w:lineRule="auto"/>
        <w:ind w:firstLine="708"/>
        <w:jc w:val="both"/>
      </w:pPr>
      <w:r w:rsidRPr="00AB315F">
        <w:rPr>
          <w:rFonts w:asciiTheme="minorHAnsi" w:hAnsiTheme="minorHAnsi"/>
        </w:rPr>
        <w:t xml:space="preserve">A hipótese que permeia a relação entre conteúdo midiático e variações na percepção dos indivíduos do fenômeno da corrupção, leva em consideração que o fluxo </w:t>
      </w:r>
      <w:r w:rsidRPr="00AB315F">
        <w:rPr>
          <w:rFonts w:asciiTheme="minorHAnsi" w:hAnsiTheme="minorHAnsi"/>
        </w:rPr>
        <w:lastRenderedPageBreak/>
        <w:t>e volume de informações podem influenciar a percepção sobre o “clima de opinião” em relação ao tema da corrupção. Na qualidade de elo entre arena política e opinião pública, a mídia tem papel distinto na difusão de conteúdos que podem conformar o discurso e assimilação do fenômeno por parte dos cidadãos.</w:t>
      </w:r>
      <w:r w:rsidRPr="00AB315F">
        <w:t xml:space="preserve"> </w:t>
      </w:r>
    </w:p>
    <w:p w14:paraId="68C8139F" w14:textId="51EC1F70" w:rsidR="00D71807" w:rsidRPr="00AB315F" w:rsidRDefault="00D71807" w:rsidP="00D71807">
      <w:pPr>
        <w:spacing w:after="240" w:line="360" w:lineRule="auto"/>
        <w:ind w:firstLine="708"/>
        <w:jc w:val="both"/>
        <w:rPr>
          <w:rFonts w:asciiTheme="minorHAnsi" w:hAnsiTheme="minorHAnsi"/>
          <w:b/>
        </w:rPr>
      </w:pPr>
      <w:r w:rsidRPr="00AB315F">
        <w:rPr>
          <w:rFonts w:asciiTheme="minorHAnsi" w:hAnsiTheme="minorHAnsi"/>
        </w:rPr>
        <w:t>O potencial dos meios em abordarem o fenômeno da corrupção é citado nos trabalhos de Canel e Sanders (2003), quando argumentam que uma das fontes de poder da imprensa é a habilidade para construir narrativas fortes que enfocam incidentes de forma memorável e apontam para significados mais extensos. Este poder constitui a chamada função de “agenda setting” dos meios de comunicação social (Mcombs</w:t>
      </w:r>
      <w:r w:rsidR="002B4382">
        <w:rPr>
          <w:rFonts w:asciiTheme="minorHAnsi" w:hAnsiTheme="minorHAnsi"/>
        </w:rPr>
        <w:t xml:space="preserve"> </w:t>
      </w:r>
      <w:r w:rsidRPr="00AB315F">
        <w:rPr>
          <w:rFonts w:asciiTheme="minorHAnsi" w:hAnsiTheme="minorHAnsi"/>
        </w:rPr>
        <w:t>&amp; Shaw 1972) que reside precisamente na capacidade que possui para conferir visibilidade a problemas sociais que de outra forma dificilmente chegariam ao conhecimento do público, “a notícia é resultado da leitura efetuada pelo autor sobre a realidade que lhe é dada a observar e que pretende mostrar”.</w:t>
      </w:r>
    </w:p>
    <w:p w14:paraId="5EA5993F" w14:textId="727140E4" w:rsidR="00D71807" w:rsidRDefault="00D71807" w:rsidP="00D71807">
      <w:pPr>
        <w:spacing w:after="240" w:line="360" w:lineRule="auto"/>
        <w:jc w:val="both"/>
        <w:rPr>
          <w:rFonts w:asciiTheme="minorHAnsi" w:hAnsiTheme="minorHAnsi"/>
        </w:rPr>
      </w:pPr>
      <w:r w:rsidRPr="00AB315F">
        <w:rPr>
          <w:rFonts w:asciiTheme="minorHAnsi" w:hAnsiTheme="minorHAnsi"/>
          <w:b/>
        </w:rPr>
        <w:tab/>
      </w:r>
      <w:r w:rsidRPr="00AB315F">
        <w:rPr>
          <w:rFonts w:asciiTheme="minorHAnsi" w:hAnsiTheme="minorHAnsi"/>
        </w:rPr>
        <w:t>Assim, considera-se que</w:t>
      </w:r>
      <w:r w:rsidRPr="00AB315F">
        <w:rPr>
          <w:rFonts w:asciiTheme="minorHAnsi" w:hAnsiTheme="minorHAnsi"/>
          <w:b/>
        </w:rPr>
        <w:t xml:space="preserve"> </w:t>
      </w:r>
      <w:r w:rsidRPr="00AB315F">
        <w:rPr>
          <w:rFonts w:asciiTheme="minorHAnsi" w:hAnsiTheme="minorHAnsi"/>
        </w:rPr>
        <w:t xml:space="preserve">o fluxo e o viés da informação que alimenta a percepção dos indivíduos sobre o tema da corrupção pode potencializar o efeito da desejabilidade social ou formatar o conceito de corrupção por parte dos entrevistados. Esses dois aspectos podem ser sistematicamente refletidos nas respostas de entrevistados quando perguntados sobre a justificação de práticas que representam o rompimento de normas sociais e que podem estar atreladas ao fenômeno da corrupção. </w:t>
      </w:r>
    </w:p>
    <w:p w14:paraId="42962F85" w14:textId="12BEB2FE" w:rsidR="00FB6FB2" w:rsidRPr="00AB315F" w:rsidRDefault="00FB6FB2" w:rsidP="00D71807">
      <w:pPr>
        <w:spacing w:after="240" w:line="360" w:lineRule="auto"/>
        <w:jc w:val="both"/>
        <w:rPr>
          <w:rFonts w:asciiTheme="minorHAnsi" w:hAnsiTheme="minorHAnsi"/>
        </w:rPr>
      </w:pPr>
      <w:r>
        <w:rPr>
          <w:rFonts w:asciiTheme="minorHAnsi" w:hAnsiTheme="minorHAnsi"/>
        </w:rPr>
        <w:tab/>
        <w:t xml:space="preserve">Assume-se </w:t>
      </w:r>
      <w:r w:rsidR="00535A9B">
        <w:rPr>
          <w:rFonts w:asciiTheme="minorHAnsi" w:hAnsiTheme="minorHAnsi"/>
        </w:rPr>
        <w:t xml:space="preserve">então </w:t>
      </w:r>
      <w:r>
        <w:rPr>
          <w:rFonts w:asciiTheme="minorHAnsi" w:hAnsiTheme="minorHAnsi"/>
        </w:rPr>
        <w:t>que o tema da corrupção carrega uma forte carga normativa</w:t>
      </w:r>
      <w:r w:rsidR="00535A9B">
        <w:rPr>
          <w:rFonts w:asciiTheme="minorHAnsi" w:hAnsiTheme="minorHAnsi"/>
        </w:rPr>
        <w:t>. O</w:t>
      </w:r>
      <w:r>
        <w:rPr>
          <w:rFonts w:asciiTheme="minorHAnsi" w:hAnsiTheme="minorHAnsi"/>
        </w:rPr>
        <w:t xml:space="preserve"> fenômeno</w:t>
      </w:r>
      <w:r w:rsidR="00535A9B">
        <w:rPr>
          <w:rFonts w:asciiTheme="minorHAnsi" w:hAnsiTheme="minorHAnsi"/>
        </w:rPr>
        <w:t xml:space="preserve"> em si</w:t>
      </w:r>
      <w:r>
        <w:rPr>
          <w:rFonts w:asciiTheme="minorHAnsi" w:hAnsiTheme="minorHAnsi"/>
        </w:rPr>
        <w:t xml:space="preserve"> é entendido aqui a partir da perspectiva da cultura política, a qual posiciona a corrupção como um rompimento de valores socialmente compartilhados. O próximo tópico pontua os referencias teóricos e conceituais que relacionam a cultura política ao significado da corrupção no debate público.</w:t>
      </w:r>
    </w:p>
    <w:p w14:paraId="12037922" w14:textId="1B016B82" w:rsidR="00B11466" w:rsidRPr="00AB315F" w:rsidRDefault="00113799" w:rsidP="008C26BC">
      <w:pPr>
        <w:pStyle w:val="Ttulo2"/>
        <w:spacing w:after="240"/>
        <w:rPr>
          <w:b/>
          <w:color w:val="auto"/>
        </w:rPr>
      </w:pPr>
      <w:bookmarkStart w:id="9" w:name="_Toc441065248"/>
      <w:bookmarkStart w:id="10" w:name="_Toc441065343"/>
      <w:bookmarkStart w:id="11" w:name="_Toc441065360"/>
      <w:bookmarkStart w:id="12" w:name="_Toc456241246"/>
      <w:bookmarkEnd w:id="9"/>
      <w:bookmarkEnd w:id="10"/>
      <w:bookmarkEnd w:id="11"/>
      <w:r>
        <w:rPr>
          <w:b/>
          <w:color w:val="auto"/>
        </w:rPr>
        <w:t>1.3</w:t>
      </w:r>
      <w:r w:rsidR="00474F0E" w:rsidRPr="00AB315F">
        <w:rPr>
          <w:color w:val="auto"/>
        </w:rPr>
        <w:t xml:space="preserve"> </w:t>
      </w:r>
      <w:r>
        <w:rPr>
          <w:color w:val="auto"/>
        </w:rPr>
        <w:t>A cultura política, a corrupção e a dimensão da aceitação</w:t>
      </w:r>
      <w:bookmarkEnd w:id="12"/>
    </w:p>
    <w:p w14:paraId="2A4AD582" w14:textId="37720A76" w:rsidR="00972D62" w:rsidRPr="00AB315F" w:rsidRDefault="00802E53" w:rsidP="008C26BC">
      <w:pPr>
        <w:tabs>
          <w:tab w:val="left" w:pos="540"/>
        </w:tabs>
        <w:spacing w:after="240" w:line="360" w:lineRule="auto"/>
        <w:jc w:val="both"/>
        <w:rPr>
          <w:rFonts w:asciiTheme="minorHAnsi" w:hAnsiTheme="minorHAnsi"/>
        </w:rPr>
      </w:pPr>
      <w:r w:rsidRPr="00AB315F">
        <w:rPr>
          <w:rFonts w:asciiTheme="minorHAnsi" w:hAnsiTheme="minorHAnsi"/>
        </w:rPr>
        <w:tab/>
      </w:r>
      <w:r w:rsidR="00AB315F">
        <w:rPr>
          <w:rFonts w:asciiTheme="minorHAnsi" w:hAnsiTheme="minorHAnsi"/>
        </w:rPr>
        <w:tab/>
      </w:r>
      <w:r w:rsidR="00972D62" w:rsidRPr="00AB315F">
        <w:rPr>
          <w:rFonts w:asciiTheme="minorHAnsi" w:hAnsiTheme="minorHAnsi"/>
        </w:rPr>
        <w:t>Os estudos mais sistemáticos sobre a corrupção surgiram na década de 50 nos Estados Unidos, em decorrência da busca pela modernização sob uma perspectiva comparada calcada na ideia de desenvolvimento.</w:t>
      </w:r>
    </w:p>
    <w:p w14:paraId="13EDB2FF" w14:textId="77777777" w:rsidR="00972D62" w:rsidRPr="00AB315F" w:rsidRDefault="00802E53" w:rsidP="005A7075">
      <w:pPr>
        <w:tabs>
          <w:tab w:val="left" w:pos="540"/>
        </w:tabs>
        <w:spacing w:after="240" w:line="360" w:lineRule="auto"/>
        <w:jc w:val="both"/>
        <w:rPr>
          <w:rFonts w:asciiTheme="minorHAnsi" w:hAnsiTheme="minorHAnsi"/>
        </w:rPr>
      </w:pPr>
      <w:r w:rsidRPr="00AB315F">
        <w:rPr>
          <w:rFonts w:asciiTheme="minorHAnsi" w:hAnsiTheme="minorHAnsi"/>
        </w:rPr>
        <w:lastRenderedPageBreak/>
        <w:tab/>
      </w:r>
      <w:r w:rsidR="00972D62" w:rsidRPr="00AB315F">
        <w:rPr>
          <w:rFonts w:asciiTheme="minorHAnsi" w:hAnsiTheme="minorHAnsi"/>
        </w:rPr>
        <w:t>Ao relacionar o problema do desenvolvimento político e econômico ao tema da corrupção da abordagem dita</w:t>
      </w:r>
      <w:r w:rsidR="00972D62" w:rsidRPr="00AB315F">
        <w:rPr>
          <w:rFonts w:asciiTheme="minorHAnsi" w:hAnsiTheme="minorHAnsi"/>
          <w:i/>
        </w:rPr>
        <w:t xml:space="preserve"> funcionalista </w:t>
      </w:r>
      <w:r w:rsidR="00972D62" w:rsidRPr="00AB315F">
        <w:rPr>
          <w:rFonts w:asciiTheme="minorHAnsi" w:hAnsiTheme="minorHAnsi"/>
        </w:rPr>
        <w:t>procurou compreender como o fenômeno poderia acelerar ou dificultar o desenvolvimento de sociedades tradicionais ou subdesenvolvidas</w:t>
      </w:r>
      <w:r w:rsidR="00C37104" w:rsidRPr="00AB315F">
        <w:rPr>
          <w:rFonts w:asciiTheme="minorHAnsi" w:hAnsiTheme="minorHAnsi"/>
        </w:rPr>
        <w:t xml:space="preserve"> (FILGUEIRAS, 2006)</w:t>
      </w:r>
      <w:r w:rsidR="00972D62" w:rsidRPr="00AB315F">
        <w:rPr>
          <w:rFonts w:asciiTheme="minorHAnsi" w:hAnsiTheme="minorHAnsi"/>
        </w:rPr>
        <w:t>. Nessa perspectiva, há uma relação necessária entre corrupç</w:t>
      </w:r>
      <w:r w:rsidR="00C37104" w:rsidRPr="00AB315F">
        <w:rPr>
          <w:rFonts w:asciiTheme="minorHAnsi" w:hAnsiTheme="minorHAnsi"/>
        </w:rPr>
        <w:t>ão e o processo de modernização.</w:t>
      </w:r>
      <w:r w:rsidR="00972D62" w:rsidRPr="00AB315F">
        <w:rPr>
          <w:rFonts w:asciiTheme="minorHAnsi" w:hAnsiTheme="minorHAnsi"/>
        </w:rPr>
        <w:t xml:space="preserve"> </w:t>
      </w:r>
      <w:r w:rsidR="00C37104" w:rsidRPr="00AB315F">
        <w:rPr>
          <w:rFonts w:asciiTheme="minorHAnsi" w:hAnsiTheme="minorHAnsi"/>
        </w:rPr>
        <w:t>A</w:t>
      </w:r>
      <w:r w:rsidR="00972D62" w:rsidRPr="00AB315F">
        <w:rPr>
          <w:rFonts w:asciiTheme="minorHAnsi" w:hAnsiTheme="minorHAnsi"/>
        </w:rPr>
        <w:t>ssim, o fenômeno se manifestaria com maior intensidade em sociedades de baixa institucionalização política. Por essa mesma abordagem a corrupção poderia se tornar uma forma alternativa de articular interesses de agentes privados junto à esfera pública. Importa, sob essa perspectiva, compreender os custos e benefícios da corrupção para o desenvolvimento</w:t>
      </w:r>
      <w:r w:rsidR="00C37104" w:rsidRPr="00AB315F">
        <w:rPr>
          <w:rFonts w:asciiTheme="minorHAnsi" w:hAnsiTheme="minorHAnsi"/>
        </w:rPr>
        <w:t xml:space="preserve"> </w:t>
      </w:r>
      <w:r w:rsidRPr="00AB315F">
        <w:rPr>
          <w:rFonts w:asciiTheme="minorHAnsi" w:hAnsiTheme="minorHAnsi"/>
        </w:rPr>
        <w:t>(FILGUEIRAS, 2006)</w:t>
      </w:r>
      <w:r w:rsidR="00972D62" w:rsidRPr="00AB315F">
        <w:rPr>
          <w:rFonts w:asciiTheme="minorHAnsi" w:hAnsiTheme="minorHAnsi"/>
        </w:rPr>
        <w:t>.</w:t>
      </w:r>
    </w:p>
    <w:p w14:paraId="20F8A127" w14:textId="6118ED12" w:rsidR="00972D62" w:rsidRPr="00AB315F" w:rsidRDefault="00802E53" w:rsidP="005A7075">
      <w:pPr>
        <w:tabs>
          <w:tab w:val="left" w:pos="540"/>
        </w:tabs>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A escola estrutural funcionalista considera que práticas corruptas representam uma ação intencional por parte de uma autoridade, que normalmente privilegia interesse privados em detrimento de públicos</w:t>
      </w:r>
      <w:r w:rsidRPr="00AB315F">
        <w:rPr>
          <w:rFonts w:asciiTheme="minorHAnsi" w:hAnsiTheme="minorHAnsi"/>
        </w:rPr>
        <w:t xml:space="preserve"> (FILGUEIRAS, 2006)</w:t>
      </w:r>
      <w:r w:rsidR="00972D62" w:rsidRPr="00AB315F">
        <w:rPr>
          <w:rFonts w:asciiTheme="minorHAnsi" w:hAnsiTheme="minorHAnsi"/>
        </w:rPr>
        <w:t xml:space="preserve">. O fenômeno ocorre em vista de uma estrutura normativa institucionalizada, que determina os limites da ação corrupta (Merton, 1970). Portanto, o sistema normativo pode incentivar ou restringir a prática da corrupção. Para </w:t>
      </w:r>
      <w:r w:rsidR="002B4382">
        <w:rPr>
          <w:rFonts w:asciiTheme="minorHAnsi" w:hAnsiTheme="minorHAnsi"/>
        </w:rPr>
        <w:t xml:space="preserve">autores desta vertente, em geral </w:t>
      </w:r>
      <w:r w:rsidR="00972D62" w:rsidRPr="00AB315F">
        <w:rPr>
          <w:rFonts w:asciiTheme="minorHAnsi" w:hAnsiTheme="minorHAnsi"/>
        </w:rPr>
        <w:t>a corrupção é uma ação intencional por parte de uma autoridade, dentro de um sistema social, que sobrepõe seus interesses privados ao interesse comum, tendo em vista que existem normas institucionais que separam as ações aceitas daquelas não aceitas. O cenário de detenção da corrupção depende da institucionalização política, que produzirá determinantes funcionais, que visam assegurar a estabilidade e previsibilidade dos sistemas sociais em face aos dilemas da modernização.</w:t>
      </w:r>
    </w:p>
    <w:p w14:paraId="7D4B17B3" w14:textId="77777777" w:rsidR="00972D62" w:rsidRPr="00AB315F" w:rsidRDefault="00802E53" w:rsidP="005A7075">
      <w:pPr>
        <w:tabs>
          <w:tab w:val="left" w:pos="540"/>
        </w:tabs>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 xml:space="preserve">A abordagem mencionada também propõe a análise de custos e benefícios das práticas corruptas, e apresenta a hipótese de que o fenômeno pode resultar em ganhos agregados ao sistema, tais como desenvolvimento econômico, integração nacional e o aumento da capacidade do governo. </w:t>
      </w:r>
    </w:p>
    <w:p w14:paraId="44D9399E" w14:textId="58A3874B" w:rsidR="00972D62" w:rsidRPr="00AB315F" w:rsidRDefault="00802E53" w:rsidP="005A7075">
      <w:pPr>
        <w:tabs>
          <w:tab w:val="left" w:pos="540"/>
        </w:tabs>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Na visão de Nye (1967), a corrupção pode resultar em ganhos, na medida em que ela contribui para a form</w:t>
      </w:r>
      <w:r w:rsidR="00C37104" w:rsidRPr="00AB315F">
        <w:rPr>
          <w:rFonts w:asciiTheme="minorHAnsi" w:hAnsiTheme="minorHAnsi"/>
        </w:rPr>
        <w:t>ação de um capital privado que</w:t>
      </w:r>
      <w:r w:rsidR="00DA6A07">
        <w:rPr>
          <w:rFonts w:asciiTheme="minorHAnsi" w:hAnsiTheme="minorHAnsi"/>
        </w:rPr>
        <w:t xml:space="preserve"> evita</w:t>
      </w:r>
      <w:r w:rsidR="00C37104" w:rsidRPr="00AB315F">
        <w:rPr>
          <w:rFonts w:asciiTheme="minorHAnsi" w:hAnsiTheme="minorHAnsi"/>
        </w:rPr>
        <w:t xml:space="preserve"> </w:t>
      </w:r>
      <w:r w:rsidR="00972D62" w:rsidRPr="00AB315F">
        <w:rPr>
          <w:rFonts w:asciiTheme="minorHAnsi" w:hAnsiTheme="minorHAnsi"/>
        </w:rPr>
        <w:t xml:space="preserve">barreiras burocráticas e </w:t>
      </w:r>
      <w:r w:rsidR="00C37104" w:rsidRPr="00AB315F">
        <w:rPr>
          <w:rFonts w:asciiTheme="minorHAnsi" w:hAnsiTheme="minorHAnsi"/>
        </w:rPr>
        <w:t>integra</w:t>
      </w:r>
      <w:r w:rsidR="00972D62" w:rsidRPr="00AB315F">
        <w:rPr>
          <w:rFonts w:asciiTheme="minorHAnsi" w:hAnsiTheme="minorHAnsi"/>
        </w:rPr>
        <w:t xml:space="preserve"> elites políticas. </w:t>
      </w:r>
      <w:r w:rsidR="00C37104" w:rsidRPr="00AB315F">
        <w:rPr>
          <w:rFonts w:asciiTheme="minorHAnsi" w:hAnsiTheme="minorHAnsi"/>
        </w:rPr>
        <w:t>S</w:t>
      </w:r>
      <w:r w:rsidR="00972D62" w:rsidRPr="00AB315F">
        <w:rPr>
          <w:rFonts w:asciiTheme="minorHAnsi" w:hAnsiTheme="minorHAnsi"/>
        </w:rPr>
        <w:t>endo assim, a corrupção contribui para o desenvolvimento, pois ela força a modernização. Contudo, ela deve sempre estar sob o controle das instituições políticas modernas.</w:t>
      </w:r>
    </w:p>
    <w:p w14:paraId="5C844B85" w14:textId="77777777" w:rsidR="00972D62" w:rsidRPr="00AB315F" w:rsidRDefault="00802E53" w:rsidP="005A7075">
      <w:pPr>
        <w:tabs>
          <w:tab w:val="left" w:pos="540"/>
        </w:tabs>
        <w:spacing w:after="240" w:line="360" w:lineRule="auto"/>
        <w:jc w:val="both"/>
        <w:rPr>
          <w:rFonts w:asciiTheme="minorHAnsi" w:hAnsiTheme="minorHAnsi"/>
        </w:rPr>
      </w:pPr>
      <w:r w:rsidRPr="00AB315F">
        <w:rPr>
          <w:rFonts w:asciiTheme="minorHAnsi" w:hAnsiTheme="minorHAnsi"/>
        </w:rPr>
        <w:lastRenderedPageBreak/>
        <w:tab/>
      </w:r>
      <w:r w:rsidR="00C37104" w:rsidRPr="00AB315F">
        <w:rPr>
          <w:rFonts w:asciiTheme="minorHAnsi" w:hAnsiTheme="minorHAnsi"/>
        </w:rPr>
        <w:t>Os resultados positivos da corrupção podem então ser entendidos quando</w:t>
      </w:r>
      <w:r w:rsidR="00972D62" w:rsidRPr="00AB315F">
        <w:rPr>
          <w:rFonts w:asciiTheme="minorHAnsi" w:hAnsiTheme="minorHAnsi"/>
        </w:rPr>
        <w:t xml:space="preserve"> a recorrência </w:t>
      </w:r>
      <w:r w:rsidR="00C37104" w:rsidRPr="00AB315F">
        <w:rPr>
          <w:rFonts w:asciiTheme="minorHAnsi" w:hAnsiTheme="minorHAnsi"/>
        </w:rPr>
        <w:t xml:space="preserve">do fenômeno, </w:t>
      </w:r>
      <w:r w:rsidR="00972D62" w:rsidRPr="00AB315F">
        <w:rPr>
          <w:rFonts w:asciiTheme="minorHAnsi" w:hAnsiTheme="minorHAnsi"/>
        </w:rPr>
        <w:t>em uma sociedade tradicional</w:t>
      </w:r>
      <w:r w:rsidR="00C37104" w:rsidRPr="00AB315F">
        <w:rPr>
          <w:rFonts w:asciiTheme="minorHAnsi" w:hAnsiTheme="minorHAnsi"/>
        </w:rPr>
        <w:t>,</w:t>
      </w:r>
      <w:r w:rsidR="00972D62" w:rsidRPr="00AB315F">
        <w:rPr>
          <w:rFonts w:asciiTheme="minorHAnsi" w:hAnsiTheme="minorHAnsi"/>
        </w:rPr>
        <w:t xml:space="preserve"> expõe contradições internas ao sistema e permite aos agentes identificarem o fenômeno como algo a ser combatido. Por essa lógica, </w:t>
      </w:r>
      <w:r w:rsidR="00C37104" w:rsidRPr="00AB315F">
        <w:rPr>
          <w:rFonts w:asciiTheme="minorHAnsi" w:hAnsiTheme="minorHAnsi"/>
        </w:rPr>
        <w:t>a corrupção</w:t>
      </w:r>
      <w:r w:rsidR="00972D62" w:rsidRPr="00AB315F">
        <w:rPr>
          <w:rFonts w:asciiTheme="minorHAnsi" w:hAnsiTheme="minorHAnsi"/>
        </w:rPr>
        <w:t xml:space="preserve"> força o desenvolvimento de instituições políticas, uma vez que ela potencializa os efeitos do paradoxo que é a coexistência de um sistema tradicional e um pr</w:t>
      </w:r>
      <w:r w:rsidR="00C37104" w:rsidRPr="00AB315F">
        <w:rPr>
          <w:rFonts w:asciiTheme="minorHAnsi" w:hAnsiTheme="minorHAnsi"/>
        </w:rPr>
        <w:t>ojeto modernizante</w:t>
      </w:r>
      <w:r w:rsidR="00E91878" w:rsidRPr="00AB315F">
        <w:rPr>
          <w:rFonts w:asciiTheme="minorHAnsi" w:hAnsiTheme="minorHAnsi"/>
        </w:rPr>
        <w:t xml:space="preserve"> (FILGUEIRAS, 2006)</w:t>
      </w:r>
      <w:r w:rsidR="00C37104" w:rsidRPr="00AB315F">
        <w:rPr>
          <w:rFonts w:asciiTheme="minorHAnsi" w:hAnsiTheme="minorHAnsi"/>
        </w:rPr>
        <w:t>. A questão fundamental à investigação sob a perspectiva da</w:t>
      </w:r>
      <w:r w:rsidR="00972D62" w:rsidRPr="00AB315F">
        <w:rPr>
          <w:rFonts w:asciiTheme="minorHAnsi" w:hAnsiTheme="minorHAnsi"/>
        </w:rPr>
        <w:t xml:space="preserve"> teoria da modernização é: como fazer que a corrupção produza resultados a</w:t>
      </w:r>
      <w:r w:rsidR="00C37104" w:rsidRPr="00AB315F">
        <w:rPr>
          <w:rFonts w:asciiTheme="minorHAnsi" w:hAnsiTheme="minorHAnsi"/>
        </w:rPr>
        <w:t>gregados para o desenvolvimento? - N</w:t>
      </w:r>
      <w:r w:rsidR="00972D62" w:rsidRPr="00AB315F">
        <w:rPr>
          <w:rFonts w:asciiTheme="minorHAnsi" w:hAnsiTheme="minorHAnsi"/>
        </w:rPr>
        <w:t>a medida em que não é possível erradicá-la enquanto prática (NYE, 1967; HUNTINGTON, 1975).</w:t>
      </w:r>
    </w:p>
    <w:p w14:paraId="5A522773" w14:textId="77777777" w:rsidR="00972D62" w:rsidRPr="00AB315F" w:rsidRDefault="00802E53" w:rsidP="005A7075">
      <w:pPr>
        <w:tabs>
          <w:tab w:val="left" w:pos="540"/>
        </w:tabs>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A despeito do consenso de alguns dos principais autores da década de 60,</w:t>
      </w:r>
      <w:r w:rsidR="00C37104" w:rsidRPr="00AB315F">
        <w:rPr>
          <w:rFonts w:asciiTheme="minorHAnsi" w:hAnsiTheme="minorHAnsi"/>
        </w:rPr>
        <w:t xml:space="preserve"> Myrdal (1956) afirma que</w:t>
      </w:r>
      <w:r w:rsidR="00972D62" w:rsidRPr="00AB315F">
        <w:rPr>
          <w:rFonts w:asciiTheme="minorHAnsi" w:hAnsiTheme="minorHAnsi"/>
        </w:rPr>
        <w:t xml:space="preserve"> </w:t>
      </w:r>
      <w:r w:rsidR="00C37104" w:rsidRPr="00AB315F">
        <w:rPr>
          <w:rFonts w:asciiTheme="minorHAnsi" w:hAnsiTheme="minorHAnsi"/>
        </w:rPr>
        <w:t>a corrupção resulta em</w:t>
      </w:r>
      <w:r w:rsidR="00972D62" w:rsidRPr="00AB315F">
        <w:rPr>
          <w:rFonts w:asciiTheme="minorHAnsi" w:hAnsiTheme="minorHAnsi"/>
        </w:rPr>
        <w:t xml:space="preserve"> prejuízos extremamente graves. O autor argumenta que os industriais e negociantes direcionavam esforços para consecução de negócios irregulares e, portanto, a corrupção ao invés de estimular o crescimento representava mais incerteza para o setor privado e consequentemente menor propensão ao investimento. Existia para Gunnar Myrdal uma relação circular ruim entre falhas institucionais e a corrupção. Para o autor, o nível de práticas corruptas observadas em determinado país minava a confiança dos agentes econômicos.</w:t>
      </w:r>
    </w:p>
    <w:p w14:paraId="1CC04377" w14:textId="77777777" w:rsidR="00972D62" w:rsidRPr="00AB315F" w:rsidRDefault="00802E53" w:rsidP="005A7075">
      <w:pPr>
        <w:tabs>
          <w:tab w:val="left" w:pos="540"/>
        </w:tabs>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Uma contribuição importante da obra de Gunar Myrdal foi o conceito de “folclore da corrupção” que significa o posicionamento da sociedade diante da recorrência de práticas corruptas. O autor considera que existem na sociedade crenças que orientam as pessoas no julgamento da corruptibilidade de atos políticos ou administrativos (Myrdal 1968) e</w:t>
      </w:r>
      <w:r w:rsidR="00C37104" w:rsidRPr="00AB315F">
        <w:rPr>
          <w:rFonts w:asciiTheme="minorHAnsi" w:hAnsiTheme="minorHAnsi"/>
        </w:rPr>
        <w:t>,</w:t>
      </w:r>
      <w:r w:rsidR="00972D62" w:rsidRPr="00AB315F">
        <w:rPr>
          <w:rFonts w:asciiTheme="minorHAnsi" w:hAnsiTheme="minorHAnsi"/>
        </w:rPr>
        <w:t xml:space="preserve"> ao serem expostos a escândalos e casos de corrupção os cidadãos supõem que qualquer um em posição de poder irá explorá-las em razão</w:t>
      </w:r>
      <w:r w:rsidR="00C37104" w:rsidRPr="00AB315F">
        <w:rPr>
          <w:rFonts w:asciiTheme="minorHAnsi" w:hAnsiTheme="minorHAnsi"/>
        </w:rPr>
        <w:t xml:space="preserve"> de interesses pessoais</w:t>
      </w:r>
      <w:r w:rsidR="00972D62" w:rsidRPr="00AB315F">
        <w:rPr>
          <w:rFonts w:asciiTheme="minorHAnsi" w:hAnsiTheme="minorHAnsi"/>
        </w:rPr>
        <w:t>, de família ou de outros grupos sociais. Tais crenças constituem parte do reflexo do que elas fariam se lhes fossem dados os meios. Sentindo um clima de corrupção, tornam-se todos corruptos.</w:t>
      </w:r>
    </w:p>
    <w:p w14:paraId="16E8FA29" w14:textId="77777777" w:rsidR="00972D62" w:rsidRPr="00AB315F" w:rsidRDefault="00802E53" w:rsidP="005A7075">
      <w:pPr>
        <w:tabs>
          <w:tab w:val="left" w:pos="540"/>
        </w:tabs>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Para o autor</w:t>
      </w:r>
      <w:r w:rsidR="00C37104" w:rsidRPr="00AB315F">
        <w:rPr>
          <w:rFonts w:asciiTheme="minorHAnsi" w:hAnsiTheme="minorHAnsi"/>
        </w:rPr>
        <w:t xml:space="preserve"> na medida em que a sociedade em</w:t>
      </w:r>
      <w:r w:rsidR="00972D62" w:rsidRPr="00AB315F">
        <w:rPr>
          <w:rFonts w:asciiTheme="minorHAnsi" w:hAnsiTheme="minorHAnsi"/>
        </w:rPr>
        <w:t xml:space="preserve"> geral percebe que vive em um ambiente em que a corrupção é quase endêmica ela mesma se torna mais corrupta, via redução na confiança no estado e nas próprias pessoas. Para Myrdal, a percepção da corrupção deveria ser combatida, principalmente se o risco de punição do corrupto é </w:t>
      </w:r>
      <w:r w:rsidR="00972D62" w:rsidRPr="00AB315F">
        <w:rPr>
          <w:rFonts w:asciiTheme="minorHAnsi" w:hAnsiTheme="minorHAnsi"/>
        </w:rPr>
        <w:lastRenderedPageBreak/>
        <w:t>baixo, em outras palavras, a evolução da transparência da atividade política desacompanhada do desenvolvimento da efetividade do poder judiciário contribui para disseminação de práticas corruptas</w:t>
      </w:r>
      <w:r w:rsidR="00C37104" w:rsidRPr="00AB315F">
        <w:rPr>
          <w:rFonts w:asciiTheme="minorHAnsi" w:hAnsiTheme="minorHAnsi"/>
        </w:rPr>
        <w:t>, tanto no âmbito das instituições políticas como no cotidiano</w:t>
      </w:r>
      <w:r w:rsidR="00972D62" w:rsidRPr="00AB315F">
        <w:rPr>
          <w:rFonts w:asciiTheme="minorHAnsi" w:hAnsiTheme="minorHAnsi"/>
        </w:rPr>
        <w:t>.</w:t>
      </w:r>
    </w:p>
    <w:p w14:paraId="02D1A6C7" w14:textId="77777777" w:rsidR="00972D62" w:rsidRPr="00AB315F" w:rsidRDefault="00802E53" w:rsidP="005A7075">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Com o mesmo posicionamento crítico à corrente revisionista, Dobel (1976)</w:t>
      </w:r>
      <w:r w:rsidRPr="00AB315F">
        <w:rPr>
          <w:rFonts w:asciiTheme="minorHAnsi" w:hAnsiTheme="minorHAnsi"/>
        </w:rPr>
        <w:t xml:space="preserve"> argumenta</w:t>
      </w:r>
      <w:r w:rsidR="00972D62" w:rsidRPr="00AB315F">
        <w:rPr>
          <w:rFonts w:asciiTheme="minorHAnsi" w:hAnsiTheme="minorHAnsi"/>
        </w:rPr>
        <w:t xml:space="preserve"> que a fonte da corrupção sistemática está em certos padrões de desigualdade e falta de coesão social. O fenômeno surge como explicação da decadência da confiança, lealdade e consideração entre cidadãos de um Estado. O autor afirmava que a maioria dos atos corruptos requerem uma escolha moral do agente que interage com aspectos sistemáticos e permanentes de desigualdade em riqueza, poder e status, situações vistas como injustas e corruptas. A redução da desigualdade não implicaria em menos corrupção por si só, seria necessário também, acompanhado da igualdade econômica, a educação moral dos indivíduos e sua participação política.</w:t>
      </w:r>
    </w:p>
    <w:p w14:paraId="3FF7D664" w14:textId="148A1B7F" w:rsidR="00972D62" w:rsidRPr="00AB315F" w:rsidRDefault="00802E53" w:rsidP="005A7075">
      <w:pPr>
        <w:tabs>
          <w:tab w:val="left" w:pos="540"/>
        </w:tabs>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Outra vertente da abordagem estrutural-funcionalista considera a cultura política como fator de desenvolvimento. Sob essa perspectiva a determinação da formação da estrutura social é assentada nos aspectos da cultura política (ALMOND E VERBA, 1963 apud Filgueiras 2009). Valores concebidos historicamente tem peso superior a aspectos políticos e econômicos. Os autores relacionam a corrupção a interações construídas socialmente, as quais refletem um conjunto de valores que permitem ao indivíduo aceitar ou rejeitar entrar em um esquema de corrupção. Portanto, paralelo ao arcabouço institucional e legal, o sistema de valores é fundamental para motivar ou coibir as práticas de corrupção, no interior de uma sociedade. Assim, deter a corrupção nas sociedades modernas demanda uma mudança nos padrões culturais, principalmente aqueles calcados em valores tradicionais que se refletem na prática do nepotismo, patronagem, o clientelismo para obter vantagens e privilégios (Putnam, 2000).</w:t>
      </w:r>
    </w:p>
    <w:p w14:paraId="21E899B7" w14:textId="77777777" w:rsidR="00972D62" w:rsidRPr="00AB315F" w:rsidRDefault="00802E53" w:rsidP="005A7075">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t>A partir da década de 80 em diante, a</w:t>
      </w:r>
      <w:r w:rsidR="00972D62" w:rsidRPr="00AB315F">
        <w:rPr>
          <w:rFonts w:asciiTheme="minorHAnsi" w:hAnsiTheme="minorHAnsi"/>
        </w:rPr>
        <w:t xml:space="preserve">s pesquisas </w:t>
      </w:r>
      <w:r w:rsidRPr="00AB315F">
        <w:rPr>
          <w:rFonts w:asciiTheme="minorHAnsi" w:hAnsiTheme="minorHAnsi"/>
        </w:rPr>
        <w:t xml:space="preserve">no campo da ciência política </w:t>
      </w:r>
      <w:r w:rsidR="00972D62" w:rsidRPr="00AB315F">
        <w:rPr>
          <w:rFonts w:asciiTheme="minorHAnsi" w:hAnsiTheme="minorHAnsi"/>
        </w:rPr>
        <w:t>foram amparadas pelo escopo analítico da Ciência Econômica</w:t>
      </w:r>
      <w:r w:rsidR="00E91878" w:rsidRPr="00AB315F">
        <w:rPr>
          <w:rFonts w:asciiTheme="minorHAnsi" w:hAnsiTheme="minorHAnsi"/>
        </w:rPr>
        <w:t xml:space="preserve"> (FILGUEIRAS, 2006)</w:t>
      </w:r>
      <w:r w:rsidR="00972D62" w:rsidRPr="00AB315F">
        <w:rPr>
          <w:rFonts w:asciiTheme="minorHAnsi" w:hAnsiTheme="minorHAnsi"/>
        </w:rPr>
        <w:t xml:space="preserve">. Os princípios metodológicos desta ciência produziram rupturas conceituais e resultados diferentes. A perspectiva econômica neoclássica sobrepõe o indivíduo à estrutura social. </w:t>
      </w:r>
      <w:r w:rsidR="00972D62" w:rsidRPr="00AB315F">
        <w:rPr>
          <w:rFonts w:asciiTheme="minorHAnsi" w:hAnsiTheme="minorHAnsi"/>
        </w:rPr>
        <w:lastRenderedPageBreak/>
        <w:t xml:space="preserve">O individualismo metodológico da teoria da escolha racional posiciona os agentes comprometidos com um cálculo estratégico, baseado em uma inclinação egoísta, com fins a maximizar sua utilidade e minimizar danos. Nesse sentido o agente racional tem preferências determinadas e ordenadas e age de acordo com elas, escolhendo a ação que maximiza a utilidade esperada. A escola neoclássica baseia a decisão racional </w:t>
      </w:r>
      <w:r w:rsidR="00E91878" w:rsidRPr="00AB315F">
        <w:rPr>
          <w:rFonts w:asciiTheme="minorHAnsi" w:hAnsiTheme="minorHAnsi"/>
        </w:rPr>
        <w:t>atrelada a</w:t>
      </w:r>
      <w:r w:rsidR="00972D62" w:rsidRPr="00AB315F">
        <w:rPr>
          <w:rFonts w:asciiTheme="minorHAnsi" w:hAnsiTheme="minorHAnsi"/>
        </w:rPr>
        <w:t xml:space="preserve"> forma de conceber o comportamento de agentes no mercado.  A mudança metodológica seguiu, principalmente, atrelada a uma tendência liberalizante da economia e política.</w:t>
      </w:r>
    </w:p>
    <w:p w14:paraId="735DD4B9" w14:textId="52F2ACAB" w:rsidR="00972D62" w:rsidRPr="00AB315F" w:rsidRDefault="00802E53" w:rsidP="005A7075">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Nos anos 80 e 90 a expressividade com que o neoliberalismo toma forma como fenômeno político e ideológico remontam os ideias de que o mercado é um agente econômico perfeito, imune a crises. A partir dos anos 80 em diante a ideologia neoliberal permeou os estudos da corrupção, tanto no âmbito da ciência econômica quanto na ciência política, e procurou consolidar, ao contrário das teorias funcionalistas, as causas e efeitos da corrupção do ponto de vista do comportamento do indivíduo, egoísta e maximizador de sua utilidade, ou satisfação. Os expoentes da tradição neoclássica, na qual se baseia o projeto neoliberal, pretendem, dentro de uma perspectiva lógico-demonstrativa, pensar a economia como fundamento da sociedade, e o mercado como viabilizador da ordem liberal.</w:t>
      </w:r>
    </w:p>
    <w:p w14:paraId="71B6B5D7" w14:textId="77777777" w:rsidR="00972D62" w:rsidRPr="00AB315F" w:rsidRDefault="00802E53" w:rsidP="005A7075">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As premissas neoclássicas do comportamento dos agentes foram incorporadas ao discurso político sobre a corrupção. As principais contribuições teóricas e analíticas sobrevieram dos trabalhos de Anthony Downs (1957) e March e Oslen (1989). Os atores políticos são considerados racionais, buscam maximizar a utilidade esperada, conforme um arranjo de preferências, e contextos de decisões determinados pela estrutura institucional.</w:t>
      </w:r>
    </w:p>
    <w:p w14:paraId="096AE408" w14:textId="77777777" w:rsidR="00972D62" w:rsidRPr="00AB315F" w:rsidRDefault="00EF44A8" w:rsidP="005A7075">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 xml:space="preserve"> A inibição do comportamento desviante dos atores seria suportada por um aparato legal e institucional que criasse motivações e constrangimentos aos agentes. Sobre essa perspectiva, Rose-Ackerman (1999) argumenta que a corrupção ocorre na interface dos setores públicos e privados, e depende do modo como as instituições permitem a ação discricionária dos atores políticos. A estrutura institucional deve restringir práticas de corrupção, pois sua consequência imediata é a formação de </w:t>
      </w:r>
      <w:r w:rsidR="00972D62" w:rsidRPr="00AB315F">
        <w:rPr>
          <w:rFonts w:asciiTheme="minorHAnsi" w:hAnsiTheme="minorHAnsi"/>
        </w:rPr>
        <w:lastRenderedPageBreak/>
        <w:t>monopólios no interior da burocracia, ou seja, no aumento do poder discricionário por parte das autoridades políticas.</w:t>
      </w:r>
    </w:p>
    <w:p w14:paraId="64BAC22C" w14:textId="09C473AF" w:rsidR="00972D62" w:rsidRPr="00AB315F" w:rsidRDefault="00EF44A8" w:rsidP="005A7075">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 xml:space="preserve">O argumento de que reforço burocrático seria contraditório, na medida em que o aumento da burocracia implica em maior discricionariedade e mais oportunidades de ocorrência de práticas corruptas (Anechiarico e Jacobs 1996), exige a emergência de uma estrutura de mercado capaz de articular a negociação de interesses entre agentes políticos e econômicos (North, 1990). Neste contexto a existência de oportunidades de corrupção é proporcional </w:t>
      </w:r>
      <w:r w:rsidR="0084070F">
        <w:rPr>
          <w:rFonts w:asciiTheme="minorHAnsi" w:hAnsiTheme="minorHAnsi"/>
        </w:rPr>
        <w:t>às falhas de mercado existentes</w:t>
      </w:r>
      <w:r w:rsidR="00972D62" w:rsidRPr="00AB315F">
        <w:rPr>
          <w:rFonts w:asciiTheme="minorHAnsi" w:hAnsiTheme="minorHAnsi"/>
        </w:rPr>
        <w:t xml:space="preserve"> na esfera pública, dado o comportamento </w:t>
      </w:r>
      <w:r w:rsidR="00972D62" w:rsidRPr="00AB315F">
        <w:rPr>
          <w:rFonts w:asciiTheme="minorHAnsi" w:hAnsiTheme="minorHAnsi"/>
          <w:i/>
        </w:rPr>
        <w:t xml:space="preserve">rent-seeking </w:t>
      </w:r>
      <w:r w:rsidR="00972D62" w:rsidRPr="00AB315F">
        <w:rPr>
          <w:rFonts w:asciiTheme="minorHAnsi" w:hAnsiTheme="minorHAnsi"/>
        </w:rPr>
        <w:t xml:space="preserve">e </w:t>
      </w:r>
      <w:r w:rsidR="00E91878" w:rsidRPr="00AB315F">
        <w:rPr>
          <w:rFonts w:asciiTheme="minorHAnsi" w:hAnsiTheme="minorHAnsi"/>
        </w:rPr>
        <w:t>maximizador de utilidade</w:t>
      </w:r>
      <w:r w:rsidR="00972D62" w:rsidRPr="00AB315F">
        <w:rPr>
          <w:rFonts w:asciiTheme="minorHAnsi" w:hAnsiTheme="minorHAnsi"/>
        </w:rPr>
        <w:t xml:space="preserve"> dos agentes. Assim, a corrupção é concebida na ausência de estruturas de mercado ou na prevalência de um mercado imperfeito, marcado pela assimetria de informações e concorrência imperfeita – monopólio do poder discricionário. Os recursos políticos e econômicos usados para consecução de um esquema corrupto dependem do poder discricionário dos agentes delituosos. Portanto, a dimensão do estado vai determinar a oferta de oportunidades ou poder discricionário para a ocorrência de corrupção. As reformas do controle institucional devem então incentivar a competitividade e diminuição do tamanho do Estado.</w:t>
      </w:r>
    </w:p>
    <w:p w14:paraId="6BB805D2" w14:textId="77777777" w:rsidR="00972D62" w:rsidRPr="00AB315F" w:rsidRDefault="00EF44A8" w:rsidP="005A7075">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r>
      <w:r w:rsidR="00972D62" w:rsidRPr="00AB315F">
        <w:rPr>
          <w:rFonts w:asciiTheme="minorHAnsi" w:hAnsiTheme="minorHAnsi"/>
        </w:rPr>
        <w:t>As constatações desta abordagem política da corrupção, permeada pelo discurso liberalizante, são baseadas em modelos de equilíbrio ou por pesquisas comparativas (</w:t>
      </w:r>
      <w:r w:rsidR="00972D62" w:rsidRPr="00AB315F">
        <w:rPr>
          <w:rFonts w:asciiTheme="minorHAnsi" w:hAnsiTheme="minorHAnsi"/>
          <w:i/>
        </w:rPr>
        <w:t xml:space="preserve">cross-country). </w:t>
      </w:r>
      <w:r w:rsidR="00972D62" w:rsidRPr="00AB315F">
        <w:rPr>
          <w:rFonts w:asciiTheme="minorHAnsi" w:hAnsiTheme="minorHAnsi"/>
        </w:rPr>
        <w:t>Uma abordagem alternativa critica o modelo de análise pelo fato da perspectiva econômica naturalizar o conceito de corrupção e ignorar elementos culturais, soc</w:t>
      </w:r>
      <w:r w:rsidR="00E91878" w:rsidRPr="00AB315F">
        <w:rPr>
          <w:rFonts w:asciiTheme="minorHAnsi" w:hAnsiTheme="minorHAnsi"/>
        </w:rPr>
        <w:t>iais e políticos (FILGUEIRAS, 2008)</w:t>
      </w:r>
      <w:r w:rsidR="00972D62" w:rsidRPr="00AB315F">
        <w:rPr>
          <w:rFonts w:asciiTheme="minorHAnsi" w:hAnsiTheme="minorHAnsi"/>
        </w:rPr>
        <w:t>.</w:t>
      </w:r>
    </w:p>
    <w:p w14:paraId="2D2D83DC" w14:textId="77777777" w:rsidR="00535A9B" w:rsidRDefault="00972D62" w:rsidP="00535A9B">
      <w:pPr>
        <w:spacing w:after="240" w:line="360" w:lineRule="auto"/>
        <w:ind w:firstLine="708"/>
        <w:jc w:val="both"/>
        <w:rPr>
          <w:rFonts w:asciiTheme="minorHAnsi" w:hAnsiTheme="minorHAnsi"/>
        </w:rPr>
      </w:pPr>
      <w:r w:rsidRPr="00AB315F">
        <w:rPr>
          <w:rFonts w:asciiTheme="minorHAnsi" w:hAnsiTheme="minorHAnsi"/>
        </w:rPr>
        <w:t>A corrente alternativa argumenta que a corrupção tem uma forte ligação com a questão da moralidade, sendo o fenômeno fruto daquilo que a sociedade constrói como rompimento de uma orientação normativa (Filgueiras, 2006, p. 15).</w:t>
      </w:r>
      <w:r w:rsidR="00535A9B">
        <w:rPr>
          <w:rFonts w:asciiTheme="minorHAnsi" w:hAnsiTheme="minorHAnsi"/>
        </w:rPr>
        <w:t xml:space="preserve"> </w:t>
      </w:r>
      <w:r w:rsidR="00535A9B" w:rsidRPr="00AB315F">
        <w:rPr>
          <w:rFonts w:asciiTheme="minorHAnsi" w:hAnsiTheme="minorHAnsi"/>
        </w:rPr>
        <w:t>Esta perspectiva se afilia a vertente culturalista, na qual a determinação da formação da estrutura social é assentada nos aspectos da cultura política (</w:t>
      </w:r>
      <w:r w:rsidR="00535A9B" w:rsidRPr="00AB315F">
        <w:rPr>
          <w:rFonts w:asciiTheme="minorHAnsi" w:hAnsiTheme="minorHAnsi"/>
          <w:bCs/>
        </w:rPr>
        <w:t>HUSTED, 1999)</w:t>
      </w:r>
      <w:r w:rsidR="00535A9B" w:rsidRPr="00AB315F">
        <w:rPr>
          <w:rFonts w:asciiTheme="minorHAnsi" w:hAnsiTheme="minorHAnsi"/>
        </w:rPr>
        <w:t>.</w:t>
      </w:r>
    </w:p>
    <w:p w14:paraId="0DC44274" w14:textId="46285162" w:rsidR="00972D62" w:rsidRPr="00AB315F" w:rsidRDefault="00972D62" w:rsidP="00535A9B">
      <w:pPr>
        <w:spacing w:after="240" w:line="360" w:lineRule="auto"/>
        <w:ind w:firstLine="708"/>
        <w:jc w:val="both"/>
        <w:rPr>
          <w:rFonts w:asciiTheme="minorHAnsi" w:hAnsiTheme="minorHAnsi"/>
        </w:rPr>
      </w:pPr>
      <w:r w:rsidRPr="00AB315F">
        <w:rPr>
          <w:rFonts w:asciiTheme="minorHAnsi" w:hAnsiTheme="minorHAnsi"/>
        </w:rPr>
        <w:t xml:space="preserve"> Nesse sentido o fenômeno é compreendido, na esfera pública, não por orientações subjetivas ou naturalizadas, mas por orientações oferecidas pelos valores dados à socialização, ou seja, configurada pelos substratos políticos que dão sustentação </w:t>
      </w:r>
      <w:r w:rsidRPr="00AB315F">
        <w:rPr>
          <w:rFonts w:asciiTheme="minorHAnsi" w:hAnsiTheme="minorHAnsi"/>
        </w:rPr>
        <w:lastRenderedPageBreak/>
        <w:t>à norma, e que estão relacionados aos elementos fundacionais, sociais, culturais e econômicos da corrupção. Os juízos de valores morais são necessariamente expressão de uma adesão interna dos indivíduos ao plano dos valores, criados de forma consensual de vida, que orienta o agir na realidade social.</w:t>
      </w:r>
    </w:p>
    <w:p w14:paraId="278811E5" w14:textId="58087D7D" w:rsidR="00E91878" w:rsidRPr="00AB315F" w:rsidRDefault="00E91878" w:rsidP="0084070F">
      <w:pPr>
        <w:spacing w:after="240"/>
        <w:ind w:left="2268"/>
        <w:jc w:val="both"/>
        <w:rPr>
          <w:rFonts w:asciiTheme="minorHAnsi" w:hAnsiTheme="minorHAnsi"/>
          <w:sz w:val="22"/>
        </w:rPr>
      </w:pPr>
      <w:r w:rsidRPr="00AB315F">
        <w:rPr>
          <w:rFonts w:asciiTheme="minorHAnsi" w:hAnsiTheme="minorHAnsi"/>
          <w:i/>
          <w:sz w:val="22"/>
        </w:rPr>
        <w:t xml:space="preserve">A corrupção, dessa forma, pode ser compreendida levando-se em consideração aspectos morais que estão pressupostos na prática social ordinária. É fundamental considerar os aspectos normativos envolvidos no tema da corrupção e o modo como a construção de sua significação social depende de valores que circulam no plano da </w:t>
      </w:r>
      <w:r w:rsidR="007F2C6A" w:rsidRPr="00AB315F">
        <w:rPr>
          <w:rFonts w:asciiTheme="minorHAnsi" w:hAnsiTheme="minorHAnsi"/>
          <w:i/>
          <w:sz w:val="22"/>
        </w:rPr>
        <w:t>sociedade</w:t>
      </w:r>
      <w:r w:rsidR="007F2C6A" w:rsidRPr="00AB315F">
        <w:rPr>
          <w:rFonts w:asciiTheme="minorHAnsi" w:hAnsiTheme="minorHAnsi"/>
          <w:sz w:val="22"/>
        </w:rPr>
        <w:t>. ”</w:t>
      </w:r>
      <w:r w:rsidR="00B40B36" w:rsidRPr="00AB315F">
        <w:rPr>
          <w:rFonts w:asciiTheme="minorHAnsi" w:hAnsiTheme="minorHAnsi"/>
          <w:sz w:val="22"/>
        </w:rPr>
        <w:t xml:space="preserve"> </w:t>
      </w:r>
      <w:r w:rsidR="0084070F">
        <w:rPr>
          <w:rFonts w:asciiTheme="minorHAnsi" w:hAnsiTheme="minorHAnsi"/>
          <w:sz w:val="22"/>
        </w:rPr>
        <w:t>(FILGUEIRAS, 2009)</w:t>
      </w:r>
    </w:p>
    <w:p w14:paraId="03B33EFE" w14:textId="1032601B" w:rsidR="00AE634B" w:rsidRDefault="004D44C6" w:rsidP="005A7075">
      <w:pPr>
        <w:spacing w:after="240" w:line="360" w:lineRule="auto"/>
        <w:ind w:firstLine="708"/>
        <w:jc w:val="both"/>
        <w:rPr>
          <w:rFonts w:asciiTheme="minorHAnsi" w:hAnsiTheme="minorHAnsi"/>
        </w:rPr>
      </w:pPr>
      <w:r w:rsidRPr="00AB315F">
        <w:rPr>
          <w:rFonts w:asciiTheme="minorHAnsi" w:hAnsiTheme="minorHAnsi"/>
        </w:rPr>
        <w:t xml:space="preserve">A perspectiva culturalista é central a este trabalho pois, é a mesma mobilizada </w:t>
      </w:r>
      <w:r w:rsidR="008C26BC">
        <w:rPr>
          <w:rFonts w:asciiTheme="minorHAnsi" w:hAnsiTheme="minorHAnsi"/>
        </w:rPr>
        <w:t>em grande parte</w:t>
      </w:r>
      <w:r w:rsidRPr="00AB315F">
        <w:rPr>
          <w:rFonts w:asciiTheme="minorHAnsi" w:hAnsiTheme="minorHAnsi"/>
        </w:rPr>
        <w:t xml:space="preserve"> das pesquisas para operacionalizar a dimensão da aceitação da corrupção e relacionar o fenômeno à conjunto de valores, crenças e atitudes compartilhadas</w:t>
      </w:r>
      <w:r w:rsidR="00AE634B" w:rsidRPr="00AB315F">
        <w:rPr>
          <w:rStyle w:val="Refdenotaderodap"/>
          <w:rFonts w:asciiTheme="minorHAnsi" w:hAnsiTheme="minorHAnsi"/>
        </w:rPr>
        <w:footnoteReference w:id="12"/>
      </w:r>
      <w:r w:rsidRPr="00AB315F">
        <w:rPr>
          <w:rFonts w:asciiTheme="minorHAnsi" w:hAnsiTheme="minorHAnsi"/>
        </w:rPr>
        <w:t>.  A</w:t>
      </w:r>
      <w:r w:rsidR="001F4D86" w:rsidRPr="00AB315F">
        <w:rPr>
          <w:rFonts w:asciiTheme="minorHAnsi" w:hAnsiTheme="minorHAnsi"/>
        </w:rPr>
        <w:t>demais, a</w:t>
      </w:r>
      <w:r w:rsidRPr="00AB315F">
        <w:rPr>
          <w:rFonts w:asciiTheme="minorHAnsi" w:hAnsiTheme="minorHAnsi"/>
        </w:rPr>
        <w:t xml:space="preserve"> leitura de Filgueiras (2009) </w:t>
      </w:r>
      <w:r w:rsidR="004445FE">
        <w:rPr>
          <w:rFonts w:asciiTheme="minorHAnsi" w:hAnsiTheme="minorHAnsi"/>
        </w:rPr>
        <w:t>posiciona a tolerância à corrupção</w:t>
      </w:r>
      <w:r w:rsidR="001F4D86" w:rsidRPr="00AB315F">
        <w:rPr>
          <w:rFonts w:asciiTheme="minorHAnsi" w:hAnsiTheme="minorHAnsi"/>
        </w:rPr>
        <w:t xml:space="preserve"> na contradição entre juízos de valores e juízos de necessidade, e torna-se profícua à interpretação de possíveis erros de medida das mensurações</w:t>
      </w:r>
      <w:r w:rsidR="00EF1FDC">
        <w:rPr>
          <w:rFonts w:asciiTheme="minorHAnsi" w:hAnsiTheme="minorHAnsi"/>
        </w:rPr>
        <w:t>.</w:t>
      </w:r>
      <w:r w:rsidR="00AE634B" w:rsidRPr="00AB315F">
        <w:rPr>
          <w:rFonts w:asciiTheme="minorHAnsi" w:hAnsiTheme="minorHAnsi"/>
        </w:rPr>
        <w:t xml:space="preserve"> </w:t>
      </w:r>
    </w:p>
    <w:p w14:paraId="170A4EDE" w14:textId="040F1C84" w:rsidR="00535A9B" w:rsidRPr="00AB315F" w:rsidRDefault="00535A9B" w:rsidP="00535A9B">
      <w:pPr>
        <w:spacing w:after="240"/>
        <w:ind w:left="2268"/>
        <w:jc w:val="both"/>
        <w:rPr>
          <w:rFonts w:asciiTheme="minorHAnsi" w:hAnsiTheme="minorHAnsi"/>
          <w:sz w:val="22"/>
        </w:rPr>
      </w:pPr>
      <w:r w:rsidRPr="00AB315F">
        <w:rPr>
          <w:rFonts w:asciiTheme="minorHAnsi" w:hAnsiTheme="minorHAnsi"/>
          <w:sz w:val="22"/>
        </w:rPr>
        <w:t>“A antinomia entre normas morais e prática social cria um contexto de tolerância à corrupção que explica o fato de atores, consensualmente, concordarem com a importância de valores fundamentais como respeito, honestidade, decoro e virtudes políticas, mas, ao mesmo tempo, concordarem que, na política, um pouco de desonestidade pode cumprir uma função importante. Os juízos morais de valor - pautados pela vida pela excelência - e os juízos de necessidade - pautados pela vida cotidiana - explicam a antinomia existente entre normas morais e prática social da corrupção, de acordo com a definição de limites teóricos que a circunscr</w:t>
      </w:r>
      <w:r w:rsidR="007F2C6A">
        <w:rPr>
          <w:rFonts w:asciiTheme="minorHAnsi" w:hAnsiTheme="minorHAnsi"/>
          <w:sz w:val="22"/>
        </w:rPr>
        <w:t>evem.”   – (FILGUEIRAS 2009, pag. 23</w:t>
      </w:r>
      <w:r w:rsidRPr="00AB315F">
        <w:rPr>
          <w:rFonts w:asciiTheme="minorHAnsi" w:hAnsiTheme="minorHAnsi"/>
          <w:sz w:val="22"/>
        </w:rPr>
        <w:t>)</w:t>
      </w:r>
    </w:p>
    <w:p w14:paraId="6928F4CC" w14:textId="090BC6A0" w:rsidR="00EF44A8" w:rsidRDefault="008B0E54" w:rsidP="005A7075">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r>
      <w:r w:rsidR="00EF1FDC">
        <w:rPr>
          <w:rFonts w:asciiTheme="minorHAnsi" w:hAnsiTheme="minorHAnsi"/>
        </w:rPr>
        <w:t>S</w:t>
      </w:r>
      <w:r w:rsidR="0069390E" w:rsidRPr="00AB315F">
        <w:rPr>
          <w:rFonts w:asciiTheme="minorHAnsi" w:hAnsiTheme="minorHAnsi"/>
        </w:rPr>
        <w:t>eguindo a argumentação de (Filgueiras 2008a), a corrupção é um juízo moral, tendo como referência determinadas ações políticas corretas ou incorretas.</w:t>
      </w:r>
      <w:r w:rsidR="00927451" w:rsidRPr="00AB315F">
        <w:rPr>
          <w:rFonts w:asciiTheme="minorHAnsi" w:hAnsiTheme="minorHAnsi"/>
        </w:rPr>
        <w:t xml:space="preserve"> A partir deste princípio, a tolerância à corrupção é explicada pela coexistência de juízos de valor e de necessidade, o primeiro atrelado à primazia de valores como respeito e honestidade e, o segundo, dependente de circunstâncias cotidianas. </w:t>
      </w:r>
    </w:p>
    <w:p w14:paraId="779DA4AD" w14:textId="363D3F64" w:rsidR="00EF1FDC" w:rsidRDefault="00EF1FDC" w:rsidP="00EF1FDC">
      <w:pPr>
        <w:spacing w:after="240" w:line="360" w:lineRule="auto"/>
        <w:ind w:firstLine="708"/>
        <w:jc w:val="both"/>
        <w:rPr>
          <w:rFonts w:asciiTheme="minorHAnsi" w:hAnsiTheme="minorHAnsi"/>
        </w:rPr>
      </w:pPr>
      <w:r>
        <w:rPr>
          <w:rFonts w:asciiTheme="minorHAnsi" w:hAnsiTheme="minorHAnsi"/>
        </w:rPr>
        <w:t xml:space="preserve">A perspectiva culturalista seria a base do entendimento de que as respostas de entrevistados sobre atitudes que rompem com normas sociais podem expressar muito </w:t>
      </w:r>
      <w:r>
        <w:rPr>
          <w:rFonts w:asciiTheme="minorHAnsi" w:hAnsiTheme="minorHAnsi"/>
        </w:rPr>
        <w:lastRenderedPageBreak/>
        <w:t>da inclinação</w:t>
      </w:r>
      <w:r w:rsidRPr="00AB315F">
        <w:rPr>
          <w:rFonts w:asciiTheme="minorHAnsi" w:hAnsiTheme="minorHAnsi"/>
        </w:rPr>
        <w:t xml:space="preserve"> em aderir a valores</w:t>
      </w:r>
      <w:r>
        <w:rPr>
          <w:rFonts w:asciiTheme="minorHAnsi" w:hAnsiTheme="minorHAnsi"/>
        </w:rPr>
        <w:t xml:space="preserve"> - caros e desejáveis</w:t>
      </w:r>
      <w:r w:rsidRPr="00AB315F">
        <w:rPr>
          <w:rFonts w:asciiTheme="minorHAnsi" w:hAnsiTheme="minorHAnsi"/>
        </w:rPr>
        <w:t xml:space="preserve"> à vida política e social</w:t>
      </w:r>
      <w:r>
        <w:rPr>
          <w:rFonts w:asciiTheme="minorHAnsi" w:hAnsiTheme="minorHAnsi"/>
        </w:rPr>
        <w:t xml:space="preserve"> – entretanto, as mesmas não podem revelar que o entrevistado adere aos mesmos valores quando posto diante uma realidade prática marcada por um contexto de necessidade.</w:t>
      </w:r>
      <w:r w:rsidRPr="00AB315F">
        <w:rPr>
          <w:rFonts w:asciiTheme="minorHAnsi" w:hAnsiTheme="minorHAnsi"/>
        </w:rPr>
        <w:t xml:space="preserve"> </w:t>
      </w:r>
      <w:r>
        <w:rPr>
          <w:rFonts w:asciiTheme="minorHAnsi" w:hAnsiTheme="minorHAnsi"/>
        </w:rPr>
        <w:t xml:space="preserve">Em outras palavras, a medida de aceitação da corrupção pode mensurar mais do “clima de opinião” em relação as atitudes – uma vez que captada a nível do discurso – do que a real inclinação do indivíduo em agir diante de uma situação prática. </w:t>
      </w:r>
    </w:p>
    <w:p w14:paraId="50744FBC" w14:textId="36FF6E03" w:rsidR="00390658" w:rsidRPr="00AB315F" w:rsidRDefault="008B0E54" w:rsidP="005A7075">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r>
      <w:r w:rsidR="00AC7592" w:rsidRPr="00AB315F">
        <w:rPr>
          <w:rFonts w:asciiTheme="minorHAnsi" w:hAnsiTheme="minorHAnsi"/>
        </w:rPr>
        <w:t xml:space="preserve">Toda a literatura que mobiliza a medida de aceitação da corrupção, delimita sua análise ao cotidiano dos cidadãos comuns. </w:t>
      </w:r>
      <w:r w:rsidR="00390658" w:rsidRPr="00AB315F">
        <w:rPr>
          <w:rFonts w:asciiTheme="minorHAnsi" w:hAnsiTheme="minorHAnsi"/>
        </w:rPr>
        <w:t>Identificadas na introdução, itens de respostas sobre justificar ou não ações cotidianas como: sonegar impostos, evitar tarifas de transporte, receber benefícios do governo sem ter direito a eles e aceitar propina no cumprimento de um dever – são consideradas pela literatura corrupção ao nível do cotidiano</w:t>
      </w:r>
      <w:r w:rsidR="00390658" w:rsidRPr="00AB315F">
        <w:rPr>
          <w:rStyle w:val="Refdenotaderodap"/>
          <w:rFonts w:asciiTheme="minorHAnsi" w:hAnsiTheme="minorHAnsi"/>
        </w:rPr>
        <w:footnoteReference w:id="13"/>
      </w:r>
      <w:r w:rsidR="00390658" w:rsidRPr="00AB315F">
        <w:rPr>
          <w:rFonts w:asciiTheme="minorHAnsi" w:hAnsiTheme="minorHAnsi"/>
        </w:rPr>
        <w:t>.</w:t>
      </w:r>
    </w:p>
    <w:p w14:paraId="1CADEE98" w14:textId="0CF153B2" w:rsidR="00EF1FDC" w:rsidRPr="00AB315F" w:rsidRDefault="00495478" w:rsidP="00AE6561">
      <w:pPr>
        <w:tabs>
          <w:tab w:val="left" w:pos="540"/>
        </w:tabs>
        <w:autoSpaceDE w:val="0"/>
        <w:autoSpaceDN w:val="0"/>
        <w:adjustRightInd w:val="0"/>
        <w:spacing w:after="240" w:line="360" w:lineRule="auto"/>
        <w:jc w:val="both"/>
        <w:rPr>
          <w:rFonts w:asciiTheme="minorHAnsi" w:hAnsiTheme="minorHAnsi"/>
        </w:rPr>
      </w:pPr>
      <w:r w:rsidRPr="00AB315F">
        <w:rPr>
          <w:rFonts w:asciiTheme="minorHAnsi" w:hAnsiTheme="minorHAnsi"/>
        </w:rPr>
        <w:tab/>
        <w:t>De</w:t>
      </w:r>
      <w:r w:rsidR="00EF1FDC">
        <w:rPr>
          <w:rFonts w:asciiTheme="minorHAnsi" w:hAnsiTheme="minorHAnsi"/>
        </w:rPr>
        <w:t xml:space="preserve"> uma</w:t>
      </w:r>
      <w:r w:rsidRPr="00AB315F">
        <w:rPr>
          <w:rFonts w:asciiTheme="minorHAnsi" w:hAnsiTheme="minorHAnsi"/>
        </w:rPr>
        <w:t xml:space="preserve"> forma geral, as pesquisas</w:t>
      </w:r>
      <w:r w:rsidR="00EF1FDC">
        <w:rPr>
          <w:rFonts w:asciiTheme="minorHAnsi" w:hAnsiTheme="minorHAnsi"/>
        </w:rPr>
        <w:t xml:space="preserve"> estão calcadas na perspectiva culturalista e</w:t>
      </w:r>
      <w:r w:rsidRPr="00AB315F">
        <w:rPr>
          <w:rFonts w:asciiTheme="minorHAnsi" w:hAnsiTheme="minorHAnsi"/>
        </w:rPr>
        <w:t xml:space="preserve"> consideram que justificar ou não tais atos depende de uma adesão dos cidadãos à valores dados à socialização. Dito de outra forma, a</w:t>
      </w:r>
      <w:r w:rsidR="00D47BF8" w:rsidRPr="00AB315F">
        <w:rPr>
          <w:rFonts w:asciiTheme="minorHAnsi" w:hAnsiTheme="minorHAnsi"/>
        </w:rPr>
        <w:t xml:space="preserve"> literatura</w:t>
      </w:r>
      <w:r w:rsidR="008B0E54" w:rsidRPr="00AB315F">
        <w:rPr>
          <w:rFonts w:asciiTheme="minorHAnsi" w:hAnsiTheme="minorHAnsi"/>
        </w:rPr>
        <w:t xml:space="preserve"> investiga relações de causa e e</w:t>
      </w:r>
      <w:r w:rsidR="00D47BF8" w:rsidRPr="00AB315F">
        <w:rPr>
          <w:rFonts w:asciiTheme="minorHAnsi" w:hAnsiTheme="minorHAnsi"/>
        </w:rPr>
        <w:t>feito da aceitação da corrupção e</w:t>
      </w:r>
      <w:r w:rsidR="008B0E54" w:rsidRPr="00AB315F">
        <w:rPr>
          <w:rFonts w:asciiTheme="minorHAnsi" w:hAnsiTheme="minorHAnsi"/>
        </w:rPr>
        <w:t xml:space="preserve"> tem como principal</w:t>
      </w:r>
      <w:r w:rsidR="00E91C3C" w:rsidRPr="00AB315F">
        <w:rPr>
          <w:rFonts w:asciiTheme="minorHAnsi" w:hAnsiTheme="minorHAnsi"/>
        </w:rPr>
        <w:t xml:space="preserve"> argumento que a uma mudança </w:t>
      </w:r>
      <w:r w:rsidR="00390658" w:rsidRPr="00AB315F">
        <w:rPr>
          <w:rFonts w:asciiTheme="minorHAnsi" w:hAnsiTheme="minorHAnsi"/>
        </w:rPr>
        <w:t>nos níveis de aceitaç</w:t>
      </w:r>
      <w:r w:rsidR="00E91C3C" w:rsidRPr="00AB315F">
        <w:rPr>
          <w:rFonts w:asciiTheme="minorHAnsi" w:hAnsiTheme="minorHAnsi"/>
        </w:rPr>
        <w:t xml:space="preserve">ão é função </w:t>
      </w:r>
      <w:r w:rsidR="00D47BF8" w:rsidRPr="00AB315F">
        <w:rPr>
          <w:rFonts w:asciiTheme="minorHAnsi" w:hAnsiTheme="minorHAnsi"/>
        </w:rPr>
        <w:t xml:space="preserve">de </w:t>
      </w:r>
      <w:r w:rsidR="00DF5977" w:rsidRPr="00AB315F">
        <w:rPr>
          <w:rFonts w:asciiTheme="minorHAnsi" w:hAnsiTheme="minorHAnsi"/>
        </w:rPr>
        <w:t>variáveis que expressa</w:t>
      </w:r>
      <w:r w:rsidR="008B0E54" w:rsidRPr="00AB315F">
        <w:rPr>
          <w:rFonts w:asciiTheme="minorHAnsi" w:hAnsiTheme="minorHAnsi"/>
        </w:rPr>
        <w:t>m dimensões da cultura políti</w:t>
      </w:r>
      <w:r w:rsidR="00D47BF8" w:rsidRPr="00AB315F">
        <w:rPr>
          <w:rFonts w:asciiTheme="minorHAnsi" w:hAnsiTheme="minorHAnsi"/>
        </w:rPr>
        <w:t xml:space="preserve">ca, como: valores democráticos, valores pós-materialistas, crença religiosa, confiança interpessoal, confiança política, participação, entre outros. </w:t>
      </w:r>
      <w:r w:rsidR="00AE6561">
        <w:rPr>
          <w:rFonts w:asciiTheme="minorHAnsi" w:hAnsiTheme="minorHAnsi"/>
        </w:rPr>
        <w:t>O próximo t</w:t>
      </w:r>
      <w:r w:rsidR="00EF1FDC">
        <w:rPr>
          <w:rFonts w:asciiTheme="minorHAnsi" w:hAnsiTheme="minorHAnsi"/>
        </w:rPr>
        <w:t xml:space="preserve">ópico trata de como </w:t>
      </w:r>
      <w:r w:rsidR="0041147C">
        <w:rPr>
          <w:rFonts w:asciiTheme="minorHAnsi" w:hAnsiTheme="minorHAnsi"/>
        </w:rPr>
        <w:t xml:space="preserve">a literatura operacionaliza a medida de aceitação para abordar as relações de causa e efeito da tolerância da corrupção. </w:t>
      </w:r>
    </w:p>
    <w:p w14:paraId="78B98151" w14:textId="06815543" w:rsidR="00D71807" w:rsidRPr="00AE6561" w:rsidRDefault="00AE6561" w:rsidP="00AE6561">
      <w:pPr>
        <w:pStyle w:val="Ttulo2"/>
        <w:spacing w:after="240"/>
        <w:rPr>
          <w:color w:val="auto"/>
        </w:rPr>
      </w:pPr>
      <w:bookmarkStart w:id="13" w:name="_Toc456241247"/>
      <w:r w:rsidRPr="00AE6561">
        <w:rPr>
          <w:color w:val="auto"/>
        </w:rPr>
        <w:t>1.4</w:t>
      </w:r>
      <w:r w:rsidR="00D71807" w:rsidRPr="00AE6561">
        <w:rPr>
          <w:color w:val="auto"/>
        </w:rPr>
        <w:t xml:space="preserve"> </w:t>
      </w:r>
      <w:bookmarkStart w:id="14" w:name="_Toc408145656"/>
      <w:r w:rsidR="00D71807" w:rsidRPr="00AE6561">
        <w:rPr>
          <w:color w:val="auto"/>
        </w:rPr>
        <w:t>Achados e operacionalização da “aceitação a corrupção” na literatura</w:t>
      </w:r>
      <w:bookmarkEnd w:id="13"/>
      <w:bookmarkEnd w:id="14"/>
    </w:p>
    <w:p w14:paraId="29708E50" w14:textId="77777777" w:rsidR="0041147C" w:rsidRDefault="00D71807" w:rsidP="00AE6561">
      <w:pPr>
        <w:spacing w:after="240" w:line="360" w:lineRule="auto"/>
        <w:ind w:firstLine="708"/>
        <w:jc w:val="both"/>
        <w:rPr>
          <w:rFonts w:asciiTheme="minorHAnsi" w:hAnsiTheme="minorHAnsi"/>
        </w:rPr>
      </w:pPr>
      <w:r w:rsidRPr="00AB315F">
        <w:rPr>
          <w:rFonts w:asciiTheme="minorHAnsi" w:hAnsiTheme="minorHAnsi"/>
        </w:rPr>
        <w:t xml:space="preserve">Maingot (1994) resume os principais nexos das perspectivas mais usuais na análise da aceitação: a culturalista e a econômica. A primeira é ancorada no suposto de que a cultura importa e se aproxima a teorias bem estabelecidas do comportamento criminal, as quais enfatizam o processo de socialização em dois aspectos. O primeiro significa que oficiais públicos são corruptos porque existe uma bifurcação do senso </w:t>
      </w:r>
      <w:r w:rsidRPr="00AB315F">
        <w:rPr>
          <w:rFonts w:asciiTheme="minorHAnsi" w:hAnsiTheme="minorHAnsi"/>
        </w:rPr>
        <w:lastRenderedPageBreak/>
        <w:t xml:space="preserve">moral no qual a aceitação da corrupção em escritórios públicos não só é alta como também é a regra ou altamente aprovada. O segundo se refere a um diferencial de associação, onde interações e associações entre indivíduos que praticam atos desviantes só reforça tais atitudes. </w:t>
      </w:r>
    </w:p>
    <w:p w14:paraId="030D3B77" w14:textId="5E1062A3" w:rsidR="0041147C" w:rsidRDefault="00D71807" w:rsidP="0041147C">
      <w:pPr>
        <w:spacing w:after="240" w:line="360" w:lineRule="auto"/>
        <w:ind w:firstLine="708"/>
        <w:jc w:val="both"/>
        <w:rPr>
          <w:rFonts w:asciiTheme="minorHAnsi" w:hAnsiTheme="minorHAnsi"/>
        </w:rPr>
      </w:pPr>
      <w:r w:rsidRPr="00AB315F">
        <w:rPr>
          <w:rFonts w:asciiTheme="minorHAnsi" w:hAnsiTheme="minorHAnsi"/>
        </w:rPr>
        <w:t>O autor ainda revisa o que seria a perspectiva do conflito social, a qual assume que devido a obstáculos à legitimação da mobilidade social – entendidos pela natureza da estratificação social - existe uma motivação a utilizar de meios indevidos ou desviantes em detrimento daqueles socialmente aceitos para alcançar posições mais altas.</w:t>
      </w:r>
    </w:p>
    <w:p w14:paraId="2C47BE8F" w14:textId="2DAEE414" w:rsidR="00D71807" w:rsidRPr="00AB315F" w:rsidRDefault="00D71807" w:rsidP="0041147C">
      <w:pPr>
        <w:spacing w:after="240" w:line="360" w:lineRule="auto"/>
        <w:ind w:firstLine="708"/>
        <w:jc w:val="both"/>
        <w:rPr>
          <w:rFonts w:asciiTheme="minorHAnsi" w:hAnsiTheme="minorHAnsi"/>
        </w:rPr>
      </w:pPr>
      <w:r w:rsidRPr="00AB315F">
        <w:rPr>
          <w:rFonts w:asciiTheme="minorHAnsi" w:hAnsiTheme="minorHAnsi"/>
        </w:rPr>
        <w:t xml:space="preserve"> Por fim, Maignot (1994) descreve as teorias que enfatizam uma escolha individual através de uma ação racional, ou uma escolha utilitária. Esta perspectiva, com foco no indivíduo, sugere que diante da possibilidade de se corromper o agente é capaz de ponderar racionalmente os custos e benefícios morais e materiais de determinada ação. Nesse sentido Maignot argumenta que elementos como sentimentos morais e medo da desaprovação popular devem representar um importante peso para o agir diante da possibilidade de atitudes corruptas.</w:t>
      </w:r>
    </w:p>
    <w:p w14:paraId="57664BB0" w14:textId="5BD50B57"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 xml:space="preserve">Diante da formulação teórico-conceitual de corrupção, a maioria </w:t>
      </w:r>
      <w:r w:rsidR="0041147C">
        <w:rPr>
          <w:rFonts w:asciiTheme="minorHAnsi" w:hAnsiTheme="minorHAnsi"/>
        </w:rPr>
        <w:t>dos trabalhos que mobilizaram a medida</w:t>
      </w:r>
      <w:r w:rsidRPr="00AB315F">
        <w:rPr>
          <w:rFonts w:asciiTheme="minorHAnsi" w:hAnsiTheme="minorHAnsi"/>
        </w:rPr>
        <w:t xml:space="preserve"> de ace</w:t>
      </w:r>
      <w:r w:rsidR="0041147C">
        <w:rPr>
          <w:rFonts w:asciiTheme="minorHAnsi" w:hAnsiTheme="minorHAnsi"/>
        </w:rPr>
        <w:t>itação e tolerância considerada</w:t>
      </w:r>
      <w:r w:rsidRPr="00AB315F">
        <w:rPr>
          <w:rFonts w:asciiTheme="minorHAnsi" w:hAnsiTheme="minorHAnsi"/>
        </w:rPr>
        <w:t xml:space="preserve"> neste trabalho, valem-se do arcabouço teórico orientado à vertente culturalista. Os autores se debruçaram a compreender causas e efeitos da aceitação da corrupção, geralme</w:t>
      </w:r>
      <w:r w:rsidR="0084070F">
        <w:rPr>
          <w:rFonts w:asciiTheme="minorHAnsi" w:hAnsiTheme="minorHAnsi"/>
        </w:rPr>
        <w:t>nte utilizando-se da medida de “a</w:t>
      </w:r>
      <w:r w:rsidRPr="00AB315F">
        <w:rPr>
          <w:rFonts w:asciiTheme="minorHAnsi" w:hAnsiTheme="minorHAnsi"/>
        </w:rPr>
        <w:t>ceitação da corrupção</w:t>
      </w:r>
      <w:r w:rsidR="0084070F">
        <w:rPr>
          <w:rFonts w:asciiTheme="minorHAnsi" w:hAnsiTheme="minorHAnsi"/>
        </w:rPr>
        <w:t>”</w:t>
      </w:r>
      <w:r w:rsidRPr="00AB315F">
        <w:rPr>
          <w:rFonts w:asciiTheme="minorHAnsi" w:hAnsiTheme="minorHAnsi"/>
        </w:rPr>
        <w:t>.</w:t>
      </w:r>
    </w:p>
    <w:p w14:paraId="68982D89" w14:textId="3BE6E100"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 xml:space="preserve">Um dos primeiros trabalhos a utilizar o indicador de aceitação com base nos dados do World Valeu Survey, Moreno (2002) ocupa-se com a ideia de que a aceitação da corrupção significaria a justificação de práticas corruptas, ou a disposição em aceitar ou tolerar práticas corruptas na sociedade.  Ao considerar a dimensão cultural das práticas o autor avalia a relação entre indicadores de cultura política democrática – apoio a democracia e confiança interpessoal – e o indicador de aceitação da corrupção para uma amostra de 64 países. Segundo Alejandro Moreno, apesar das instituições funcionarem como restrições à corrupção e cumprirem um papel fundamental à inibição do fenômeno, a aceitação das práticas corruptas é culturalmente antidemocrática, ou </w:t>
      </w:r>
      <w:r w:rsidRPr="00AB315F">
        <w:rPr>
          <w:rFonts w:asciiTheme="minorHAnsi" w:hAnsiTheme="minorHAnsi"/>
        </w:rPr>
        <w:lastRenderedPageBreak/>
        <w:t xml:space="preserve">seja, existe uma larga base cultural que justifica a corrupção. </w:t>
      </w:r>
      <w:r w:rsidR="00F439E9">
        <w:rPr>
          <w:rFonts w:asciiTheme="minorHAnsi" w:hAnsiTheme="minorHAnsi"/>
        </w:rPr>
        <w:t>Moreno (2002) já introduz a possibilidade do efeito de desejabilidade social na a operacionalização do conceito de aceitação através do indicador corrupção. A</w:t>
      </w:r>
      <w:r w:rsidRPr="00AB315F">
        <w:rPr>
          <w:rFonts w:asciiTheme="minorHAnsi" w:hAnsiTheme="minorHAnsi"/>
        </w:rPr>
        <w:t xml:space="preserve">s respostas </w:t>
      </w:r>
      <w:r w:rsidR="00F439E9">
        <w:rPr>
          <w:rFonts w:asciiTheme="minorHAnsi" w:hAnsiTheme="minorHAnsi"/>
        </w:rPr>
        <w:t>de</w:t>
      </w:r>
      <w:r w:rsidRPr="00AB315F">
        <w:rPr>
          <w:rFonts w:asciiTheme="minorHAnsi" w:hAnsiTheme="minorHAnsi"/>
        </w:rPr>
        <w:t xml:space="preserve"> entrevistados</w:t>
      </w:r>
      <w:r w:rsidR="00F439E9">
        <w:rPr>
          <w:rFonts w:asciiTheme="minorHAnsi" w:hAnsiTheme="minorHAnsi"/>
        </w:rPr>
        <w:t xml:space="preserve"> que consideram </w:t>
      </w:r>
      <w:r w:rsidRPr="00AB315F">
        <w:rPr>
          <w:rFonts w:asciiTheme="minorHAnsi" w:hAnsiTheme="minorHAnsi"/>
        </w:rPr>
        <w:t>práticas corruptas</w:t>
      </w:r>
      <w:r w:rsidR="00F439E9">
        <w:rPr>
          <w:rFonts w:asciiTheme="minorHAnsi" w:hAnsiTheme="minorHAnsi"/>
        </w:rPr>
        <w:t xml:space="preserve"> como justificáveis</w:t>
      </w:r>
      <w:r w:rsidRPr="00AB315F">
        <w:rPr>
          <w:rFonts w:asciiTheme="minorHAnsi" w:hAnsiTheme="minorHAnsi"/>
        </w:rPr>
        <w:t xml:space="preserve"> pode</w:t>
      </w:r>
      <w:r w:rsidR="00F439E9">
        <w:rPr>
          <w:rFonts w:asciiTheme="minorHAnsi" w:hAnsiTheme="minorHAnsi"/>
        </w:rPr>
        <w:t>m</w:t>
      </w:r>
      <w:r w:rsidRPr="00AB315F">
        <w:rPr>
          <w:rFonts w:asciiTheme="minorHAnsi" w:hAnsiTheme="minorHAnsi"/>
        </w:rPr>
        <w:t xml:space="preserve"> estar contaminada</w:t>
      </w:r>
      <w:r w:rsidR="00F439E9">
        <w:rPr>
          <w:rFonts w:asciiTheme="minorHAnsi" w:hAnsiTheme="minorHAnsi"/>
        </w:rPr>
        <w:t>s</w:t>
      </w:r>
      <w:r w:rsidRPr="00AB315F">
        <w:rPr>
          <w:rFonts w:asciiTheme="minorHAnsi" w:hAnsiTheme="minorHAnsi"/>
        </w:rPr>
        <w:t xml:space="preserve"> com </w:t>
      </w:r>
      <w:r w:rsidR="00F439E9">
        <w:rPr>
          <w:rFonts w:asciiTheme="minorHAnsi" w:hAnsiTheme="minorHAnsi"/>
        </w:rPr>
        <w:t>o viés de “desejo” social, na medida em que</w:t>
      </w:r>
      <w:r w:rsidRPr="00AB315F">
        <w:rPr>
          <w:rFonts w:asciiTheme="minorHAnsi" w:hAnsiTheme="minorHAnsi"/>
        </w:rPr>
        <w:t xml:space="preserve"> seria difícil de admitir que tais práticas são aceitáveis</w:t>
      </w:r>
      <w:r w:rsidR="00B94440">
        <w:rPr>
          <w:rFonts w:asciiTheme="minorHAnsi" w:hAnsiTheme="minorHAnsi"/>
        </w:rPr>
        <w:t>,</w:t>
      </w:r>
      <w:r w:rsidRPr="00AB315F">
        <w:rPr>
          <w:rFonts w:asciiTheme="minorHAnsi" w:hAnsiTheme="minorHAnsi"/>
        </w:rPr>
        <w:t xml:space="preserve"> </w:t>
      </w:r>
      <w:r w:rsidR="00B94440">
        <w:rPr>
          <w:rFonts w:asciiTheme="minorHAnsi" w:hAnsiTheme="minorHAnsi"/>
        </w:rPr>
        <w:t xml:space="preserve">uma vez que </w:t>
      </w:r>
      <w:r w:rsidRPr="00AB315F">
        <w:rPr>
          <w:rFonts w:asciiTheme="minorHAnsi" w:hAnsiTheme="minorHAnsi"/>
        </w:rPr>
        <w:t xml:space="preserve">socialmente </w:t>
      </w:r>
      <w:r w:rsidR="00B94440">
        <w:rPr>
          <w:rFonts w:asciiTheme="minorHAnsi" w:hAnsiTheme="minorHAnsi"/>
        </w:rPr>
        <w:t>indesejáveis</w:t>
      </w:r>
      <w:r w:rsidRPr="00AB315F">
        <w:rPr>
          <w:rFonts w:asciiTheme="minorHAnsi" w:hAnsiTheme="minorHAnsi"/>
        </w:rPr>
        <w:t>.</w:t>
      </w:r>
    </w:p>
    <w:p w14:paraId="3117CADF" w14:textId="6C94219B"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De modo similar, Moreno e Catterberg (2005) – ao mobilizar a ideia de que a medida de aceitação da corrupção seria uma inclinação a justificar atos de corrupção na sociedade – indicaram que aspectos organizacionais e participativos da vida social, dimensões do conceito mais amplo de capital social, estariam negativamente relacionados à medida de aceitação. Os autores estimam os efeitos aceitação da corrupção na conf</w:t>
      </w:r>
      <w:r w:rsidR="0084070F">
        <w:rPr>
          <w:rFonts w:asciiTheme="minorHAnsi" w:hAnsiTheme="minorHAnsi"/>
        </w:rPr>
        <w:t>iança interpessoal e</w:t>
      </w:r>
      <w:r w:rsidRPr="00AB315F">
        <w:rPr>
          <w:rFonts w:asciiTheme="minorHAnsi" w:hAnsiTheme="minorHAnsi"/>
        </w:rPr>
        <w:t xml:space="preserve"> os resultados sugerem que esta relação causal ocorre de maneira diferente entre </w:t>
      </w:r>
      <w:r w:rsidR="007F2C6A" w:rsidRPr="00AB315F">
        <w:rPr>
          <w:rFonts w:asciiTheme="minorHAnsi" w:hAnsiTheme="minorHAnsi"/>
        </w:rPr>
        <w:t>América</w:t>
      </w:r>
      <w:r w:rsidRPr="00AB315F">
        <w:rPr>
          <w:rFonts w:asciiTheme="minorHAnsi" w:hAnsiTheme="minorHAnsi"/>
        </w:rPr>
        <w:t xml:space="preserve"> Latina e Leste Europeu.  </w:t>
      </w:r>
    </w:p>
    <w:p w14:paraId="78CE8847" w14:textId="30EC8424"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 xml:space="preserve">Ribeiro (2011), em uma investigação, também sobre os determinantes individuais da desconfiança política, analisa os dados do World Values Surveys para a </w:t>
      </w:r>
      <w:r w:rsidR="007F2C6A" w:rsidRPr="00AB315F">
        <w:rPr>
          <w:rFonts w:asciiTheme="minorHAnsi" w:hAnsiTheme="minorHAnsi"/>
        </w:rPr>
        <w:t>América</w:t>
      </w:r>
      <w:r w:rsidRPr="00AB315F">
        <w:rPr>
          <w:rFonts w:asciiTheme="minorHAnsi" w:hAnsiTheme="minorHAnsi"/>
        </w:rPr>
        <w:t xml:space="preserve"> Latina. Ao considerar a aceitação da corrupção como uma expressão de valores, o autor estima os efeitos da medida sobre o indicador de confiança interpessoal. Os coefici</w:t>
      </w:r>
      <w:r w:rsidR="00544756">
        <w:rPr>
          <w:rFonts w:asciiTheme="minorHAnsi" w:hAnsiTheme="minorHAnsi"/>
        </w:rPr>
        <w:t>entes do modelo de Ribeiro (20</w:t>
      </w:r>
      <w:r w:rsidR="00544756" w:rsidRPr="00AB315F">
        <w:rPr>
          <w:rFonts w:asciiTheme="minorHAnsi" w:hAnsiTheme="minorHAnsi"/>
        </w:rPr>
        <w:t>11</w:t>
      </w:r>
      <w:r w:rsidRPr="00AB315F">
        <w:rPr>
          <w:rFonts w:asciiTheme="minorHAnsi" w:hAnsiTheme="minorHAnsi"/>
        </w:rPr>
        <w:t>) indicam que uma postura mais tolerante a práticas corruptas impacta positivamente a confiança política, ou seja, quanto mais se aceita práticas corruptas maior a confiança.</w:t>
      </w:r>
    </w:p>
    <w:p w14:paraId="264EFFA2" w14:textId="77777777" w:rsidR="00D71807" w:rsidRPr="00AB315F" w:rsidRDefault="00D71807" w:rsidP="00D71807">
      <w:pPr>
        <w:spacing w:after="240" w:line="360" w:lineRule="auto"/>
        <w:ind w:firstLine="708"/>
        <w:jc w:val="both"/>
        <w:rPr>
          <w:rFonts w:asciiTheme="minorHAnsi" w:hAnsiTheme="minorHAnsi" w:cs="Times-Roman"/>
        </w:rPr>
      </w:pPr>
      <w:r w:rsidRPr="00AB315F">
        <w:rPr>
          <w:rFonts w:asciiTheme="minorHAnsi" w:hAnsiTheme="minorHAnsi"/>
        </w:rPr>
        <w:t>Vários outros autores estão interessados em como diversos fatores podem afetar ou serem afetados pela aceitação da corrupção. Para</w:t>
      </w:r>
      <w:r w:rsidRPr="00AB315F">
        <w:rPr>
          <w:rFonts w:asciiTheme="minorHAnsi" w:hAnsiTheme="minorHAnsi" w:cs="Times-Roman"/>
        </w:rPr>
        <w:t xml:space="preserve"> Hofstede (2001)</w:t>
      </w:r>
      <w:r w:rsidRPr="00AB315F">
        <w:rPr>
          <w:rFonts w:asciiTheme="minorHAnsi" w:hAnsiTheme="minorHAnsi"/>
        </w:rPr>
        <w:t xml:space="preserve"> O fator geracional teria um efeito redutor na aceitação da corrupção</w:t>
      </w:r>
      <w:r w:rsidRPr="00AB315F">
        <w:rPr>
          <w:rFonts w:asciiTheme="minorHAnsi" w:hAnsiTheme="minorHAnsi" w:cs="Times-Roman"/>
        </w:rPr>
        <w:t>, do mesmo modo, altos níveis de educação secular deverá reduzir a inclinação a justificar a corrupção, uma vez que o conhecimento de códigos morais, de conduta e de leis devem afetar negativamente a tolerância às práticas, ou seja, quanto mais conhecimento e capacidade de analisar o sistema político menor a permissividade com a corrupção. Argumentos e achados similares são anunciados por Swamy (2001) e Seligson (2002).</w:t>
      </w:r>
    </w:p>
    <w:p w14:paraId="3FB1BCCC" w14:textId="77777777" w:rsidR="00D71807" w:rsidRDefault="00D71807" w:rsidP="00D71807">
      <w:pPr>
        <w:spacing w:after="240" w:line="360" w:lineRule="auto"/>
        <w:ind w:firstLine="708"/>
        <w:jc w:val="both"/>
        <w:rPr>
          <w:rFonts w:asciiTheme="minorHAnsi" w:hAnsiTheme="minorHAnsi" w:cs="Times-Roman"/>
        </w:rPr>
      </w:pPr>
      <w:r w:rsidRPr="00AB315F">
        <w:rPr>
          <w:rFonts w:asciiTheme="minorHAnsi" w:hAnsiTheme="minorHAnsi" w:cs="Times-Roman"/>
        </w:rPr>
        <w:t xml:space="preserve">Por sua vez, renda e desigualdade dividem profundamente a sociedade e devem refletir em mais demanda por corrupção, fazendo com que certos grupos sociais </w:t>
      </w:r>
      <w:r w:rsidRPr="00AB315F">
        <w:rPr>
          <w:rFonts w:asciiTheme="minorHAnsi" w:hAnsiTheme="minorHAnsi" w:cs="Times-Roman"/>
        </w:rPr>
        <w:lastRenderedPageBreak/>
        <w:t xml:space="preserve">acreditem que ações ilegais é a única maneira de ter acesso a serviços ou recursos, assim, inclinam-se sistematicamente para um comportamento desviante (TRAISMAN 1999). De modo similar, You e Khagram (2005) testaram em que medida um alto nível de desigualdade induz a corrupção, e concluem que disparidades de renda aumentam a recorrência de práticas corruptas através de mecanismos normativos e materiais para os mais pobres. De outro modo, os mais ricos seriam mais propensos a acreditar que a corrupção é um meio aceitável para preservar e avançar na sua posição social. Melgar and Rossi (2009) também encontram resultados que sugerem que existem diferenças na aceitação da corrupção conforme a ocupação profissional do cidadão. </w:t>
      </w:r>
    </w:p>
    <w:p w14:paraId="20A4BADF" w14:textId="29E87A93" w:rsidR="00D71807" w:rsidRPr="00AB315F" w:rsidRDefault="00D71807" w:rsidP="00D71807">
      <w:pPr>
        <w:autoSpaceDE w:val="0"/>
        <w:autoSpaceDN w:val="0"/>
        <w:adjustRightInd w:val="0"/>
        <w:spacing w:after="240" w:line="360" w:lineRule="auto"/>
        <w:jc w:val="both"/>
        <w:rPr>
          <w:rFonts w:asciiTheme="minorHAnsi" w:hAnsiTheme="minorHAnsi"/>
        </w:rPr>
      </w:pPr>
      <w:r w:rsidRPr="00AB315F">
        <w:rPr>
          <w:rFonts w:asciiTheme="minorHAnsi" w:hAnsiTheme="minorHAnsi"/>
        </w:rPr>
        <w:tab/>
      </w:r>
      <w:r w:rsidR="007F2C6A" w:rsidRPr="00AB315F">
        <w:rPr>
          <w:rFonts w:asciiTheme="minorHAnsi" w:hAnsiTheme="minorHAnsi"/>
        </w:rPr>
        <w:t>Várias outras pesquisas têm</w:t>
      </w:r>
      <w:r w:rsidRPr="00AB315F">
        <w:rPr>
          <w:rFonts w:asciiTheme="minorHAnsi" w:hAnsiTheme="minorHAnsi"/>
        </w:rPr>
        <w:t xml:space="preserve"> incorporado a dimensão de determinantes culturais – seguindo o trabalho de </w:t>
      </w:r>
      <w:r w:rsidRPr="00AB315F">
        <w:rPr>
          <w:rFonts w:asciiTheme="minorHAnsi" w:hAnsiTheme="minorHAnsi" w:cs="Times-Roman"/>
        </w:rPr>
        <w:t>Inglehart and Welzel’s (2005) -</w:t>
      </w:r>
      <w:r w:rsidRPr="00AB315F">
        <w:rPr>
          <w:rFonts w:asciiTheme="minorHAnsi" w:hAnsiTheme="minorHAnsi"/>
        </w:rPr>
        <w:t xml:space="preserve"> na análise da aceitação da corrupção </w:t>
      </w:r>
      <w:r w:rsidRPr="00AB315F">
        <w:rPr>
          <w:rFonts w:asciiTheme="minorHAnsi" w:hAnsiTheme="minorHAnsi" w:cs="Times-Roman"/>
        </w:rPr>
        <w:t>(CANACHE 2002; CANACHE AND ALLISON 2005; POWER AND GONZÁLEZ 2003; USLANER 2004; YOU AND KHAGRAM, 2005)</w:t>
      </w:r>
      <w:r w:rsidRPr="00AB315F">
        <w:rPr>
          <w:rFonts w:asciiTheme="minorHAnsi" w:hAnsiTheme="minorHAnsi"/>
        </w:rPr>
        <w:t>. A transição de uma sociedade marcada por valores de sobrevivência para valores de auto-expressão deve se refletir na propensão a corromper-se, de maneira que cidadãos que se sentem livres para escolher seu destino e controlar sua vida, independente de restrições materiais, serão mais propensos a endossarem valores democráticos e expressarem menos permissividade em relação às práticas corruptas como uma maneira de mostrar responsividade ao sistema político.</w:t>
      </w:r>
    </w:p>
    <w:p w14:paraId="6AA1D1E7" w14:textId="020BD5A0" w:rsidR="00D71807" w:rsidRPr="00AB315F" w:rsidRDefault="00D71807" w:rsidP="00D71807">
      <w:pPr>
        <w:autoSpaceDE w:val="0"/>
        <w:autoSpaceDN w:val="0"/>
        <w:adjustRightInd w:val="0"/>
        <w:spacing w:after="240" w:line="360" w:lineRule="auto"/>
        <w:jc w:val="both"/>
        <w:rPr>
          <w:rFonts w:asciiTheme="minorHAnsi" w:hAnsiTheme="minorHAnsi" w:cs="TimesNewRomanPSMT"/>
        </w:rPr>
      </w:pPr>
      <w:r w:rsidRPr="00AB315F">
        <w:rPr>
          <w:rFonts w:asciiTheme="minorHAnsi" w:hAnsiTheme="minorHAnsi"/>
        </w:rPr>
        <w:tab/>
        <w:t xml:space="preserve"> </w:t>
      </w:r>
      <w:r w:rsidRPr="00AB315F">
        <w:rPr>
          <w:rFonts w:asciiTheme="minorHAnsi" w:hAnsiTheme="minorHAnsi" w:cs="Times-Roman"/>
        </w:rPr>
        <w:t>Outros trabalhos relacionam a permissividade das práticas corruptas a outras dimensões do fenômeno da corrupção. C</w:t>
      </w:r>
      <w:r w:rsidRPr="00AB315F">
        <w:rPr>
          <w:rFonts w:asciiTheme="minorHAnsi" w:hAnsiTheme="minorHAnsi" w:cs="Minion-Regular"/>
        </w:rPr>
        <w:t xml:space="preserve">´abelkov´a (2001) argumenta que o nível de corrupção afeta a percepção da corrupção na sociedade que por sua vez aumenta a </w:t>
      </w:r>
      <w:r w:rsidR="00B94440">
        <w:rPr>
          <w:rFonts w:asciiTheme="minorHAnsi" w:hAnsiTheme="minorHAnsi" w:cs="Minion-Regular"/>
        </w:rPr>
        <w:t xml:space="preserve">tolerância dos cidadãos a atitudes </w:t>
      </w:r>
      <w:r w:rsidRPr="00AB315F">
        <w:rPr>
          <w:rFonts w:asciiTheme="minorHAnsi" w:hAnsiTheme="minorHAnsi" w:cs="Minion-Regular"/>
        </w:rPr>
        <w:t>desviante a norma. Por sua vez Lavena (2013) argumenta que a permissividade à corrupção afeta a democracia e o governo no longo prazo ao criar uma espiral viciosa na qual o comportamento de quebra de regras se torna normal ou comum, o que enfraqueceria mecanismos institucionais desenhados para combater a corrupção e incentivar a confiança entre os cidadãos</w:t>
      </w:r>
    </w:p>
    <w:p w14:paraId="5CFE8367" w14:textId="0D8B7BD2" w:rsidR="00D71807" w:rsidRPr="00AB315F" w:rsidRDefault="00D71807" w:rsidP="00D71807">
      <w:pPr>
        <w:spacing w:after="240" w:line="360" w:lineRule="auto"/>
        <w:ind w:firstLine="708"/>
        <w:jc w:val="both"/>
        <w:rPr>
          <w:rFonts w:asciiTheme="minorHAnsi" w:hAnsiTheme="minorHAnsi"/>
        </w:rPr>
      </w:pPr>
      <w:r w:rsidRPr="00AB315F">
        <w:rPr>
          <w:rFonts w:asciiTheme="minorHAnsi" w:hAnsiTheme="minorHAnsi"/>
        </w:rPr>
        <w:t xml:space="preserve">Por fim, Catterberg et all (2013) questionaram as respostas que baseiam os indicadores de aceitação da corrupção e argumentam que as mesmas são influenciadas tanto pelo conceito de corrupção que indivíduos possuem como pelo desejo social em </w:t>
      </w:r>
      <w:r w:rsidRPr="00AB315F">
        <w:rPr>
          <w:rFonts w:asciiTheme="minorHAnsi" w:hAnsiTheme="minorHAnsi"/>
        </w:rPr>
        <w:lastRenderedPageBreak/>
        <w:t xml:space="preserve">relação ao tema que permeia uma sociedade. Um intrigante paradoxo dos resultados da pesquisa de Catterberg et all (2013) indica que no Uruguai, aonde os níveis de recorrência da corrupção são menores que em outros países da América Latina, a medida de aceitação da corrupção alcança valores altos. A explicação dos autores baseia-se na coleta de informações sobre o que os cidadãos realmente acreditam ser um ato de corrupção e, logo, demonstram que o uruguaio não é mais permissivo </w:t>
      </w:r>
      <w:r w:rsidR="00237605">
        <w:rPr>
          <w:rFonts w:asciiTheme="minorHAnsi" w:hAnsiTheme="minorHAnsi"/>
        </w:rPr>
        <w:t>à</w:t>
      </w:r>
      <w:r w:rsidRPr="00AB315F">
        <w:rPr>
          <w:rFonts w:asciiTheme="minorHAnsi" w:hAnsiTheme="minorHAnsi"/>
        </w:rPr>
        <w:t xml:space="preserve"> corrupção, mas não acredita que tais atos possam ser considerados corruptos.  </w:t>
      </w:r>
    </w:p>
    <w:p w14:paraId="7D62BE79" w14:textId="2AE72BEB" w:rsidR="00AE6561" w:rsidRDefault="00D71807" w:rsidP="00113799">
      <w:pPr>
        <w:spacing w:after="240" w:line="360" w:lineRule="auto"/>
        <w:ind w:firstLine="708"/>
        <w:jc w:val="both"/>
        <w:rPr>
          <w:rFonts w:asciiTheme="minorHAnsi" w:hAnsiTheme="minorHAnsi"/>
        </w:rPr>
      </w:pPr>
      <w:r w:rsidRPr="00AB315F">
        <w:rPr>
          <w:rFonts w:asciiTheme="minorHAnsi" w:hAnsiTheme="minorHAnsi"/>
        </w:rPr>
        <w:t>Este trabalho considera que a deseabilidade social e o conceito que as pessoas possuem a respeito da corrupção está atrelada à dinâmica da opinião pública</w:t>
      </w:r>
      <w:r w:rsidR="00AE6561">
        <w:rPr>
          <w:rFonts w:asciiTheme="minorHAnsi" w:hAnsiTheme="minorHAnsi"/>
        </w:rPr>
        <w:t>, mais especificamente ao “clima de opinião”</w:t>
      </w:r>
      <w:r w:rsidRPr="00AB315F">
        <w:rPr>
          <w:rFonts w:asciiTheme="minorHAnsi" w:hAnsiTheme="minorHAnsi"/>
        </w:rPr>
        <w:t xml:space="preserve">. </w:t>
      </w:r>
      <w:r w:rsidR="00AE6561">
        <w:rPr>
          <w:rFonts w:asciiTheme="minorHAnsi" w:hAnsiTheme="minorHAnsi"/>
        </w:rPr>
        <w:t>Tanto o desejo social, quanto o conceito podem representar erros sistemáticos à mensuração de aceitação da corrupção e podem ser entendidos por sua relação com a dinâmica da opinião pública e aspectos da cultura política – valores socialmente compartilhados</w:t>
      </w:r>
      <w:r w:rsidRPr="00AB315F">
        <w:rPr>
          <w:rFonts w:asciiTheme="minorHAnsi" w:hAnsiTheme="minorHAnsi"/>
        </w:rPr>
        <w:t>.</w:t>
      </w:r>
      <w:r w:rsidR="00AE6561">
        <w:rPr>
          <w:rFonts w:asciiTheme="minorHAnsi" w:hAnsiTheme="minorHAnsi"/>
        </w:rPr>
        <w:t xml:space="preserve"> Em paralelo, argumenta-se que os vieses emergem</w:t>
      </w:r>
      <w:r w:rsidR="00C032AB">
        <w:rPr>
          <w:rFonts w:asciiTheme="minorHAnsi" w:hAnsiTheme="minorHAnsi"/>
        </w:rPr>
        <w:t xml:space="preserve"> no momento da coleta de dados, e que os percalços inerentes a técnica de survey podem fazem-se importantes neste processo.</w:t>
      </w:r>
      <w:r w:rsidR="00AE6561">
        <w:rPr>
          <w:rFonts w:asciiTheme="minorHAnsi" w:hAnsiTheme="minorHAnsi"/>
        </w:rPr>
        <w:t xml:space="preserve"> </w:t>
      </w:r>
    </w:p>
    <w:p w14:paraId="50A17782" w14:textId="2CDFCA3A" w:rsidR="00AB3AEE" w:rsidRDefault="00AB3AEE">
      <w:pPr>
        <w:spacing w:after="160" w:line="259" w:lineRule="auto"/>
        <w:rPr>
          <w:rFonts w:asciiTheme="minorHAnsi" w:hAnsiTheme="minorHAnsi"/>
        </w:rPr>
      </w:pPr>
      <w:r>
        <w:rPr>
          <w:rFonts w:asciiTheme="minorHAnsi" w:hAnsiTheme="minorHAnsi"/>
        </w:rPr>
        <w:br w:type="page"/>
      </w:r>
    </w:p>
    <w:p w14:paraId="267A0B30" w14:textId="7B72E1E3" w:rsidR="0005370B" w:rsidRPr="00AB315F" w:rsidRDefault="0026623E" w:rsidP="00113799">
      <w:pPr>
        <w:pStyle w:val="Ttulo1"/>
        <w:spacing w:before="0"/>
        <w:rPr>
          <w:b/>
          <w:color w:val="auto"/>
        </w:rPr>
      </w:pPr>
      <w:bookmarkStart w:id="15" w:name="_Toc456241248"/>
      <w:r w:rsidRPr="00AB315F">
        <w:rPr>
          <w:b/>
          <w:color w:val="auto"/>
        </w:rPr>
        <w:lastRenderedPageBreak/>
        <w:t>C</w:t>
      </w:r>
      <w:r w:rsidR="0005370B" w:rsidRPr="00AB315F">
        <w:rPr>
          <w:b/>
          <w:color w:val="auto"/>
        </w:rPr>
        <w:t xml:space="preserve">apítulo 2: </w:t>
      </w:r>
      <w:r w:rsidR="001F728A">
        <w:rPr>
          <w:b/>
          <w:color w:val="auto"/>
        </w:rPr>
        <w:t xml:space="preserve"> </w:t>
      </w:r>
      <w:r w:rsidR="00113799">
        <w:rPr>
          <w:b/>
          <w:color w:val="auto"/>
        </w:rPr>
        <w:t>Validade, Confiabilidade e especificidade contextual.</w:t>
      </w:r>
      <w:bookmarkEnd w:id="15"/>
    </w:p>
    <w:p w14:paraId="0129B40D" w14:textId="77777777" w:rsidR="0005370B" w:rsidRPr="00AB315F" w:rsidRDefault="0005370B" w:rsidP="00E32D94">
      <w:pPr>
        <w:spacing w:line="360" w:lineRule="auto"/>
        <w:jc w:val="both"/>
        <w:rPr>
          <w:rFonts w:asciiTheme="minorHAnsi" w:hAnsiTheme="minorHAnsi"/>
          <w:b/>
        </w:rPr>
      </w:pPr>
    </w:p>
    <w:p w14:paraId="695981A7" w14:textId="23D4A626" w:rsidR="00AB6582" w:rsidRPr="00AB315F" w:rsidRDefault="00AB6582" w:rsidP="00105F35">
      <w:pPr>
        <w:spacing w:after="240" w:line="360" w:lineRule="auto"/>
        <w:ind w:firstLine="708"/>
        <w:jc w:val="both"/>
        <w:rPr>
          <w:rFonts w:asciiTheme="minorHAnsi" w:hAnsiTheme="minorHAnsi"/>
        </w:rPr>
      </w:pPr>
      <w:r w:rsidRPr="00AB315F">
        <w:rPr>
          <w:rFonts w:asciiTheme="minorHAnsi" w:hAnsiTheme="minorHAnsi"/>
        </w:rPr>
        <w:t xml:space="preserve">Toda análise de possíveis erros será interpretada conforme o referencial metodológico que aborda a questão da validade, confiabilidade e especificidade contextual </w:t>
      </w:r>
      <w:r w:rsidR="00113799">
        <w:rPr>
          <w:rFonts w:asciiTheme="minorHAnsi" w:hAnsiTheme="minorHAnsi"/>
        </w:rPr>
        <w:t>s</w:t>
      </w:r>
      <w:r w:rsidRPr="00AB315F">
        <w:rPr>
          <w:rFonts w:asciiTheme="minorHAnsi" w:hAnsiTheme="minorHAnsi"/>
        </w:rPr>
        <w:t>egundo Adcock e Collier (2001) e (Carmines and Zeller 1979).</w:t>
      </w:r>
    </w:p>
    <w:p w14:paraId="0CCF08BA" w14:textId="37B91BEE"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Aqui, validade e confiabilidade dizem respeito a erros de mensuração dos indicadores de tolerância à corrupção. Logo, não é de interesse </w:t>
      </w:r>
      <w:r w:rsidR="001C0D2D">
        <w:rPr>
          <w:rFonts w:asciiTheme="minorHAnsi" w:hAnsiTheme="minorHAnsi"/>
        </w:rPr>
        <w:t>da</w:t>
      </w:r>
      <w:r w:rsidRPr="00AB315F">
        <w:rPr>
          <w:rFonts w:asciiTheme="minorHAnsi" w:hAnsiTheme="minorHAnsi"/>
        </w:rPr>
        <w:t xml:space="preserve"> análise avaliar a validade de inferências de causa e efeito pontuadas pela literatura sobre o tema em questão</w:t>
      </w:r>
      <w:r w:rsidRPr="00AB315F">
        <w:rPr>
          <w:rStyle w:val="Refdenotaderodap"/>
          <w:rFonts w:asciiTheme="minorHAnsi" w:hAnsiTheme="minorHAnsi"/>
        </w:rPr>
        <w:footnoteReference w:id="14"/>
      </w:r>
      <w:r w:rsidRPr="00AB315F">
        <w:rPr>
          <w:rFonts w:asciiTheme="minorHAnsi" w:hAnsiTheme="minorHAnsi"/>
        </w:rPr>
        <w:t xml:space="preserve">, apesar da validade de mensuração estar vinculada à inferência causal, como será visto adiante. </w:t>
      </w:r>
    </w:p>
    <w:p w14:paraId="7D8E6E88"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De forma convencional, confiabilidade está associada à uma situação de inconsistência de mensuração causada por erros aleatórios. Já validade, estaria relacionada à proeminência de erros sistemáticos, ou vieses. Apesar da natureza do erro de medida ser um critério de distinção entre os conceitos de validade e confiabilidade, alguns metodólogos advogam que este princípio não satisfaz por completo a diferenciação. Em geral, predominam duas formas de abordar a relação entre validade e confiabilidade. </w:t>
      </w:r>
    </w:p>
    <w:p w14:paraId="5C3342A1"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A primeira baseia-se estritamente sobre a distinção da natureza dos erros de mensuração. Ou seja, validade é exclusivamente relacionada à existência de viés ou erro sistemático, por outro lado, a confiabilidade estaria associada à problemas referentes à erros aleatórios. Deste modo, existe a possibilidade de que indicadores não confiáveis sejam considerados válidos (Carmines and Zeller 1979). </w:t>
      </w:r>
    </w:p>
    <w:p w14:paraId="358FF1A1"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A segunda perspectiva posiciona-se de forma cética quanto a validade de indicadores com problemas de confiabilidade. Estes acreditam que a validade depende da não existência de erros aleatórios e sistemáticos, além disso, consideram que confiabilidade não é condição suficiente para acessar a validade, ainda que necessária. </w:t>
      </w:r>
    </w:p>
    <w:p w14:paraId="6E3590D7"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lastRenderedPageBreak/>
        <w:t xml:space="preserve">Este trabalho não advoga a favor de nenhuma perspectiva, e esta discussão ainda está em aberto na literatura. Aqui, considera-se validade e confiabilidade distintas em função da natureza do erro. A razão da escolha é facilitar a interpretação da análise e comparar os resultados com outros trabalhos já realizados nesse sentido. </w:t>
      </w:r>
    </w:p>
    <w:p w14:paraId="335F5A04" w14:textId="3C988E07" w:rsidR="005A7075" w:rsidRPr="00AB315F" w:rsidRDefault="005A7075" w:rsidP="001C0D2D">
      <w:pPr>
        <w:spacing w:after="240" w:line="360" w:lineRule="auto"/>
        <w:ind w:firstLine="708"/>
        <w:jc w:val="both"/>
        <w:rPr>
          <w:rFonts w:asciiTheme="minorHAnsi" w:hAnsiTheme="minorHAnsi"/>
        </w:rPr>
      </w:pPr>
      <w:r w:rsidRPr="00AB315F">
        <w:rPr>
          <w:rFonts w:asciiTheme="minorHAnsi" w:hAnsiTheme="minorHAnsi"/>
        </w:rPr>
        <w:t>Um ponto fundamental à discussão de validade é confiabilidade é a diferença potencial entre contextos transitados por um indicador. Especificidade contextual é um tópico central à literatura psicométrica, a qual enfatiza que o score de um indicador pode ter signifi</w:t>
      </w:r>
      <w:r w:rsidR="001C0D2D">
        <w:rPr>
          <w:rFonts w:asciiTheme="minorHAnsi" w:hAnsiTheme="minorHAnsi"/>
        </w:rPr>
        <w:t xml:space="preserve">cados em diferentes contextos. </w:t>
      </w:r>
      <w:r w:rsidRPr="00AB315F">
        <w:rPr>
          <w:rFonts w:asciiTheme="minorHAnsi" w:hAnsiTheme="minorHAnsi"/>
        </w:rPr>
        <w:t>Adcok e Collier (2010) advogam que pesquisadores deveriam fazer escolhas sensíveis ao contexto bem antes de partirem para construção de um indicador.</w:t>
      </w:r>
    </w:p>
    <w:p w14:paraId="500BD807" w14:textId="49E88153" w:rsidR="005A7075" w:rsidRPr="00113799" w:rsidRDefault="00113799" w:rsidP="00113799">
      <w:pPr>
        <w:pStyle w:val="Ttulo2"/>
        <w:rPr>
          <w:color w:val="auto"/>
        </w:rPr>
      </w:pPr>
      <w:bookmarkStart w:id="16" w:name="_Toc456241249"/>
      <w:r>
        <w:rPr>
          <w:b/>
          <w:color w:val="auto"/>
        </w:rPr>
        <w:t>2.1</w:t>
      </w:r>
      <w:r w:rsidR="005C5CA5" w:rsidRPr="00113799">
        <w:rPr>
          <w:b/>
          <w:color w:val="auto"/>
        </w:rPr>
        <w:t xml:space="preserve"> </w:t>
      </w:r>
      <w:r w:rsidR="005A7075" w:rsidRPr="00113799">
        <w:rPr>
          <w:color w:val="auto"/>
        </w:rPr>
        <w:t>Validade</w:t>
      </w:r>
      <w:bookmarkEnd w:id="16"/>
      <w:r w:rsidR="005A7075" w:rsidRPr="00113799">
        <w:rPr>
          <w:color w:val="auto"/>
        </w:rPr>
        <w:t xml:space="preserve"> </w:t>
      </w:r>
    </w:p>
    <w:p w14:paraId="716B6F2A"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Bollen (1989) sugere uma definição bastante simples para o conceito de validade:</w:t>
      </w:r>
    </w:p>
    <w:p w14:paraId="41948A4E" w14:textId="77777777" w:rsidR="005A7075" w:rsidRPr="00AB315F" w:rsidRDefault="005A7075" w:rsidP="005A7075">
      <w:pPr>
        <w:spacing w:line="360" w:lineRule="auto"/>
        <w:ind w:left="2410"/>
        <w:jc w:val="both"/>
        <w:rPr>
          <w:rFonts w:asciiTheme="minorHAnsi" w:hAnsiTheme="minorHAnsi"/>
          <w:sz w:val="20"/>
        </w:rPr>
      </w:pPr>
      <w:r w:rsidRPr="00AB315F">
        <w:rPr>
          <w:rFonts w:asciiTheme="minorHAnsi" w:hAnsiTheme="minorHAnsi"/>
          <w:sz w:val="20"/>
          <w:lang w:val="en-US"/>
        </w:rPr>
        <w:t xml:space="preserve">“validity concerned with whether a variable measures what it is supposed to measure.” </w:t>
      </w:r>
      <w:r w:rsidRPr="00AB315F">
        <w:rPr>
          <w:rFonts w:asciiTheme="minorHAnsi" w:hAnsiTheme="minorHAnsi"/>
          <w:sz w:val="20"/>
        </w:rPr>
        <w:t>(Bollen 1989, 197)</w:t>
      </w:r>
    </w:p>
    <w:p w14:paraId="7A8AA979" w14:textId="77777777" w:rsidR="005A7075" w:rsidRPr="00AB315F" w:rsidRDefault="005A7075" w:rsidP="005A7075">
      <w:pPr>
        <w:spacing w:line="360" w:lineRule="auto"/>
        <w:ind w:left="2410"/>
        <w:jc w:val="both"/>
        <w:rPr>
          <w:rFonts w:asciiTheme="minorHAnsi" w:hAnsiTheme="minorHAnsi"/>
        </w:rPr>
      </w:pPr>
    </w:p>
    <w:p w14:paraId="427F114B" w14:textId="3215AA3F" w:rsidR="005A7075" w:rsidRDefault="005A7075" w:rsidP="005A7075">
      <w:pPr>
        <w:spacing w:after="240" w:line="360" w:lineRule="auto"/>
        <w:ind w:firstLine="708"/>
        <w:jc w:val="both"/>
        <w:rPr>
          <w:rFonts w:asciiTheme="minorHAnsi" w:hAnsiTheme="minorHAnsi"/>
        </w:rPr>
      </w:pPr>
      <w:r w:rsidRPr="00AB315F">
        <w:rPr>
          <w:rFonts w:asciiTheme="minorHAnsi" w:hAnsiTheme="minorHAnsi"/>
        </w:rPr>
        <w:t>Ao seguir o mesmo princípio, King, Keohane, and Verba  sugerem praticamente a mesma definição. Em paralelo, Adcock e Collier (2001) afirmam que a validade de uma mensuração é alcançada quando os scores de um indicador capturam significativamente as ideias contidas no conceito subjacente.</w:t>
      </w:r>
      <w:r w:rsidR="000A4D64">
        <w:rPr>
          <w:rFonts w:asciiTheme="minorHAnsi" w:hAnsiTheme="minorHAnsi"/>
        </w:rPr>
        <w:t xml:space="preserve"> Os autores</w:t>
      </w:r>
      <w:r w:rsidRPr="00AB315F">
        <w:rPr>
          <w:rFonts w:asciiTheme="minorHAnsi" w:hAnsiTheme="minorHAnsi"/>
        </w:rPr>
        <w:t xml:space="preserve"> apresentam o seguinte quadro para visualizar o acesso à validação de medidas em função dos conceitos mobilizados. Em suma, eles afirmam que validade é alcançada quando scores de um dado indicador podem significativamente ser interpretado em termos do conceito sistematizado o qual o indicador pretende operacionalizar. </w:t>
      </w:r>
    </w:p>
    <w:p w14:paraId="57169594" w14:textId="77777777" w:rsidR="000225AB" w:rsidRDefault="000225AB" w:rsidP="005A7075">
      <w:pPr>
        <w:spacing w:after="240" w:line="360" w:lineRule="auto"/>
        <w:ind w:firstLine="708"/>
        <w:jc w:val="both"/>
        <w:rPr>
          <w:rFonts w:asciiTheme="minorHAnsi" w:hAnsiTheme="minorHAnsi"/>
        </w:rPr>
      </w:pPr>
    </w:p>
    <w:p w14:paraId="187531E6" w14:textId="77777777" w:rsidR="000225AB" w:rsidRDefault="000225AB" w:rsidP="005A7075">
      <w:pPr>
        <w:spacing w:after="240" w:line="360" w:lineRule="auto"/>
        <w:ind w:firstLine="708"/>
        <w:jc w:val="both"/>
        <w:rPr>
          <w:rFonts w:asciiTheme="minorHAnsi" w:hAnsiTheme="minorHAnsi"/>
        </w:rPr>
      </w:pPr>
    </w:p>
    <w:p w14:paraId="630803F1" w14:textId="77777777" w:rsidR="000225AB" w:rsidRDefault="000225AB" w:rsidP="005A7075">
      <w:pPr>
        <w:spacing w:after="240" w:line="360" w:lineRule="auto"/>
        <w:ind w:firstLine="708"/>
        <w:jc w:val="both"/>
        <w:rPr>
          <w:rFonts w:asciiTheme="minorHAnsi" w:hAnsiTheme="minorHAnsi"/>
        </w:rPr>
      </w:pPr>
    </w:p>
    <w:p w14:paraId="458C2804" w14:textId="1C04F990" w:rsidR="000225AB" w:rsidRPr="000225AB" w:rsidRDefault="000225AB" w:rsidP="000225AB">
      <w:pPr>
        <w:spacing w:after="240" w:line="360" w:lineRule="auto"/>
        <w:ind w:firstLine="708"/>
        <w:jc w:val="center"/>
        <w:rPr>
          <w:rFonts w:asciiTheme="minorHAnsi" w:hAnsiTheme="minorHAnsi"/>
          <w:b/>
        </w:rPr>
      </w:pPr>
      <w:r w:rsidRPr="000225AB">
        <w:rPr>
          <w:rFonts w:asciiTheme="minorHAnsi" w:hAnsiTheme="minorHAnsi"/>
          <w:b/>
        </w:rPr>
        <w:t>Figura 2</w:t>
      </w:r>
      <w:r w:rsidR="001F728A">
        <w:rPr>
          <w:rFonts w:asciiTheme="minorHAnsi" w:hAnsiTheme="minorHAnsi"/>
          <w:b/>
        </w:rPr>
        <w:t xml:space="preserve">. </w:t>
      </w:r>
      <w:r w:rsidR="000073A3">
        <w:rPr>
          <w:rFonts w:asciiTheme="minorHAnsi" w:hAnsiTheme="minorHAnsi"/>
          <w:b/>
        </w:rPr>
        <w:t>Validação de medidas em função de conceitos</w:t>
      </w:r>
    </w:p>
    <w:p w14:paraId="71FB9E70" w14:textId="2AB1F3CE" w:rsidR="005A7075" w:rsidRPr="00AB315F" w:rsidRDefault="005C5CA5" w:rsidP="005C5CA5">
      <w:pPr>
        <w:tabs>
          <w:tab w:val="left" w:pos="2070"/>
        </w:tabs>
        <w:spacing w:after="240" w:line="360" w:lineRule="auto"/>
        <w:ind w:firstLine="708"/>
        <w:jc w:val="both"/>
        <w:rPr>
          <w:rFonts w:asciiTheme="minorHAnsi" w:hAnsiTheme="minorHAnsi"/>
        </w:rPr>
      </w:pPr>
      <w:r w:rsidRPr="00AB315F">
        <w:rPr>
          <w:rFonts w:asciiTheme="minorHAnsi" w:hAnsiTheme="minorHAnsi"/>
        </w:rPr>
        <w:lastRenderedPageBreak/>
        <w:tab/>
      </w:r>
    </w:p>
    <w:p w14:paraId="5CFA11D1" w14:textId="77777777" w:rsidR="005A7075" w:rsidRPr="00AB315F" w:rsidRDefault="005A7075" w:rsidP="005A7075">
      <w:pPr>
        <w:spacing w:line="360" w:lineRule="auto"/>
        <w:jc w:val="both"/>
        <w:rPr>
          <w:rFonts w:asciiTheme="minorHAnsi" w:hAnsiTheme="minorHAnsi"/>
        </w:rPr>
      </w:pPr>
      <w:r w:rsidRPr="00AB315F">
        <w:rPr>
          <w:rFonts w:asciiTheme="minorHAnsi" w:hAnsiTheme="minorHAnsi"/>
          <w:noProof/>
        </w:rPr>
        <mc:AlternateContent>
          <mc:Choice Requires="wps">
            <w:drawing>
              <wp:anchor distT="0" distB="0" distL="114300" distR="114300" simplePos="0" relativeHeight="251894784" behindDoc="0" locked="0" layoutInCell="1" allowOverlap="1" wp14:anchorId="12E38B9C" wp14:editId="3E6FA308">
                <wp:simplePos x="0" y="0"/>
                <wp:positionH relativeFrom="column">
                  <wp:posOffset>1207873</wp:posOffset>
                </wp:positionH>
                <wp:positionV relativeFrom="paragraph">
                  <wp:posOffset>99174</wp:posOffset>
                </wp:positionV>
                <wp:extent cx="45719" cy="1485239"/>
                <wp:effectExtent l="952500" t="0" r="50165" b="96520"/>
                <wp:wrapNone/>
                <wp:docPr id="7" name="Conector angulado 7"/>
                <wp:cNvGraphicFramePr/>
                <a:graphic xmlns:a="http://schemas.openxmlformats.org/drawingml/2006/main">
                  <a:graphicData uri="http://schemas.microsoft.com/office/word/2010/wordprocessingShape">
                    <wps:wsp>
                      <wps:cNvCnPr/>
                      <wps:spPr>
                        <a:xfrm flipH="1">
                          <a:off x="0" y="0"/>
                          <a:ext cx="45719" cy="1485239"/>
                        </a:xfrm>
                        <a:prstGeom prst="bentConnector3">
                          <a:avLst>
                            <a:gd name="adj1" fmla="val 220884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AF7339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do 7" o:spid="_x0000_s1026" type="#_x0000_t34" style="position:absolute;margin-left:95.1pt;margin-top:7.8pt;width:3.6pt;height:116.95pt;flip:x;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" adj="477110" strokecolor="#5b9bd5 [3204]" strokeweight=".5pt">
                <v:stroke endarrow="block"/>
              </v:shape>
            </w:pict>
          </mc:Fallback>
        </mc:AlternateContent>
      </w:r>
      <w:r w:rsidRPr="00AB315F">
        <w:rPr>
          <w:rFonts w:asciiTheme="minorHAnsi" w:hAnsiTheme="minorHAnsi"/>
          <w:noProof/>
        </w:rPr>
        <mc:AlternateContent>
          <mc:Choice Requires="wps">
            <w:drawing>
              <wp:anchor distT="0" distB="0" distL="114300" distR="114300" simplePos="0" relativeHeight="251891712" behindDoc="0" locked="0" layoutInCell="1" allowOverlap="1" wp14:anchorId="5BCE4F0F" wp14:editId="14BBD489">
                <wp:simplePos x="0" y="0"/>
                <wp:positionH relativeFrom="column">
                  <wp:posOffset>1282505</wp:posOffset>
                </wp:positionH>
                <wp:positionV relativeFrom="paragraph">
                  <wp:posOffset>-360669</wp:posOffset>
                </wp:positionV>
                <wp:extent cx="3573032" cy="665480"/>
                <wp:effectExtent l="0" t="0" r="27940" b="20320"/>
                <wp:wrapNone/>
                <wp:docPr id="2" name="Caixa de texto 2"/>
                <wp:cNvGraphicFramePr/>
                <a:graphic xmlns:a="http://schemas.openxmlformats.org/drawingml/2006/main">
                  <a:graphicData uri="http://schemas.microsoft.com/office/word/2010/wordprocessingShape">
                    <wps:wsp>
                      <wps:cNvSpPr txBox="1"/>
                      <wps:spPr>
                        <a:xfrm>
                          <a:off x="0" y="0"/>
                          <a:ext cx="3573032" cy="6654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90C3317" w14:textId="77777777" w:rsidR="005D065B" w:rsidRPr="00DD7B90" w:rsidRDefault="005D065B" w:rsidP="005A7075">
                            <w:pPr>
                              <w:jc w:val="center"/>
                              <w:rPr>
                                <w:b/>
                              </w:rPr>
                            </w:pPr>
                            <w:r w:rsidRPr="00DD7B90">
                              <w:rPr>
                                <w:b/>
                              </w:rPr>
                              <w:t>Nível 1</w:t>
                            </w:r>
                          </w:p>
                          <w:p w14:paraId="5410D4C4" w14:textId="77777777" w:rsidR="005D065B" w:rsidRPr="00DD7B90" w:rsidRDefault="005D065B" w:rsidP="005A7075">
                            <w:pPr>
                              <w:jc w:val="center"/>
                              <w:rPr>
                                <w:b/>
                              </w:rPr>
                            </w:pPr>
                            <w:r w:rsidRPr="00DD7B90">
                              <w:rPr>
                                <w:b/>
                              </w:rPr>
                              <w:t>Pano de fundo conceitual</w:t>
                            </w:r>
                          </w:p>
                          <w:p w14:paraId="24BF541F" w14:textId="77777777" w:rsidR="005D065B" w:rsidRPr="00DD7B90" w:rsidRDefault="005D065B" w:rsidP="005A7075">
                            <w:pPr>
                              <w:rPr>
                                <w:sz w:val="18"/>
                              </w:rPr>
                            </w:pPr>
                            <w:r>
                              <w:rPr>
                                <w:sz w:val="18"/>
                              </w:rPr>
                              <w:t>A grande constelação de significados associados ao dado conceito</w:t>
                            </w:r>
                          </w:p>
                          <w:p w14:paraId="5B0AF8D6" w14:textId="77777777" w:rsidR="005D065B" w:rsidRDefault="005D065B" w:rsidP="005A70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CE4F0F" id="_x0000_s1033" type="#_x0000_t202" style="position:absolute;left:0;text-align:left;margin-left:101pt;margin-top:-28.4pt;width:281.35pt;height:52.4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" fillcolor="white [3201]" strokeweight=".5pt">
                <v:textbox>
                  <w:txbxContent>
                    <w:p w14:paraId="290C3317" w14:textId="77777777" w:rsidR="005D065B" w:rsidRPr="00DD7B90" w:rsidRDefault="005D065B" w:rsidP="005A7075">
                      <w:pPr>
                        <w:jc w:val="center"/>
                        <w:rPr>
                          <w:b/>
                        </w:rPr>
                      </w:pPr>
                      <w:r w:rsidRPr="00DD7B90">
                        <w:rPr>
                          <w:b/>
                        </w:rPr>
                        <w:t>Nível 1</w:t>
                      </w:r>
                    </w:p>
                    <w:p w14:paraId="5410D4C4" w14:textId="77777777" w:rsidR="005D065B" w:rsidRPr="00DD7B90" w:rsidRDefault="005D065B" w:rsidP="005A7075">
                      <w:pPr>
                        <w:jc w:val="center"/>
                        <w:rPr>
                          <w:b/>
                        </w:rPr>
                      </w:pPr>
                      <w:r w:rsidRPr="00DD7B90">
                        <w:rPr>
                          <w:b/>
                        </w:rPr>
                        <w:t>Pano de fundo conceitual</w:t>
                      </w:r>
                    </w:p>
                    <w:p w14:paraId="24BF541F" w14:textId="77777777" w:rsidR="005D065B" w:rsidRPr="00DD7B90" w:rsidRDefault="005D065B" w:rsidP="005A7075">
                      <w:pPr>
                        <w:rPr>
                          <w:sz w:val="18"/>
                        </w:rPr>
                      </w:pPr>
                      <w:r>
                        <w:rPr>
                          <w:sz w:val="18"/>
                        </w:rPr>
                        <w:t>A grande constelação de significados associados ao dado conceito</w:t>
                      </w:r>
                    </w:p>
                    <w:p w14:paraId="5B0AF8D6" w14:textId="77777777" w:rsidR="005D065B" w:rsidRDefault="005D065B" w:rsidP="005A7075"/>
                  </w:txbxContent>
                </v:textbox>
              </v:shape>
            </w:pict>
          </mc:Fallback>
        </mc:AlternateContent>
      </w:r>
    </w:p>
    <w:p w14:paraId="008A64C2" w14:textId="77777777" w:rsidR="005A7075" w:rsidRPr="00AB315F" w:rsidRDefault="005A7075" w:rsidP="005A7075">
      <w:pPr>
        <w:spacing w:line="360" w:lineRule="auto"/>
        <w:jc w:val="both"/>
        <w:rPr>
          <w:rFonts w:asciiTheme="minorHAnsi" w:hAnsiTheme="minorHAnsi"/>
        </w:rPr>
      </w:pPr>
      <w:r w:rsidRPr="00AB315F">
        <w:rPr>
          <w:rFonts w:asciiTheme="minorHAnsi" w:hAnsiTheme="minorHAnsi"/>
          <w:noProof/>
        </w:rPr>
        <mc:AlternateContent>
          <mc:Choice Requires="wps">
            <w:drawing>
              <wp:anchor distT="0" distB="0" distL="114300" distR="114300" simplePos="0" relativeHeight="251892736" behindDoc="0" locked="0" layoutInCell="1" allowOverlap="1" wp14:anchorId="04D53655" wp14:editId="029214F4">
                <wp:simplePos x="0" y="0"/>
                <wp:positionH relativeFrom="column">
                  <wp:posOffset>330817</wp:posOffset>
                </wp:positionH>
                <wp:positionV relativeFrom="paragraph">
                  <wp:posOffset>192328</wp:posOffset>
                </wp:positionV>
                <wp:extent cx="2378497" cy="570839"/>
                <wp:effectExtent l="0" t="0" r="22225" b="20320"/>
                <wp:wrapNone/>
                <wp:docPr id="4" name="Caixa de texto 4"/>
                <wp:cNvGraphicFramePr/>
                <a:graphic xmlns:a="http://schemas.openxmlformats.org/drawingml/2006/main">
                  <a:graphicData uri="http://schemas.microsoft.com/office/word/2010/wordprocessingShape">
                    <wps:wsp>
                      <wps:cNvSpPr txBox="1"/>
                      <wps:spPr>
                        <a:xfrm>
                          <a:off x="0" y="0"/>
                          <a:ext cx="2378497" cy="5708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EF8FFD6" w14:textId="77777777" w:rsidR="005D065B" w:rsidRPr="00DD7B90" w:rsidRDefault="005D065B" w:rsidP="005A7075">
                            <w:pPr>
                              <w:rPr>
                                <w:b/>
                              </w:rPr>
                            </w:pPr>
                            <w:r>
                              <w:rPr>
                                <w:b/>
                              </w:rPr>
                              <w:t>Conceituação</w:t>
                            </w:r>
                          </w:p>
                          <w:p w14:paraId="417B8344" w14:textId="77777777" w:rsidR="005D065B" w:rsidRPr="00DD7B90" w:rsidRDefault="005D065B" w:rsidP="005A7075">
                            <w:pPr>
                              <w:rPr>
                                <w:sz w:val="18"/>
                              </w:rPr>
                            </w:pPr>
                            <w:r>
                              <w:rPr>
                                <w:sz w:val="18"/>
                              </w:rPr>
                              <w:t>Formular um conceito sistematizado pesando sobre o arcabouço teórico-conceitual</w:t>
                            </w:r>
                          </w:p>
                          <w:p w14:paraId="3A67AF54" w14:textId="77777777" w:rsidR="005D065B" w:rsidRDefault="005D065B" w:rsidP="005A70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D53655" id="Caixa de texto 4" o:spid="_x0000_s1034" type="#_x0000_t202" style="position:absolute;left:0;text-align:left;margin-left:26.05pt;margin-top:15.15pt;width:187.3pt;height:44.95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" fillcolor="white [3201]" strokeweight=".5pt">
                <v:textbox>
                  <w:txbxContent>
                    <w:p w14:paraId="4EF8FFD6" w14:textId="77777777" w:rsidR="005D065B" w:rsidRPr="00DD7B90" w:rsidRDefault="005D065B" w:rsidP="005A7075">
                      <w:pPr>
                        <w:rPr>
                          <w:b/>
                        </w:rPr>
                      </w:pPr>
                      <w:r>
                        <w:rPr>
                          <w:b/>
                        </w:rPr>
                        <w:t>Conceituação</w:t>
                      </w:r>
                    </w:p>
                    <w:p w14:paraId="417B8344" w14:textId="77777777" w:rsidR="005D065B" w:rsidRPr="00DD7B90" w:rsidRDefault="005D065B" w:rsidP="005A7075">
                      <w:pPr>
                        <w:rPr>
                          <w:sz w:val="18"/>
                        </w:rPr>
                      </w:pPr>
                      <w:r>
                        <w:rPr>
                          <w:sz w:val="18"/>
                        </w:rPr>
                        <w:t>Formular um conceito sistematizado pesando sobre o arcabouço teórico-conceitual</w:t>
                      </w:r>
                    </w:p>
                    <w:p w14:paraId="3A67AF54" w14:textId="77777777" w:rsidR="005D065B" w:rsidRDefault="005D065B" w:rsidP="005A7075"/>
                  </w:txbxContent>
                </v:textbox>
              </v:shape>
            </w:pict>
          </mc:Fallback>
        </mc:AlternateContent>
      </w:r>
    </w:p>
    <w:p w14:paraId="5848142F" w14:textId="77777777" w:rsidR="005A7075" w:rsidRPr="00AB315F" w:rsidRDefault="005A7075" w:rsidP="005A7075">
      <w:pPr>
        <w:spacing w:line="360" w:lineRule="auto"/>
        <w:jc w:val="both"/>
        <w:rPr>
          <w:rFonts w:asciiTheme="minorHAnsi" w:hAnsiTheme="minorHAnsi"/>
        </w:rPr>
      </w:pPr>
    </w:p>
    <w:p w14:paraId="603B2145" w14:textId="77777777" w:rsidR="005A7075" w:rsidRPr="00AB315F" w:rsidRDefault="005A7075" w:rsidP="005A7075">
      <w:pPr>
        <w:spacing w:line="360" w:lineRule="auto"/>
        <w:jc w:val="both"/>
        <w:rPr>
          <w:rFonts w:asciiTheme="minorHAnsi" w:hAnsiTheme="minorHAnsi"/>
        </w:rPr>
      </w:pPr>
    </w:p>
    <w:p w14:paraId="57784355" w14:textId="77777777" w:rsidR="005A7075" w:rsidRPr="00AB315F" w:rsidRDefault="005A7075" w:rsidP="005A7075">
      <w:pPr>
        <w:spacing w:line="360" w:lineRule="auto"/>
        <w:jc w:val="both"/>
        <w:rPr>
          <w:rFonts w:asciiTheme="minorHAnsi" w:hAnsiTheme="minorHAnsi"/>
        </w:rPr>
      </w:pPr>
      <w:r w:rsidRPr="00AB315F">
        <w:rPr>
          <w:rFonts w:asciiTheme="minorHAnsi" w:hAnsiTheme="minorHAnsi"/>
          <w:noProof/>
        </w:rPr>
        <mc:AlternateContent>
          <mc:Choice Requires="wps">
            <w:drawing>
              <wp:anchor distT="0" distB="0" distL="114300" distR="114300" simplePos="0" relativeHeight="251893760" behindDoc="0" locked="0" layoutInCell="1" allowOverlap="1" wp14:anchorId="393A7F5A" wp14:editId="143467B5">
                <wp:simplePos x="0" y="0"/>
                <wp:positionH relativeFrom="column">
                  <wp:posOffset>1307931</wp:posOffset>
                </wp:positionH>
                <wp:positionV relativeFrom="paragraph">
                  <wp:posOffset>88728</wp:posOffset>
                </wp:positionV>
                <wp:extent cx="3546604" cy="766405"/>
                <wp:effectExtent l="0" t="0" r="15875" b="15240"/>
                <wp:wrapNone/>
                <wp:docPr id="5" name="Caixa de texto 5"/>
                <wp:cNvGraphicFramePr/>
                <a:graphic xmlns:a="http://schemas.openxmlformats.org/drawingml/2006/main">
                  <a:graphicData uri="http://schemas.microsoft.com/office/word/2010/wordprocessingShape">
                    <wps:wsp>
                      <wps:cNvSpPr txBox="1"/>
                      <wps:spPr>
                        <a:xfrm>
                          <a:off x="0" y="0"/>
                          <a:ext cx="3546604" cy="766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6BE0B5F" w14:textId="77777777" w:rsidR="005D065B" w:rsidRPr="00DD7B90" w:rsidRDefault="005D065B" w:rsidP="005A7075">
                            <w:pPr>
                              <w:jc w:val="center"/>
                              <w:rPr>
                                <w:b/>
                              </w:rPr>
                            </w:pPr>
                            <w:r>
                              <w:rPr>
                                <w:b/>
                              </w:rPr>
                              <w:t>Nível 2</w:t>
                            </w:r>
                          </w:p>
                          <w:p w14:paraId="33C71DE5" w14:textId="77777777" w:rsidR="005D065B" w:rsidRPr="00DD7B90" w:rsidRDefault="005D065B" w:rsidP="005A7075">
                            <w:pPr>
                              <w:jc w:val="center"/>
                              <w:rPr>
                                <w:b/>
                              </w:rPr>
                            </w:pPr>
                            <w:r>
                              <w:rPr>
                                <w:b/>
                              </w:rPr>
                              <w:t>Conceito sistematizado</w:t>
                            </w:r>
                          </w:p>
                          <w:p w14:paraId="78D2A09F" w14:textId="77777777" w:rsidR="005D065B" w:rsidRPr="00DD7B90" w:rsidRDefault="005D065B" w:rsidP="005A7075">
                            <w:pPr>
                              <w:jc w:val="center"/>
                              <w:rPr>
                                <w:sz w:val="18"/>
                              </w:rPr>
                            </w:pPr>
                            <w:r>
                              <w:rPr>
                                <w:sz w:val="18"/>
                              </w:rPr>
                              <w:t>Uma formulação específica do conceito usada por um grupo de pesquisadores e que geralmente envolvem uma formulação específica</w:t>
                            </w:r>
                          </w:p>
                          <w:p w14:paraId="4368EA13" w14:textId="77777777" w:rsidR="005D065B" w:rsidRDefault="005D065B" w:rsidP="005A70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A7F5A" id="Caixa de texto 5" o:spid="_x0000_s1035" type="#_x0000_t202" style="position:absolute;left:0;text-align:left;margin-left:103pt;margin-top:7pt;width:279.25pt;height:60.35pt;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" fillcolor="white [3201]" strokeweight=".5pt">
                <v:textbox>
                  <w:txbxContent>
                    <w:p w14:paraId="36BE0B5F" w14:textId="77777777" w:rsidR="005D065B" w:rsidRPr="00DD7B90" w:rsidRDefault="005D065B" w:rsidP="005A7075">
                      <w:pPr>
                        <w:jc w:val="center"/>
                        <w:rPr>
                          <w:b/>
                        </w:rPr>
                      </w:pPr>
                      <w:r>
                        <w:rPr>
                          <w:b/>
                        </w:rPr>
                        <w:t>Nível 2</w:t>
                      </w:r>
                    </w:p>
                    <w:p w14:paraId="33C71DE5" w14:textId="77777777" w:rsidR="005D065B" w:rsidRPr="00DD7B90" w:rsidRDefault="005D065B" w:rsidP="005A7075">
                      <w:pPr>
                        <w:jc w:val="center"/>
                        <w:rPr>
                          <w:b/>
                        </w:rPr>
                      </w:pPr>
                      <w:r>
                        <w:rPr>
                          <w:b/>
                        </w:rPr>
                        <w:t>Conceito sistematizado</w:t>
                      </w:r>
                    </w:p>
                    <w:p w14:paraId="78D2A09F" w14:textId="77777777" w:rsidR="005D065B" w:rsidRPr="00DD7B90" w:rsidRDefault="005D065B" w:rsidP="005A7075">
                      <w:pPr>
                        <w:jc w:val="center"/>
                        <w:rPr>
                          <w:sz w:val="18"/>
                        </w:rPr>
                      </w:pPr>
                      <w:r>
                        <w:rPr>
                          <w:sz w:val="18"/>
                        </w:rPr>
                        <w:t>Uma formulação específica do conceito usada por um grupo de pesquisadores e que geralmente envolvem uma formulação específica</w:t>
                      </w:r>
                    </w:p>
                    <w:p w14:paraId="4368EA13" w14:textId="77777777" w:rsidR="005D065B" w:rsidRDefault="005D065B" w:rsidP="005A7075"/>
                  </w:txbxContent>
                </v:textbox>
              </v:shape>
            </w:pict>
          </mc:Fallback>
        </mc:AlternateContent>
      </w:r>
    </w:p>
    <w:p w14:paraId="3BBC09F7" w14:textId="77777777" w:rsidR="005A7075" w:rsidRPr="00AB315F" w:rsidRDefault="005A7075" w:rsidP="005A7075">
      <w:pPr>
        <w:spacing w:line="360" w:lineRule="auto"/>
        <w:jc w:val="both"/>
        <w:rPr>
          <w:rFonts w:asciiTheme="minorHAnsi" w:hAnsiTheme="minorHAnsi"/>
        </w:rPr>
      </w:pPr>
    </w:p>
    <w:p w14:paraId="37D72CC3" w14:textId="77777777" w:rsidR="005A7075" w:rsidRPr="00AB315F" w:rsidRDefault="005A7075" w:rsidP="005A7075">
      <w:pPr>
        <w:spacing w:line="360" w:lineRule="auto"/>
        <w:jc w:val="both"/>
        <w:rPr>
          <w:rFonts w:asciiTheme="minorHAnsi" w:hAnsiTheme="minorHAnsi"/>
        </w:rPr>
      </w:pPr>
      <w:r w:rsidRPr="00AB315F">
        <w:rPr>
          <w:rFonts w:asciiTheme="minorHAnsi" w:hAnsiTheme="minorHAnsi"/>
          <w:noProof/>
        </w:rPr>
        <mc:AlternateContent>
          <mc:Choice Requires="wps">
            <w:drawing>
              <wp:anchor distT="0" distB="0" distL="114300" distR="114300" simplePos="0" relativeHeight="251897856" behindDoc="0" locked="0" layoutInCell="1" allowOverlap="1" wp14:anchorId="397B443A" wp14:editId="48F524C2">
                <wp:simplePos x="0" y="0"/>
                <wp:positionH relativeFrom="column">
                  <wp:posOffset>1170525</wp:posOffset>
                </wp:positionH>
                <wp:positionV relativeFrom="paragraph">
                  <wp:posOffset>1788</wp:posOffset>
                </wp:positionV>
                <wp:extent cx="45719" cy="1485239"/>
                <wp:effectExtent l="952500" t="0" r="50165" b="96520"/>
                <wp:wrapNone/>
                <wp:docPr id="10" name="Conector angulado 10"/>
                <wp:cNvGraphicFramePr/>
                <a:graphic xmlns:a="http://schemas.openxmlformats.org/drawingml/2006/main">
                  <a:graphicData uri="http://schemas.microsoft.com/office/word/2010/wordprocessingShape">
                    <wps:wsp>
                      <wps:cNvCnPr/>
                      <wps:spPr>
                        <a:xfrm flipH="1">
                          <a:off x="0" y="0"/>
                          <a:ext cx="45719" cy="1485239"/>
                        </a:xfrm>
                        <a:prstGeom prst="bentConnector3">
                          <a:avLst>
                            <a:gd name="adj1" fmla="val 220884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ABD71B" id="Conector angulado 10" o:spid="_x0000_s1026" type="#_x0000_t34" style="position:absolute;margin-left:92.15pt;margin-top:.15pt;width:3.6pt;height:116.95pt;flip:x;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" adj="477110" strokecolor="#5b9bd5 [3204]" strokeweight=".5pt">
                <v:stroke endarrow="block"/>
              </v:shape>
            </w:pict>
          </mc:Fallback>
        </mc:AlternateContent>
      </w:r>
    </w:p>
    <w:p w14:paraId="54DCFB1F" w14:textId="77777777" w:rsidR="005A7075" w:rsidRPr="00AB315F" w:rsidRDefault="005A7075" w:rsidP="005A7075">
      <w:pPr>
        <w:spacing w:line="360" w:lineRule="auto"/>
        <w:jc w:val="both"/>
        <w:rPr>
          <w:rFonts w:asciiTheme="minorHAnsi" w:hAnsiTheme="minorHAnsi"/>
        </w:rPr>
      </w:pPr>
      <w:r w:rsidRPr="00AB315F">
        <w:rPr>
          <w:rFonts w:asciiTheme="minorHAnsi" w:hAnsiTheme="minorHAnsi"/>
          <w:noProof/>
        </w:rPr>
        <mc:AlternateContent>
          <mc:Choice Requires="wps">
            <w:drawing>
              <wp:anchor distT="0" distB="0" distL="114300" distR="114300" simplePos="0" relativeHeight="251896832" behindDoc="0" locked="0" layoutInCell="1" allowOverlap="1" wp14:anchorId="7F900F73" wp14:editId="54AD9AF9">
                <wp:simplePos x="0" y="0"/>
                <wp:positionH relativeFrom="column">
                  <wp:posOffset>313481</wp:posOffset>
                </wp:positionH>
                <wp:positionV relativeFrom="paragraph">
                  <wp:posOffset>74277</wp:posOffset>
                </wp:positionV>
                <wp:extent cx="2378497" cy="570839"/>
                <wp:effectExtent l="0" t="0" r="22225" b="20320"/>
                <wp:wrapNone/>
                <wp:docPr id="9" name="Caixa de texto 9"/>
                <wp:cNvGraphicFramePr/>
                <a:graphic xmlns:a="http://schemas.openxmlformats.org/drawingml/2006/main">
                  <a:graphicData uri="http://schemas.microsoft.com/office/word/2010/wordprocessingShape">
                    <wps:wsp>
                      <wps:cNvSpPr txBox="1"/>
                      <wps:spPr>
                        <a:xfrm>
                          <a:off x="0" y="0"/>
                          <a:ext cx="2378497" cy="5708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E8AD8D" w14:textId="77777777" w:rsidR="005D065B" w:rsidRPr="00DD7B90" w:rsidRDefault="005D065B" w:rsidP="005A7075">
                            <w:pPr>
                              <w:rPr>
                                <w:b/>
                              </w:rPr>
                            </w:pPr>
                            <w:r>
                              <w:rPr>
                                <w:b/>
                              </w:rPr>
                              <w:t xml:space="preserve">Operacionalização </w:t>
                            </w:r>
                          </w:p>
                          <w:p w14:paraId="3B56BB1C" w14:textId="77777777" w:rsidR="005D065B" w:rsidRPr="00DD7B90" w:rsidRDefault="005D065B" w:rsidP="005A7075">
                            <w:pPr>
                              <w:rPr>
                                <w:sz w:val="18"/>
                              </w:rPr>
                            </w:pPr>
                            <w:r>
                              <w:rPr>
                                <w:sz w:val="18"/>
                              </w:rPr>
                              <w:t>Desenvolver, com base na sistematização do conceito um ou mais indicadores.</w:t>
                            </w:r>
                          </w:p>
                          <w:p w14:paraId="0955068E" w14:textId="77777777" w:rsidR="005D065B" w:rsidRDefault="005D065B" w:rsidP="005A70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900F73" id="Caixa de texto 9" o:spid="_x0000_s1036" type="#_x0000_t202" style="position:absolute;left:0;text-align:left;margin-left:24.7pt;margin-top:5.85pt;width:187.3pt;height:44.9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" fillcolor="white [3201]" strokeweight=".5pt">
                <v:textbox>
                  <w:txbxContent>
                    <w:p w14:paraId="2AE8AD8D" w14:textId="77777777" w:rsidR="005D065B" w:rsidRPr="00DD7B90" w:rsidRDefault="005D065B" w:rsidP="005A7075">
                      <w:pPr>
                        <w:rPr>
                          <w:b/>
                        </w:rPr>
                      </w:pPr>
                      <w:r>
                        <w:rPr>
                          <w:b/>
                        </w:rPr>
                        <w:t xml:space="preserve">Operacionalização </w:t>
                      </w:r>
                    </w:p>
                    <w:p w14:paraId="3B56BB1C" w14:textId="77777777" w:rsidR="005D065B" w:rsidRPr="00DD7B90" w:rsidRDefault="005D065B" w:rsidP="005A7075">
                      <w:pPr>
                        <w:rPr>
                          <w:sz w:val="18"/>
                        </w:rPr>
                      </w:pPr>
                      <w:r>
                        <w:rPr>
                          <w:sz w:val="18"/>
                        </w:rPr>
                        <w:t>Desenvolver, com base na sistematização do conceito um ou mais indicadores.</w:t>
                      </w:r>
                    </w:p>
                    <w:p w14:paraId="0955068E" w14:textId="77777777" w:rsidR="005D065B" w:rsidRDefault="005D065B" w:rsidP="005A7075"/>
                  </w:txbxContent>
                </v:textbox>
              </v:shape>
            </w:pict>
          </mc:Fallback>
        </mc:AlternateContent>
      </w:r>
    </w:p>
    <w:p w14:paraId="3C9ABCA3" w14:textId="77777777" w:rsidR="005A7075" w:rsidRPr="00AB315F" w:rsidRDefault="005A7075" w:rsidP="005A7075">
      <w:pPr>
        <w:spacing w:line="360" w:lineRule="auto"/>
        <w:jc w:val="both"/>
        <w:rPr>
          <w:rFonts w:asciiTheme="minorHAnsi" w:hAnsiTheme="minorHAnsi"/>
        </w:rPr>
      </w:pPr>
    </w:p>
    <w:p w14:paraId="17439408" w14:textId="77777777" w:rsidR="005A7075" w:rsidRPr="00AB315F" w:rsidRDefault="005A7075" w:rsidP="005A7075">
      <w:pPr>
        <w:spacing w:line="360" w:lineRule="auto"/>
        <w:jc w:val="both"/>
        <w:rPr>
          <w:rFonts w:asciiTheme="minorHAnsi" w:hAnsiTheme="minorHAnsi"/>
        </w:rPr>
      </w:pPr>
      <w:r w:rsidRPr="00AB315F">
        <w:rPr>
          <w:rFonts w:asciiTheme="minorHAnsi" w:hAnsiTheme="minorHAnsi"/>
          <w:noProof/>
        </w:rPr>
        <mc:AlternateContent>
          <mc:Choice Requires="wps">
            <w:drawing>
              <wp:anchor distT="0" distB="0" distL="114300" distR="114300" simplePos="0" relativeHeight="251895808" behindDoc="0" locked="0" layoutInCell="1" allowOverlap="1" wp14:anchorId="231F2763" wp14:editId="7D36CE23">
                <wp:simplePos x="0" y="0"/>
                <wp:positionH relativeFrom="column">
                  <wp:posOffset>1286712</wp:posOffset>
                </wp:positionH>
                <wp:positionV relativeFrom="paragraph">
                  <wp:posOffset>157098</wp:posOffset>
                </wp:positionV>
                <wp:extent cx="3546604" cy="766405"/>
                <wp:effectExtent l="0" t="0" r="15875" b="15240"/>
                <wp:wrapNone/>
                <wp:docPr id="8" name="Caixa de texto 8"/>
                <wp:cNvGraphicFramePr/>
                <a:graphic xmlns:a="http://schemas.openxmlformats.org/drawingml/2006/main">
                  <a:graphicData uri="http://schemas.microsoft.com/office/word/2010/wordprocessingShape">
                    <wps:wsp>
                      <wps:cNvSpPr txBox="1"/>
                      <wps:spPr>
                        <a:xfrm>
                          <a:off x="0" y="0"/>
                          <a:ext cx="3546604" cy="766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DE91FD9" w14:textId="77777777" w:rsidR="005D065B" w:rsidRPr="00DD7B90" w:rsidRDefault="005D065B" w:rsidP="005A7075">
                            <w:pPr>
                              <w:jc w:val="center"/>
                              <w:rPr>
                                <w:b/>
                              </w:rPr>
                            </w:pPr>
                            <w:r>
                              <w:rPr>
                                <w:b/>
                              </w:rPr>
                              <w:t>Nível 3</w:t>
                            </w:r>
                          </w:p>
                          <w:p w14:paraId="13778C65" w14:textId="77777777" w:rsidR="005D065B" w:rsidRPr="00DD7B90" w:rsidRDefault="005D065B" w:rsidP="005A7075">
                            <w:pPr>
                              <w:jc w:val="center"/>
                              <w:rPr>
                                <w:b/>
                              </w:rPr>
                            </w:pPr>
                            <w:r>
                              <w:rPr>
                                <w:b/>
                              </w:rPr>
                              <w:t>Indicadores</w:t>
                            </w:r>
                          </w:p>
                          <w:p w14:paraId="6C51B9E2" w14:textId="77777777" w:rsidR="005D065B" w:rsidRPr="00DD7B90" w:rsidRDefault="005D065B" w:rsidP="005A7075">
                            <w:pPr>
                              <w:jc w:val="center"/>
                              <w:rPr>
                                <w:sz w:val="18"/>
                              </w:rPr>
                            </w:pPr>
                            <w:r>
                              <w:rPr>
                                <w:sz w:val="18"/>
                              </w:rPr>
                              <w:t>Referentes às mensurações e operacionalização, são instrumentos para classificar ou pontuar (scoring) casos ou observações.</w:t>
                            </w:r>
                          </w:p>
                          <w:p w14:paraId="1654FFFA" w14:textId="77777777" w:rsidR="005D065B" w:rsidRDefault="005D065B" w:rsidP="005A70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1F2763" id="Caixa de texto 8" o:spid="_x0000_s1037" type="#_x0000_t202" style="position:absolute;left:0;text-align:left;margin-left:101.3pt;margin-top:12.35pt;width:279.25pt;height:60.35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" fillcolor="white [3201]" strokeweight=".5pt">
                <v:textbox>
                  <w:txbxContent>
                    <w:p w14:paraId="1DE91FD9" w14:textId="77777777" w:rsidR="005D065B" w:rsidRPr="00DD7B90" w:rsidRDefault="005D065B" w:rsidP="005A7075">
                      <w:pPr>
                        <w:jc w:val="center"/>
                        <w:rPr>
                          <w:b/>
                        </w:rPr>
                      </w:pPr>
                      <w:r>
                        <w:rPr>
                          <w:b/>
                        </w:rPr>
                        <w:t>Nível 3</w:t>
                      </w:r>
                    </w:p>
                    <w:p w14:paraId="13778C65" w14:textId="77777777" w:rsidR="005D065B" w:rsidRPr="00DD7B90" w:rsidRDefault="005D065B" w:rsidP="005A7075">
                      <w:pPr>
                        <w:jc w:val="center"/>
                        <w:rPr>
                          <w:b/>
                        </w:rPr>
                      </w:pPr>
                      <w:r>
                        <w:rPr>
                          <w:b/>
                        </w:rPr>
                        <w:t>Indicadores</w:t>
                      </w:r>
                    </w:p>
                    <w:p w14:paraId="6C51B9E2" w14:textId="77777777" w:rsidR="005D065B" w:rsidRPr="00DD7B90" w:rsidRDefault="005D065B" w:rsidP="005A7075">
                      <w:pPr>
                        <w:jc w:val="center"/>
                        <w:rPr>
                          <w:sz w:val="18"/>
                        </w:rPr>
                      </w:pPr>
                      <w:r>
                        <w:rPr>
                          <w:sz w:val="18"/>
                        </w:rPr>
                        <w:t>Referentes às mensurações e operacionalização, são instrumentos para classificar ou pontuar (scoring) casos ou observações.</w:t>
                      </w:r>
                    </w:p>
                    <w:p w14:paraId="1654FFFA" w14:textId="77777777" w:rsidR="005D065B" w:rsidRDefault="005D065B" w:rsidP="005A7075"/>
                  </w:txbxContent>
                </v:textbox>
              </v:shape>
            </w:pict>
          </mc:Fallback>
        </mc:AlternateContent>
      </w:r>
    </w:p>
    <w:p w14:paraId="1692B014" w14:textId="77777777" w:rsidR="005A7075" w:rsidRPr="00AB315F" w:rsidRDefault="005A7075" w:rsidP="005A7075">
      <w:pPr>
        <w:spacing w:line="360" w:lineRule="auto"/>
        <w:jc w:val="both"/>
        <w:rPr>
          <w:rFonts w:asciiTheme="minorHAnsi" w:hAnsiTheme="minorHAnsi"/>
        </w:rPr>
      </w:pPr>
    </w:p>
    <w:p w14:paraId="1479B973" w14:textId="77777777" w:rsidR="005A7075" w:rsidRPr="00AB315F" w:rsidRDefault="005A7075" w:rsidP="005A7075">
      <w:pPr>
        <w:spacing w:line="360" w:lineRule="auto"/>
        <w:jc w:val="both"/>
        <w:rPr>
          <w:rFonts w:asciiTheme="minorHAnsi" w:hAnsiTheme="minorHAnsi"/>
        </w:rPr>
      </w:pPr>
      <w:r w:rsidRPr="00AB315F">
        <w:rPr>
          <w:rFonts w:asciiTheme="minorHAnsi" w:hAnsiTheme="minorHAnsi"/>
          <w:noProof/>
        </w:rPr>
        <mc:AlternateContent>
          <mc:Choice Requires="wps">
            <w:drawing>
              <wp:anchor distT="0" distB="0" distL="114300" distR="114300" simplePos="0" relativeHeight="251899904" behindDoc="0" locked="0" layoutInCell="1" allowOverlap="1" wp14:anchorId="3A8F185D" wp14:editId="1EA6872C">
                <wp:simplePos x="0" y="0"/>
                <wp:positionH relativeFrom="column">
                  <wp:posOffset>1161973</wp:posOffset>
                </wp:positionH>
                <wp:positionV relativeFrom="paragraph">
                  <wp:posOffset>196956</wp:posOffset>
                </wp:positionV>
                <wp:extent cx="45719" cy="1485239"/>
                <wp:effectExtent l="952500" t="0" r="50165" b="96520"/>
                <wp:wrapNone/>
                <wp:docPr id="12" name="Conector angulado 12"/>
                <wp:cNvGraphicFramePr/>
                <a:graphic xmlns:a="http://schemas.openxmlformats.org/drawingml/2006/main">
                  <a:graphicData uri="http://schemas.microsoft.com/office/word/2010/wordprocessingShape">
                    <wps:wsp>
                      <wps:cNvCnPr/>
                      <wps:spPr>
                        <a:xfrm flipH="1">
                          <a:off x="0" y="0"/>
                          <a:ext cx="45719" cy="1485239"/>
                        </a:xfrm>
                        <a:prstGeom prst="bentConnector3">
                          <a:avLst>
                            <a:gd name="adj1" fmla="val 2208843"/>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7F037E" id="Conector angulado 12" o:spid="_x0000_s1026" type="#_x0000_t34" style="position:absolute;margin-left:91.5pt;margin-top:15.5pt;width:3.6pt;height:116.95pt;flip:x;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" adj="477110" strokecolor="#5b9bd5 [3204]" strokeweight=".5pt">
                <v:stroke endarrow="block"/>
              </v:shape>
            </w:pict>
          </mc:Fallback>
        </mc:AlternateContent>
      </w:r>
    </w:p>
    <w:p w14:paraId="1CCC1D83" w14:textId="77777777" w:rsidR="005A7075" w:rsidRPr="00AB315F" w:rsidRDefault="005A7075" w:rsidP="005A7075">
      <w:pPr>
        <w:spacing w:line="360" w:lineRule="auto"/>
        <w:jc w:val="both"/>
        <w:rPr>
          <w:rFonts w:asciiTheme="minorHAnsi" w:hAnsiTheme="minorHAnsi"/>
        </w:rPr>
      </w:pPr>
      <w:r w:rsidRPr="00AB315F">
        <w:rPr>
          <w:rFonts w:asciiTheme="minorHAnsi" w:hAnsiTheme="minorHAnsi"/>
          <w:noProof/>
        </w:rPr>
        <mc:AlternateContent>
          <mc:Choice Requires="wps">
            <w:drawing>
              <wp:anchor distT="0" distB="0" distL="114300" distR="114300" simplePos="0" relativeHeight="251898880" behindDoc="0" locked="0" layoutInCell="1" allowOverlap="1" wp14:anchorId="759C5F39" wp14:editId="0AFE0F69">
                <wp:simplePos x="0" y="0"/>
                <wp:positionH relativeFrom="column">
                  <wp:posOffset>329565</wp:posOffset>
                </wp:positionH>
                <wp:positionV relativeFrom="paragraph">
                  <wp:posOffset>201258</wp:posOffset>
                </wp:positionV>
                <wp:extent cx="2378497" cy="570839"/>
                <wp:effectExtent l="0" t="0" r="22225" b="20320"/>
                <wp:wrapNone/>
                <wp:docPr id="11" name="Caixa de texto 11"/>
                <wp:cNvGraphicFramePr/>
                <a:graphic xmlns:a="http://schemas.openxmlformats.org/drawingml/2006/main">
                  <a:graphicData uri="http://schemas.microsoft.com/office/word/2010/wordprocessingShape">
                    <wps:wsp>
                      <wps:cNvSpPr txBox="1"/>
                      <wps:spPr>
                        <a:xfrm>
                          <a:off x="0" y="0"/>
                          <a:ext cx="2378497" cy="57083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5ECCA73" w14:textId="77777777" w:rsidR="005D065B" w:rsidRPr="00DD7B90" w:rsidRDefault="005D065B" w:rsidP="005A7075">
                            <w:pPr>
                              <w:rPr>
                                <w:b/>
                              </w:rPr>
                            </w:pPr>
                            <w:r>
                              <w:rPr>
                                <w:b/>
                              </w:rPr>
                              <w:t xml:space="preserve">Scoring  </w:t>
                            </w:r>
                          </w:p>
                          <w:p w14:paraId="781F7331" w14:textId="77777777" w:rsidR="005D065B" w:rsidRPr="00DD7B90" w:rsidRDefault="005D065B" w:rsidP="005A7075">
                            <w:pPr>
                              <w:rPr>
                                <w:sz w:val="18"/>
                              </w:rPr>
                            </w:pPr>
                            <w:r>
                              <w:rPr>
                                <w:sz w:val="18"/>
                              </w:rPr>
                              <w:t xml:space="preserve">Aplicar o indicador para produzir scores para os casos analizados. </w:t>
                            </w:r>
                          </w:p>
                          <w:p w14:paraId="699321B3" w14:textId="77777777" w:rsidR="005D065B" w:rsidRDefault="005D065B" w:rsidP="005A70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C5F39" id="Caixa de texto 11" o:spid="_x0000_s1038" type="#_x0000_t202" style="position:absolute;left:0;text-align:left;margin-left:25.95pt;margin-top:15.85pt;width:187.3pt;height:44.9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" fillcolor="white [3201]" strokeweight=".5pt">
                <v:textbox>
                  <w:txbxContent>
                    <w:p w14:paraId="55ECCA73" w14:textId="77777777" w:rsidR="005D065B" w:rsidRPr="00DD7B90" w:rsidRDefault="005D065B" w:rsidP="005A7075">
                      <w:pPr>
                        <w:rPr>
                          <w:b/>
                        </w:rPr>
                      </w:pPr>
                      <w:r>
                        <w:rPr>
                          <w:b/>
                        </w:rPr>
                        <w:t xml:space="preserve">Scoring  </w:t>
                      </w:r>
                    </w:p>
                    <w:p w14:paraId="781F7331" w14:textId="77777777" w:rsidR="005D065B" w:rsidRPr="00DD7B90" w:rsidRDefault="005D065B" w:rsidP="005A7075">
                      <w:pPr>
                        <w:rPr>
                          <w:sz w:val="18"/>
                        </w:rPr>
                      </w:pPr>
                      <w:r>
                        <w:rPr>
                          <w:sz w:val="18"/>
                        </w:rPr>
                        <w:t xml:space="preserve">Aplicar o indicador para produzir scores para os casos analizados. </w:t>
                      </w:r>
                    </w:p>
                    <w:p w14:paraId="699321B3" w14:textId="77777777" w:rsidR="005D065B" w:rsidRDefault="005D065B" w:rsidP="005A7075"/>
                  </w:txbxContent>
                </v:textbox>
              </v:shape>
            </w:pict>
          </mc:Fallback>
        </mc:AlternateContent>
      </w:r>
    </w:p>
    <w:p w14:paraId="5D94EEEC" w14:textId="77777777" w:rsidR="005A7075" w:rsidRDefault="005A7075" w:rsidP="005A7075">
      <w:pPr>
        <w:spacing w:line="360" w:lineRule="auto"/>
        <w:jc w:val="both"/>
        <w:rPr>
          <w:rFonts w:asciiTheme="minorHAnsi" w:hAnsiTheme="minorHAnsi"/>
        </w:rPr>
      </w:pPr>
    </w:p>
    <w:p w14:paraId="210D1C11" w14:textId="77777777" w:rsidR="000225AB" w:rsidRDefault="000225AB" w:rsidP="005A7075">
      <w:pPr>
        <w:spacing w:line="360" w:lineRule="auto"/>
        <w:jc w:val="both"/>
        <w:rPr>
          <w:rFonts w:asciiTheme="minorHAnsi" w:hAnsiTheme="minorHAnsi"/>
        </w:rPr>
      </w:pPr>
    </w:p>
    <w:p w14:paraId="0EFA825C" w14:textId="7FDD2D58" w:rsidR="000225AB" w:rsidRDefault="000225AB" w:rsidP="005A7075">
      <w:pPr>
        <w:spacing w:line="360" w:lineRule="auto"/>
        <w:jc w:val="both"/>
        <w:rPr>
          <w:rFonts w:asciiTheme="minorHAnsi" w:hAnsiTheme="minorHAnsi"/>
        </w:rPr>
      </w:pPr>
      <w:r w:rsidRPr="00AB315F">
        <w:rPr>
          <w:rFonts w:asciiTheme="minorHAnsi" w:hAnsiTheme="minorHAnsi"/>
          <w:noProof/>
        </w:rPr>
        <mc:AlternateContent>
          <mc:Choice Requires="wps">
            <w:drawing>
              <wp:anchor distT="0" distB="0" distL="114300" distR="114300" simplePos="0" relativeHeight="251900928" behindDoc="0" locked="0" layoutInCell="1" allowOverlap="1" wp14:anchorId="4FA1F2CE" wp14:editId="7429AF37">
                <wp:simplePos x="0" y="0"/>
                <wp:positionH relativeFrom="column">
                  <wp:posOffset>1286672</wp:posOffset>
                </wp:positionH>
                <wp:positionV relativeFrom="paragraph">
                  <wp:posOffset>161939</wp:posOffset>
                </wp:positionV>
                <wp:extent cx="3546604" cy="766405"/>
                <wp:effectExtent l="0" t="0" r="15875" b="15240"/>
                <wp:wrapNone/>
                <wp:docPr id="13" name="Caixa de texto 13"/>
                <wp:cNvGraphicFramePr/>
                <a:graphic xmlns:a="http://schemas.openxmlformats.org/drawingml/2006/main">
                  <a:graphicData uri="http://schemas.microsoft.com/office/word/2010/wordprocessingShape">
                    <wps:wsp>
                      <wps:cNvSpPr txBox="1"/>
                      <wps:spPr>
                        <a:xfrm>
                          <a:off x="0" y="0"/>
                          <a:ext cx="3546604" cy="766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80B674" w14:textId="77777777" w:rsidR="005D065B" w:rsidRDefault="005D065B" w:rsidP="005A7075">
                            <w:pPr>
                              <w:jc w:val="center"/>
                              <w:rPr>
                                <w:b/>
                              </w:rPr>
                            </w:pPr>
                            <w:r>
                              <w:rPr>
                                <w:b/>
                              </w:rPr>
                              <w:t>Nível 4</w:t>
                            </w:r>
                          </w:p>
                          <w:p w14:paraId="00E46599" w14:textId="77777777" w:rsidR="005D065B" w:rsidRPr="00DD7B90" w:rsidRDefault="005D065B" w:rsidP="005A7075">
                            <w:pPr>
                              <w:jc w:val="center"/>
                              <w:rPr>
                                <w:b/>
                              </w:rPr>
                            </w:pPr>
                            <w:r>
                              <w:rPr>
                                <w:b/>
                              </w:rPr>
                              <w:t>Escalas de classificação para casos</w:t>
                            </w:r>
                          </w:p>
                          <w:p w14:paraId="551A4FCF" w14:textId="77777777" w:rsidR="005D065B" w:rsidRPr="00DD7B90" w:rsidRDefault="005D065B" w:rsidP="005A7075">
                            <w:pPr>
                              <w:jc w:val="center"/>
                              <w:rPr>
                                <w:sz w:val="18"/>
                              </w:rPr>
                            </w:pPr>
                            <w:r>
                              <w:rPr>
                                <w:sz w:val="18"/>
                              </w:rPr>
                              <w:t>A pontuação, marcação ou classificação gerada pelo indicador.</w:t>
                            </w:r>
                          </w:p>
                          <w:p w14:paraId="6D749F00" w14:textId="77777777" w:rsidR="005D065B" w:rsidRDefault="005D065B" w:rsidP="005A70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A1F2CE" id="Caixa de texto 13" o:spid="_x0000_s1039" type="#_x0000_t202" style="position:absolute;left:0;text-align:left;margin-left:101.3pt;margin-top:12.75pt;width:279.25pt;height:60.35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" fillcolor="white [3201]" strokeweight=".5pt">
                <v:textbox>
                  <w:txbxContent>
                    <w:p w14:paraId="4C80B674" w14:textId="77777777" w:rsidR="005D065B" w:rsidRDefault="005D065B" w:rsidP="005A7075">
                      <w:pPr>
                        <w:jc w:val="center"/>
                        <w:rPr>
                          <w:b/>
                        </w:rPr>
                      </w:pPr>
                      <w:r>
                        <w:rPr>
                          <w:b/>
                        </w:rPr>
                        <w:t>Nível 4</w:t>
                      </w:r>
                    </w:p>
                    <w:p w14:paraId="00E46599" w14:textId="77777777" w:rsidR="005D065B" w:rsidRPr="00DD7B90" w:rsidRDefault="005D065B" w:rsidP="005A7075">
                      <w:pPr>
                        <w:jc w:val="center"/>
                        <w:rPr>
                          <w:b/>
                        </w:rPr>
                      </w:pPr>
                      <w:r>
                        <w:rPr>
                          <w:b/>
                        </w:rPr>
                        <w:t>Escalas de classificação para casos</w:t>
                      </w:r>
                    </w:p>
                    <w:p w14:paraId="551A4FCF" w14:textId="77777777" w:rsidR="005D065B" w:rsidRPr="00DD7B90" w:rsidRDefault="005D065B" w:rsidP="005A7075">
                      <w:pPr>
                        <w:jc w:val="center"/>
                        <w:rPr>
                          <w:sz w:val="18"/>
                        </w:rPr>
                      </w:pPr>
                      <w:r>
                        <w:rPr>
                          <w:sz w:val="18"/>
                        </w:rPr>
                        <w:t>A pontuação, marcação ou classificação gerada pelo indicador.</w:t>
                      </w:r>
                    </w:p>
                    <w:p w14:paraId="6D749F00" w14:textId="77777777" w:rsidR="005D065B" w:rsidRDefault="005D065B" w:rsidP="005A7075"/>
                  </w:txbxContent>
                </v:textbox>
              </v:shape>
            </w:pict>
          </mc:Fallback>
        </mc:AlternateContent>
      </w:r>
    </w:p>
    <w:p w14:paraId="3B67B028" w14:textId="140E3392" w:rsidR="000225AB" w:rsidRDefault="000225AB" w:rsidP="005A7075">
      <w:pPr>
        <w:spacing w:line="360" w:lineRule="auto"/>
        <w:jc w:val="both"/>
        <w:rPr>
          <w:rFonts w:asciiTheme="minorHAnsi" w:hAnsiTheme="minorHAnsi"/>
        </w:rPr>
      </w:pPr>
    </w:p>
    <w:p w14:paraId="13DDB2DE" w14:textId="09E28517" w:rsidR="000225AB" w:rsidRPr="00AB315F" w:rsidRDefault="000225AB" w:rsidP="005A7075">
      <w:pPr>
        <w:spacing w:line="360" w:lineRule="auto"/>
        <w:jc w:val="both"/>
        <w:rPr>
          <w:rFonts w:asciiTheme="minorHAnsi" w:hAnsiTheme="minorHAnsi"/>
        </w:rPr>
      </w:pPr>
    </w:p>
    <w:p w14:paraId="359EC6C0" w14:textId="0F148266" w:rsidR="005A7075" w:rsidRPr="00AB315F" w:rsidRDefault="005A7075" w:rsidP="005A7075">
      <w:pPr>
        <w:spacing w:line="360" w:lineRule="auto"/>
        <w:jc w:val="both"/>
        <w:rPr>
          <w:rFonts w:asciiTheme="minorHAnsi" w:hAnsiTheme="minorHAnsi"/>
        </w:rPr>
      </w:pPr>
    </w:p>
    <w:p w14:paraId="09B0E742" w14:textId="520CD5D3"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Pr="00AB315F">
        <w:rPr>
          <w:rFonts w:asciiTheme="minorHAnsi" w:hAnsiTheme="minorHAnsi"/>
        </w:rPr>
        <w:t>Adcock e Collier (2001)</w:t>
      </w:r>
    </w:p>
    <w:p w14:paraId="273B869F" w14:textId="674C569E" w:rsidR="005A7075" w:rsidRPr="00AB315F" w:rsidRDefault="005A7075" w:rsidP="005A7075">
      <w:pPr>
        <w:spacing w:line="360" w:lineRule="auto"/>
        <w:jc w:val="both"/>
        <w:rPr>
          <w:rFonts w:asciiTheme="minorHAnsi" w:hAnsiTheme="minorHAnsi"/>
        </w:rPr>
      </w:pPr>
    </w:p>
    <w:p w14:paraId="5BDC6AA8"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De forma mais simplificada, Adcock e Collier (2001) pontuam que a validação deveria enfocar a relação entre observações e o conceito sistematizado. Ademais, consideram que a divergência ou disputa conceitual é uma questão isolada da atividade de validar indicadores, portanto, divergência teórico-conceitual é algo relevante, porém, uma condição não necessária para alcance de validação. </w:t>
      </w:r>
    </w:p>
    <w:p w14:paraId="31F49F80"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Seguindo a orientação de Adcok e Collier (2001) a validação das medidas deve seguir três principais diretrizes: validação de conteúdo, validação convergente -discriminatória, e validade nomológica.</w:t>
      </w:r>
    </w:p>
    <w:p w14:paraId="1097BDA1" w14:textId="77777777" w:rsidR="005A7075" w:rsidRPr="00A2791F" w:rsidRDefault="005A7075" w:rsidP="006C2AAD">
      <w:pPr>
        <w:pStyle w:val="Subttulo"/>
        <w:rPr>
          <w:b/>
          <w:color w:val="auto"/>
        </w:rPr>
      </w:pPr>
      <w:r w:rsidRPr="00A2791F">
        <w:rPr>
          <w:b/>
          <w:color w:val="auto"/>
        </w:rPr>
        <w:lastRenderedPageBreak/>
        <w:t>Validação de conteúdo</w:t>
      </w:r>
    </w:p>
    <w:p w14:paraId="285291F2"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Questiona se o indicador capta o conteúdo sistemático do conceito, se pode ser replicável a perguntas futuras, se existem elementos chaves omitidos no indicador e se existem elementos inapropriados incluídos ao indicador. Como discutido, se faz importante que haja algum grau de concordância conceitual quanto ao fenômeno debatido. Apesar de necessária, a validação de conteúdo não é suficiente para estabelecer a validade. </w:t>
      </w:r>
    </w:p>
    <w:p w14:paraId="02B5BD32" w14:textId="77777777" w:rsidR="005A7075" w:rsidRPr="00A2791F" w:rsidRDefault="005A7075" w:rsidP="006C2AAD">
      <w:pPr>
        <w:pStyle w:val="Subttulo"/>
        <w:rPr>
          <w:b/>
          <w:color w:val="auto"/>
        </w:rPr>
      </w:pPr>
      <w:r w:rsidRPr="00A2791F">
        <w:rPr>
          <w:b/>
          <w:color w:val="auto"/>
        </w:rPr>
        <w:t>Validação convergente/discriminante:</w:t>
      </w:r>
    </w:p>
    <w:p w14:paraId="1127D732"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Neste caso, a variância compartilhada por indicadores pode sugerir evidências de validação.</w:t>
      </w:r>
    </w:p>
    <w:p w14:paraId="40775D34"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A validação convergente questiona se os scores de indicadores alternativos (do mesmo conceito) são convergentes e empiricamente associados ao indicador em análise. Foca em múltiplos indicadores de um mesmo conceito.</w:t>
      </w:r>
      <w:r w:rsidRPr="00AB315F">
        <w:rPr>
          <w:rStyle w:val="Refdenotaderodap"/>
          <w:rFonts w:asciiTheme="minorHAnsi" w:hAnsiTheme="minorHAnsi"/>
        </w:rPr>
        <w:footnoteReference w:id="15"/>
      </w:r>
      <w:r w:rsidRPr="00AB315F">
        <w:rPr>
          <w:rFonts w:asciiTheme="minorHAnsi" w:hAnsiTheme="minorHAnsi"/>
        </w:rPr>
        <w:t xml:space="preserve"> Ao contrário, validade discriminante pode ser auferida quando existe uma correlação negativa modesta entre os indicadores do mesmo conceito, porém, de dimensões diferentes, ou ainda, quando o indicador se relaciona de maneira diferente com outros conceitos.</w:t>
      </w:r>
    </w:p>
    <w:p w14:paraId="3E3F5BAC"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Convergência ou divergência devem ser teórico e conceitualmente justificadas, a fim de que as inferências descritivas não sejam guiadas exclusivamente por achados empíricos. </w:t>
      </w:r>
    </w:p>
    <w:p w14:paraId="1FACAFC6" w14:textId="71633B44" w:rsidR="005A7075" w:rsidRPr="00A2791F" w:rsidRDefault="005A7075" w:rsidP="006C2AAD">
      <w:pPr>
        <w:pStyle w:val="Subttulo"/>
        <w:rPr>
          <w:b/>
          <w:color w:val="auto"/>
        </w:rPr>
      </w:pPr>
      <w:r w:rsidRPr="00A2791F">
        <w:rPr>
          <w:b/>
          <w:color w:val="auto"/>
        </w:rPr>
        <w:t>Validação de Nomo</w:t>
      </w:r>
      <w:r w:rsidR="00A2791F">
        <w:rPr>
          <w:b/>
          <w:color w:val="auto"/>
        </w:rPr>
        <w:t>l</w:t>
      </w:r>
      <w:r w:rsidRPr="00A2791F">
        <w:rPr>
          <w:b/>
          <w:color w:val="auto"/>
        </w:rPr>
        <w:t>ógica</w:t>
      </w:r>
    </w:p>
    <w:p w14:paraId="3EE0140C"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Baseia-se na investigação explícita de constructo e medidas em termos de hipóteses formais derivadas da teoria. Investiga a relação teórica entre diferentes constructos e a relação empírica destes com constructos diferentes. Ou seja, este tipo de validação avalia o desempenho de um indicador em relação a uma hipótese causal. </w:t>
      </w:r>
    </w:p>
    <w:p w14:paraId="356DF763"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Validação de nomológica foca em indicadores de diferentes conceitos que estão conectados por relações de causas e efeito. A partir de hipóteses bem estabelecidas na </w:t>
      </w:r>
      <w:r w:rsidRPr="00AB315F">
        <w:rPr>
          <w:rFonts w:asciiTheme="minorHAnsi" w:hAnsiTheme="minorHAnsi"/>
        </w:rPr>
        <w:lastRenderedPageBreak/>
        <w:t>literatura, o indicador pode ser avaliado segundo sua relação de causa ou efeito com outros indicadores de conceitos diferentes.</w:t>
      </w:r>
    </w:p>
    <w:p w14:paraId="56B86170" w14:textId="259C7C77" w:rsidR="005A7075" w:rsidRPr="00113799" w:rsidRDefault="00113799" w:rsidP="00113799">
      <w:pPr>
        <w:pStyle w:val="Ttulo2"/>
        <w:rPr>
          <w:color w:val="auto"/>
        </w:rPr>
      </w:pPr>
      <w:bookmarkStart w:id="17" w:name="_Toc456241250"/>
      <w:r>
        <w:rPr>
          <w:color w:val="auto"/>
        </w:rPr>
        <w:t>2.</w:t>
      </w:r>
      <w:r w:rsidR="005C5CA5" w:rsidRPr="00113799">
        <w:rPr>
          <w:color w:val="auto"/>
        </w:rPr>
        <w:t xml:space="preserve">2 </w:t>
      </w:r>
      <w:r w:rsidR="005A7075" w:rsidRPr="00113799">
        <w:rPr>
          <w:color w:val="auto"/>
        </w:rPr>
        <w:t>Confiabilidade</w:t>
      </w:r>
      <w:bookmarkEnd w:id="17"/>
    </w:p>
    <w:p w14:paraId="7A7EE2AC"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Segundo Hair Junior et al. (2005), confiabilidade é o grau em que um conjunto de indicadores de uma variável latente (construto) é consistente em suas mensurações.</w:t>
      </w:r>
    </w:p>
    <w:p w14:paraId="70CACA48"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Na medida em que o construto é um conceito que o pesquisador pode definir em termos teóricos, mas que não pode ser medido diretamente ou medido sem erro, apenas representado ou medido por um ou mais indicadores, os indicadores de tolerância à corrupção se valem de um conjunto de itens de resposta para criarem medidas que captem as dimensões teóricas do fenômeno. </w:t>
      </w:r>
    </w:p>
    <w:p w14:paraId="2EBF1847"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As respostas a tais itens, de uma forma combinada, fornecem uma medida razoável do construto para um indivíduo (HAIR JUNIOR et al., 2005).</w:t>
      </w:r>
    </w:p>
    <w:p w14:paraId="741339D3"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Segundo Carmines e Zeller (1979) confiabilidade é um traço de consistência de uma medida, assim os testes para este tipo de análise, avaliam as comunialidades e covariações entre itens que medem um mesmo conceito ou suas diferentes dimensões. A confiabilidade também é alcançada pela consistência dos resultados obtidos com a mesma medida quando aplicada em períodos de tempo diferentes, mas com amostras similares.</w:t>
      </w:r>
    </w:p>
    <w:p w14:paraId="209E5249" w14:textId="00279041" w:rsidR="005A7075" w:rsidRPr="00113799" w:rsidRDefault="005C5CA5" w:rsidP="00113799">
      <w:pPr>
        <w:pStyle w:val="Ttulo2"/>
        <w:rPr>
          <w:color w:val="auto"/>
        </w:rPr>
      </w:pPr>
      <w:bookmarkStart w:id="18" w:name="_Toc456241251"/>
      <w:r w:rsidRPr="00113799">
        <w:rPr>
          <w:color w:val="auto"/>
        </w:rPr>
        <w:t>2</w:t>
      </w:r>
      <w:r w:rsidR="00113799">
        <w:rPr>
          <w:color w:val="auto"/>
        </w:rPr>
        <w:t>.</w:t>
      </w:r>
      <w:r w:rsidRPr="00113799">
        <w:rPr>
          <w:color w:val="auto"/>
        </w:rPr>
        <w:t xml:space="preserve">3 </w:t>
      </w:r>
      <w:r w:rsidR="005A7075" w:rsidRPr="00113799">
        <w:rPr>
          <w:color w:val="auto"/>
        </w:rPr>
        <w:t>Especificidade Contextual</w:t>
      </w:r>
      <w:bookmarkEnd w:id="18"/>
    </w:p>
    <w:p w14:paraId="74C76D18" w14:textId="77777777" w:rsidR="005A7075" w:rsidRPr="00AB315F" w:rsidRDefault="005A7075" w:rsidP="005A7075">
      <w:pPr>
        <w:spacing w:after="240" w:line="360" w:lineRule="auto"/>
        <w:ind w:firstLine="708"/>
        <w:jc w:val="both"/>
        <w:rPr>
          <w:rFonts w:asciiTheme="minorHAnsi" w:hAnsiTheme="minorHAnsi"/>
          <w:lang w:val="pt-PT"/>
        </w:rPr>
      </w:pPr>
      <w:r w:rsidRPr="00AB315F">
        <w:rPr>
          <w:rFonts w:asciiTheme="minorHAnsi" w:hAnsiTheme="minorHAnsi"/>
          <w:lang w:val="pt-PT"/>
        </w:rPr>
        <w:t xml:space="preserve">O contexto importa. </w:t>
      </w:r>
      <w:r w:rsidRPr="00AB315F">
        <w:rPr>
          <w:rFonts w:asciiTheme="minorHAnsi" w:hAnsiTheme="minorHAnsi"/>
        </w:rPr>
        <w:t xml:space="preserve">Adcok e Collier (2010) </w:t>
      </w:r>
      <w:r w:rsidRPr="00AB315F">
        <w:rPr>
          <w:rFonts w:asciiTheme="minorHAnsi" w:hAnsiTheme="minorHAnsi"/>
          <w:lang w:val="pt-PT"/>
        </w:rPr>
        <w:t xml:space="preserve">debatem o estabelecimento de equivalencia com relação a diversos contextos e considera que esta questão afeta muitas áreas da ciência política, e é especialmente recorrente em pesquisas transnacionais (cross-nationals).  </w:t>
      </w:r>
    </w:p>
    <w:p w14:paraId="21B122DD"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lang w:val="pt-PT"/>
        </w:rPr>
        <w:t xml:space="preserve">A preocupação é tentar estabelecer equivalência conceitual entre os diversos contextos, como uma forma de contribuir para validade da mensuração. </w:t>
      </w:r>
    </w:p>
    <w:p w14:paraId="2393368D" w14:textId="77777777" w:rsidR="005A7075" w:rsidRPr="00AB315F" w:rsidRDefault="005A7075" w:rsidP="005A7075">
      <w:pPr>
        <w:spacing w:after="240"/>
        <w:ind w:left="2410"/>
        <w:jc w:val="both"/>
        <w:rPr>
          <w:rFonts w:asciiTheme="minorHAnsi" w:hAnsiTheme="minorHAnsi"/>
          <w:sz w:val="20"/>
        </w:rPr>
      </w:pPr>
      <w:r w:rsidRPr="00AB315F">
        <w:rPr>
          <w:rFonts w:asciiTheme="minorHAnsi" w:hAnsiTheme="minorHAnsi"/>
          <w:sz w:val="20"/>
          <w:lang w:val="pt-PT"/>
        </w:rPr>
        <w:t>“</w:t>
      </w:r>
      <w:r w:rsidRPr="00AB315F">
        <w:rPr>
          <w:rStyle w:val="hps"/>
          <w:rFonts w:asciiTheme="minorHAnsi" w:hAnsiTheme="minorHAnsi"/>
          <w:sz w:val="20"/>
          <w:lang w:val="pt-PT"/>
        </w:rPr>
        <w:t>Bem</w:t>
      </w:r>
      <w:r w:rsidRPr="00AB315F">
        <w:rPr>
          <w:rFonts w:asciiTheme="minorHAnsi" w:hAnsiTheme="minorHAnsi"/>
          <w:sz w:val="20"/>
          <w:lang w:val="pt-PT"/>
        </w:rPr>
        <w:t xml:space="preserve"> </w:t>
      </w:r>
      <w:r w:rsidRPr="00AB315F">
        <w:rPr>
          <w:rStyle w:val="hps"/>
          <w:rFonts w:asciiTheme="minorHAnsi" w:hAnsiTheme="minorHAnsi"/>
          <w:sz w:val="20"/>
          <w:lang w:val="pt-PT"/>
        </w:rPr>
        <w:t>antes de pensar em</w:t>
      </w:r>
      <w:r w:rsidRPr="00AB315F">
        <w:rPr>
          <w:rFonts w:asciiTheme="minorHAnsi" w:hAnsiTheme="minorHAnsi"/>
          <w:sz w:val="20"/>
          <w:lang w:val="pt-PT"/>
        </w:rPr>
        <w:t xml:space="preserve"> </w:t>
      </w:r>
      <w:r w:rsidRPr="00AB315F">
        <w:rPr>
          <w:rStyle w:val="hps"/>
          <w:rFonts w:asciiTheme="minorHAnsi" w:hAnsiTheme="minorHAnsi"/>
          <w:sz w:val="20"/>
          <w:lang w:val="pt-PT"/>
        </w:rPr>
        <w:t>determinados</w:t>
      </w:r>
      <w:r w:rsidRPr="00AB315F">
        <w:rPr>
          <w:rFonts w:asciiTheme="minorHAnsi" w:hAnsiTheme="minorHAnsi"/>
          <w:sz w:val="20"/>
          <w:lang w:val="pt-PT"/>
        </w:rPr>
        <w:t xml:space="preserve"> </w:t>
      </w:r>
      <w:r w:rsidRPr="00AB315F">
        <w:rPr>
          <w:rStyle w:val="hps"/>
          <w:rFonts w:asciiTheme="minorHAnsi" w:hAnsiTheme="minorHAnsi"/>
          <w:sz w:val="20"/>
          <w:lang w:val="pt-PT"/>
        </w:rPr>
        <w:t>procedimentos</w:t>
      </w:r>
      <w:r w:rsidRPr="00AB315F">
        <w:rPr>
          <w:rFonts w:asciiTheme="minorHAnsi" w:hAnsiTheme="minorHAnsi"/>
          <w:sz w:val="20"/>
          <w:lang w:val="pt-PT"/>
        </w:rPr>
        <w:t xml:space="preserve"> </w:t>
      </w:r>
      <w:r w:rsidRPr="00AB315F">
        <w:rPr>
          <w:rStyle w:val="hps"/>
          <w:rFonts w:asciiTheme="minorHAnsi" w:hAnsiTheme="minorHAnsi"/>
          <w:sz w:val="20"/>
          <w:lang w:val="pt-PT"/>
        </w:rPr>
        <w:t>de pontuação</w:t>
      </w:r>
      <w:r w:rsidRPr="00AB315F">
        <w:rPr>
          <w:rFonts w:asciiTheme="minorHAnsi" w:hAnsiTheme="minorHAnsi"/>
          <w:sz w:val="20"/>
          <w:lang w:val="pt-PT"/>
        </w:rPr>
        <w:t xml:space="preserve">, os estudiosos </w:t>
      </w:r>
      <w:r w:rsidRPr="00AB315F">
        <w:rPr>
          <w:rStyle w:val="hps"/>
          <w:rFonts w:asciiTheme="minorHAnsi" w:hAnsiTheme="minorHAnsi"/>
          <w:sz w:val="20"/>
          <w:lang w:val="pt-PT"/>
        </w:rPr>
        <w:t>podem ter de</w:t>
      </w:r>
      <w:r w:rsidRPr="00AB315F">
        <w:rPr>
          <w:rFonts w:asciiTheme="minorHAnsi" w:hAnsiTheme="minorHAnsi"/>
          <w:sz w:val="20"/>
          <w:lang w:val="pt-PT"/>
        </w:rPr>
        <w:t xml:space="preserve"> </w:t>
      </w:r>
      <w:r w:rsidRPr="00AB315F">
        <w:rPr>
          <w:rStyle w:val="hps"/>
          <w:rFonts w:asciiTheme="minorHAnsi" w:hAnsiTheme="minorHAnsi"/>
          <w:sz w:val="20"/>
          <w:lang w:val="pt-PT"/>
        </w:rPr>
        <w:t>fazer escolhas</w:t>
      </w:r>
      <w:r w:rsidRPr="00AB315F">
        <w:rPr>
          <w:rFonts w:asciiTheme="minorHAnsi" w:hAnsiTheme="minorHAnsi"/>
          <w:sz w:val="20"/>
          <w:lang w:val="pt-PT"/>
        </w:rPr>
        <w:t xml:space="preserve"> </w:t>
      </w:r>
      <w:r w:rsidRPr="00AB315F">
        <w:rPr>
          <w:rStyle w:val="hps"/>
          <w:rFonts w:asciiTheme="minorHAnsi" w:hAnsiTheme="minorHAnsi"/>
          <w:sz w:val="20"/>
          <w:lang w:val="pt-PT"/>
        </w:rPr>
        <w:t>sensíveis ao contexto</w:t>
      </w:r>
      <w:r w:rsidRPr="00AB315F">
        <w:rPr>
          <w:rFonts w:asciiTheme="minorHAnsi" w:hAnsiTheme="minorHAnsi"/>
          <w:sz w:val="20"/>
          <w:lang w:val="pt-PT"/>
        </w:rPr>
        <w:t xml:space="preserve"> </w:t>
      </w:r>
      <w:r w:rsidRPr="00AB315F">
        <w:rPr>
          <w:rStyle w:val="hps"/>
          <w:rFonts w:asciiTheme="minorHAnsi" w:hAnsiTheme="minorHAnsi"/>
          <w:sz w:val="20"/>
          <w:lang w:val="pt-PT"/>
        </w:rPr>
        <w:t>em relação às</w:t>
      </w:r>
      <w:r w:rsidRPr="00AB315F">
        <w:rPr>
          <w:rFonts w:asciiTheme="minorHAnsi" w:hAnsiTheme="minorHAnsi"/>
          <w:sz w:val="20"/>
          <w:lang w:val="pt-PT"/>
        </w:rPr>
        <w:t xml:space="preserve"> </w:t>
      </w:r>
      <w:r w:rsidRPr="00AB315F">
        <w:rPr>
          <w:rStyle w:val="hps"/>
          <w:rFonts w:asciiTheme="minorHAnsi" w:hAnsiTheme="minorHAnsi"/>
          <w:sz w:val="20"/>
          <w:lang w:val="pt-PT"/>
        </w:rPr>
        <w:t>partes mais amplas da</w:t>
      </w:r>
      <w:r w:rsidRPr="00AB315F">
        <w:rPr>
          <w:rFonts w:asciiTheme="minorHAnsi" w:hAnsiTheme="minorHAnsi"/>
          <w:sz w:val="20"/>
          <w:lang w:val="pt-PT"/>
        </w:rPr>
        <w:t xml:space="preserve"> </w:t>
      </w:r>
      <w:r w:rsidRPr="00AB315F">
        <w:rPr>
          <w:rStyle w:val="hps"/>
          <w:rFonts w:asciiTheme="minorHAnsi" w:hAnsiTheme="minorHAnsi"/>
          <w:sz w:val="20"/>
          <w:lang w:val="pt-PT"/>
        </w:rPr>
        <w:t>política</w:t>
      </w:r>
      <w:r w:rsidRPr="00AB315F">
        <w:rPr>
          <w:rFonts w:asciiTheme="minorHAnsi" w:hAnsiTheme="minorHAnsi"/>
          <w:sz w:val="20"/>
          <w:lang w:val="pt-PT"/>
        </w:rPr>
        <w:t xml:space="preserve">, economia, </w:t>
      </w:r>
      <w:r w:rsidRPr="00AB315F">
        <w:rPr>
          <w:rStyle w:val="hps"/>
          <w:rFonts w:asciiTheme="minorHAnsi" w:hAnsiTheme="minorHAnsi"/>
          <w:sz w:val="20"/>
          <w:lang w:val="pt-PT"/>
        </w:rPr>
        <w:t>ou</w:t>
      </w:r>
      <w:r w:rsidRPr="00AB315F">
        <w:rPr>
          <w:rFonts w:asciiTheme="minorHAnsi" w:hAnsiTheme="minorHAnsi"/>
          <w:sz w:val="20"/>
          <w:lang w:val="pt-PT"/>
        </w:rPr>
        <w:t xml:space="preserve"> </w:t>
      </w:r>
      <w:r w:rsidRPr="00AB315F">
        <w:rPr>
          <w:rStyle w:val="hps"/>
          <w:rFonts w:asciiTheme="minorHAnsi" w:hAnsiTheme="minorHAnsi"/>
          <w:sz w:val="20"/>
          <w:lang w:val="pt-PT"/>
        </w:rPr>
        <w:t>sociedade a que</w:t>
      </w:r>
      <w:r w:rsidRPr="00AB315F">
        <w:rPr>
          <w:rFonts w:asciiTheme="minorHAnsi" w:hAnsiTheme="minorHAnsi"/>
          <w:sz w:val="20"/>
          <w:lang w:val="pt-PT"/>
        </w:rPr>
        <w:t xml:space="preserve"> </w:t>
      </w:r>
      <w:r w:rsidRPr="00AB315F">
        <w:rPr>
          <w:rStyle w:val="hps"/>
          <w:rFonts w:asciiTheme="minorHAnsi" w:hAnsiTheme="minorHAnsi"/>
          <w:sz w:val="20"/>
          <w:lang w:val="pt-PT"/>
        </w:rPr>
        <w:t>se aplica</w:t>
      </w:r>
      <w:r w:rsidRPr="00AB315F">
        <w:rPr>
          <w:rFonts w:asciiTheme="minorHAnsi" w:hAnsiTheme="minorHAnsi"/>
          <w:sz w:val="20"/>
          <w:lang w:val="pt-PT"/>
        </w:rPr>
        <w:t xml:space="preserve"> </w:t>
      </w:r>
      <w:r w:rsidRPr="00AB315F">
        <w:rPr>
          <w:rStyle w:val="hps"/>
          <w:rFonts w:asciiTheme="minorHAnsi" w:hAnsiTheme="minorHAnsi"/>
          <w:sz w:val="20"/>
          <w:lang w:val="pt-PT"/>
        </w:rPr>
        <w:t>o seu conceito</w:t>
      </w:r>
      <w:r w:rsidRPr="00AB315F">
        <w:rPr>
          <w:rFonts w:asciiTheme="minorHAnsi" w:hAnsiTheme="minorHAnsi"/>
          <w:sz w:val="20"/>
          <w:lang w:val="pt-PT"/>
        </w:rPr>
        <w:t>.”</w:t>
      </w:r>
    </w:p>
    <w:p w14:paraId="61A096E3"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lastRenderedPageBreak/>
        <w:t>Outra questão importante levantada por Brady (1985) problematiza o contexto ao método de survey, o qual pode envolver o dilema “incomparabilidade de respostas interpessoais”. Dito de outro modo, um item de pesquisa pode ter diferentes significados para os distintos subgrupos da população - que poderiam ser definidas, por região, gênero, classe ou raça. Uma preocupação específica é se subgrupos populacionais diferem sistematicamente em seu "estilo de resposta" (também chamado de "conjuntos de resposta") Adcok e Collier (2010). Alguns grupos podem estar mais dispostos a darem respostas extremas, e outros podem tender a respostas moderadas. Shepard (1993, 417) alerta para este problema psicométrico possivelmente presente em indicadores que generalizam significados diferentes para contextos diferentes.</w:t>
      </w:r>
    </w:p>
    <w:p w14:paraId="68C9703C" w14:textId="77777777" w:rsidR="005A7075" w:rsidRPr="00AB315F" w:rsidRDefault="005A7075" w:rsidP="005A7075">
      <w:pPr>
        <w:spacing w:after="240" w:line="360" w:lineRule="auto"/>
        <w:ind w:firstLine="708"/>
        <w:jc w:val="both"/>
        <w:rPr>
          <w:rFonts w:asciiTheme="minorHAnsi" w:hAnsiTheme="minorHAnsi"/>
        </w:rPr>
      </w:pPr>
      <w:r w:rsidRPr="00AB315F">
        <w:rPr>
          <w:rFonts w:asciiTheme="minorHAnsi" w:hAnsiTheme="minorHAnsi"/>
        </w:rPr>
        <w:t xml:space="preserve">Adiante, o problema da especificidade contextual será melhor explorado em relação às medidas de aceitação da corrupção. Por hora, vale lembrar também que em pesquisas transnacionais nem sempre é possível coletar dados sensíveis aos diferentes contextos por conta da falta de recursos em realizar surveys mais específicos. </w:t>
      </w:r>
    </w:p>
    <w:p w14:paraId="61F9039B" w14:textId="77777777" w:rsidR="005A7075" w:rsidRPr="00AB315F" w:rsidRDefault="005A7075" w:rsidP="005C5CA5">
      <w:pPr>
        <w:pStyle w:val="Subttulo"/>
        <w:rPr>
          <w:color w:val="auto"/>
        </w:rPr>
      </w:pPr>
    </w:p>
    <w:p w14:paraId="1E0B3D69" w14:textId="48B7A6E0" w:rsidR="00CD1838" w:rsidRPr="00AB315F" w:rsidRDefault="0072120D" w:rsidP="00113799">
      <w:pPr>
        <w:pStyle w:val="Ttulo1"/>
        <w:spacing w:before="0"/>
        <w:rPr>
          <w:b/>
          <w:color w:val="auto"/>
        </w:rPr>
      </w:pPr>
      <w:bookmarkStart w:id="19" w:name="_Toc456241252"/>
      <w:r w:rsidRPr="00AB315F">
        <w:rPr>
          <w:b/>
          <w:color w:val="auto"/>
        </w:rPr>
        <w:t>Capítulo 3</w:t>
      </w:r>
      <w:r w:rsidR="00C44994" w:rsidRPr="00AB315F">
        <w:rPr>
          <w:b/>
          <w:color w:val="auto"/>
        </w:rPr>
        <w:t>:</w:t>
      </w:r>
      <w:r w:rsidR="002E555E">
        <w:rPr>
          <w:b/>
          <w:color w:val="auto"/>
        </w:rPr>
        <w:t xml:space="preserve"> Busca por evidências</w:t>
      </w:r>
      <w:r w:rsidR="00F650AB" w:rsidRPr="00AB315F">
        <w:rPr>
          <w:b/>
          <w:color w:val="auto"/>
        </w:rPr>
        <w:t>.</w:t>
      </w:r>
      <w:bookmarkEnd w:id="19"/>
      <w:r w:rsidR="00CD1838" w:rsidRPr="00AB315F">
        <w:rPr>
          <w:b/>
          <w:color w:val="auto"/>
        </w:rPr>
        <w:t xml:space="preserve"> </w:t>
      </w:r>
    </w:p>
    <w:p w14:paraId="2024ED2B" w14:textId="77777777" w:rsidR="0005370B" w:rsidRPr="00AB315F" w:rsidRDefault="0005370B" w:rsidP="005A7075"/>
    <w:p w14:paraId="5F9ECBF2" w14:textId="77777777" w:rsidR="001554C3" w:rsidRPr="00AB315F" w:rsidRDefault="001554C3" w:rsidP="001554C3">
      <w:pPr>
        <w:pStyle w:val="Ttulo2"/>
        <w:rPr>
          <w:color w:val="auto"/>
        </w:rPr>
      </w:pPr>
      <w:bookmarkStart w:id="20" w:name="_Toc456241253"/>
      <w:r>
        <w:rPr>
          <w:color w:val="auto"/>
        </w:rPr>
        <w:t>2.4</w:t>
      </w:r>
      <w:r w:rsidRPr="00AB315F">
        <w:rPr>
          <w:color w:val="auto"/>
        </w:rPr>
        <w:t xml:space="preserve"> Problematização e análise descritiva</w:t>
      </w:r>
      <w:bookmarkEnd w:id="20"/>
    </w:p>
    <w:p w14:paraId="3A9C8757" w14:textId="77777777" w:rsidR="00102B58" w:rsidRDefault="00102B58" w:rsidP="001554C3">
      <w:pPr>
        <w:spacing w:after="240" w:line="360" w:lineRule="auto"/>
        <w:ind w:firstLine="360"/>
        <w:jc w:val="both"/>
        <w:rPr>
          <w:rFonts w:asciiTheme="minorHAnsi" w:hAnsiTheme="minorHAnsi"/>
        </w:rPr>
      </w:pPr>
    </w:p>
    <w:p w14:paraId="0DA489B7" w14:textId="77777777" w:rsidR="001554C3" w:rsidRDefault="001554C3" w:rsidP="001554C3">
      <w:pPr>
        <w:spacing w:after="240" w:line="360" w:lineRule="auto"/>
        <w:ind w:firstLine="360"/>
        <w:jc w:val="both"/>
        <w:rPr>
          <w:rFonts w:asciiTheme="minorHAnsi" w:hAnsiTheme="minorHAnsi"/>
        </w:rPr>
      </w:pPr>
      <w:r w:rsidRPr="00AB315F">
        <w:rPr>
          <w:rFonts w:asciiTheme="minorHAnsi" w:hAnsiTheme="minorHAnsi"/>
        </w:rPr>
        <w:t>De acordo com objetivo deste trabalho - buscar evidências de validade e confiabilidade da medida de aceitação – propõe-se uma tentativa de descrever erros sistemáticos e aleatórios seguindo os achados de Catterberg et al (2013) e Peters e Welchs (1978). Portanto, para uma representação mais clara das possíveis fontes de erros da medida de aceitação da corrupção, apropria-se do modelo de processo de resposta de Tourangeu et al (2000).</w:t>
      </w:r>
    </w:p>
    <w:p w14:paraId="7C43F24A" w14:textId="77777777" w:rsidR="001554C3" w:rsidRPr="00AA0849" w:rsidRDefault="001554C3" w:rsidP="001554C3">
      <w:pPr>
        <w:spacing w:line="360" w:lineRule="auto"/>
        <w:ind w:firstLine="708"/>
        <w:jc w:val="both"/>
        <w:rPr>
          <w:rFonts w:asciiTheme="minorHAnsi" w:hAnsiTheme="minorHAnsi"/>
        </w:rPr>
      </w:pPr>
      <w:r w:rsidRPr="00AA0849">
        <w:rPr>
          <w:rFonts w:asciiTheme="minorHAnsi" w:hAnsiTheme="minorHAnsi"/>
        </w:rPr>
        <w:t xml:space="preserve">De forma a ilustrar e visualizar melhor como erros emergem no momento da coleta de informações em surveys com entrevistas face a face e, possivelmente afetam o resultado das mensurações, apropria-se do “modelo de processo de resposta” de Tourangeu et al (2000), o qual argumenta que a resposta dada em uma pesquisa do tipo survey passa por quatro etapas: </w:t>
      </w:r>
    </w:p>
    <w:p w14:paraId="55B305A8" w14:textId="77777777" w:rsidR="001554C3" w:rsidRPr="00AA0849" w:rsidRDefault="001554C3" w:rsidP="001554C3">
      <w:pPr>
        <w:numPr>
          <w:ilvl w:val="0"/>
          <w:numId w:val="15"/>
        </w:numPr>
        <w:spacing w:line="360" w:lineRule="auto"/>
        <w:contextualSpacing/>
        <w:jc w:val="both"/>
        <w:rPr>
          <w:rFonts w:asciiTheme="minorHAnsi" w:hAnsiTheme="minorHAnsi"/>
        </w:rPr>
      </w:pPr>
      <w:r w:rsidRPr="00AA0849">
        <w:rPr>
          <w:rFonts w:asciiTheme="minorHAnsi" w:hAnsiTheme="minorHAnsi"/>
        </w:rPr>
        <w:lastRenderedPageBreak/>
        <w:t xml:space="preserve">O indivíduo se propõe a compreender a pergunta em questão. </w:t>
      </w:r>
    </w:p>
    <w:p w14:paraId="4FECD2C6" w14:textId="77777777" w:rsidR="001554C3" w:rsidRPr="00AA0849" w:rsidRDefault="001554C3" w:rsidP="001554C3">
      <w:pPr>
        <w:numPr>
          <w:ilvl w:val="0"/>
          <w:numId w:val="15"/>
        </w:numPr>
        <w:spacing w:line="360" w:lineRule="auto"/>
        <w:contextualSpacing/>
        <w:jc w:val="both"/>
        <w:rPr>
          <w:rFonts w:asciiTheme="minorHAnsi" w:hAnsiTheme="minorHAnsi"/>
        </w:rPr>
      </w:pPr>
      <w:r w:rsidRPr="00AA0849">
        <w:rPr>
          <w:rFonts w:asciiTheme="minorHAnsi" w:hAnsiTheme="minorHAnsi"/>
        </w:rPr>
        <w:t>Recuperam informações e memórias pertinentes ao tema.</w:t>
      </w:r>
    </w:p>
    <w:p w14:paraId="4B5EE07A" w14:textId="77777777" w:rsidR="001554C3" w:rsidRPr="00AA0849" w:rsidRDefault="001554C3" w:rsidP="001554C3">
      <w:pPr>
        <w:numPr>
          <w:ilvl w:val="0"/>
          <w:numId w:val="15"/>
        </w:numPr>
        <w:spacing w:line="360" w:lineRule="auto"/>
        <w:contextualSpacing/>
        <w:jc w:val="both"/>
        <w:rPr>
          <w:rFonts w:asciiTheme="minorHAnsi" w:hAnsiTheme="minorHAnsi"/>
        </w:rPr>
      </w:pPr>
      <w:r w:rsidRPr="00AA0849">
        <w:rPr>
          <w:rFonts w:asciiTheme="minorHAnsi" w:hAnsiTheme="minorHAnsi"/>
        </w:rPr>
        <w:t>Escolhem informações para realizar julgamentos.</w:t>
      </w:r>
    </w:p>
    <w:p w14:paraId="11D68D67" w14:textId="77777777" w:rsidR="001554C3" w:rsidRPr="00AA0849" w:rsidRDefault="001554C3" w:rsidP="001554C3">
      <w:pPr>
        <w:numPr>
          <w:ilvl w:val="0"/>
          <w:numId w:val="15"/>
        </w:numPr>
        <w:spacing w:line="360" w:lineRule="auto"/>
        <w:contextualSpacing/>
        <w:jc w:val="both"/>
        <w:rPr>
          <w:rFonts w:asciiTheme="minorHAnsi" w:hAnsiTheme="minorHAnsi"/>
        </w:rPr>
      </w:pPr>
      <w:r w:rsidRPr="00AA0849">
        <w:rPr>
          <w:rFonts w:asciiTheme="minorHAnsi" w:hAnsiTheme="minorHAnsi"/>
        </w:rPr>
        <w:t>Adaptam o julgamento para a escala de resposta da questão.</w:t>
      </w:r>
    </w:p>
    <w:p w14:paraId="6EFB5D2A" w14:textId="77777777" w:rsidR="001554C3" w:rsidRPr="00AA0849" w:rsidRDefault="001554C3" w:rsidP="001554C3">
      <w:pPr>
        <w:spacing w:line="360" w:lineRule="auto"/>
        <w:jc w:val="both"/>
        <w:rPr>
          <w:rFonts w:asciiTheme="minorHAnsi" w:hAnsiTheme="minorHAnsi"/>
          <w:b/>
        </w:rPr>
      </w:pPr>
    </w:p>
    <w:p w14:paraId="3C320FAA" w14:textId="77777777" w:rsidR="001554C3" w:rsidRPr="00AA0849" w:rsidRDefault="001554C3" w:rsidP="00102B58">
      <w:pPr>
        <w:spacing w:after="240" w:line="360" w:lineRule="auto"/>
        <w:ind w:firstLine="360"/>
        <w:jc w:val="both"/>
        <w:rPr>
          <w:rFonts w:asciiTheme="minorHAnsi" w:hAnsiTheme="minorHAnsi"/>
        </w:rPr>
      </w:pPr>
      <w:r w:rsidRPr="00AA0849">
        <w:rPr>
          <w:rFonts w:asciiTheme="minorHAnsi" w:hAnsiTheme="minorHAnsi"/>
        </w:rPr>
        <w:t>O modelo de Tourangeu et al (2000), não esgota o processo de formulação de resposta de um entrevistado, tampouco é o único que o aborda. Mobiliza-se o modelo a fim de ilustrar e simplificar a análise da emergência de possíveis de erros de mensuração associada à problemas inerentes a metodologia de entrevistas face a face.</w:t>
      </w:r>
    </w:p>
    <w:p w14:paraId="678FCCE4" w14:textId="77777777" w:rsidR="001554C3" w:rsidRDefault="001554C3" w:rsidP="001554C3">
      <w:pPr>
        <w:spacing w:after="240" w:line="360" w:lineRule="auto"/>
        <w:ind w:firstLine="708"/>
        <w:jc w:val="both"/>
        <w:rPr>
          <w:rFonts w:asciiTheme="minorHAnsi" w:hAnsiTheme="minorHAnsi"/>
        </w:rPr>
      </w:pPr>
      <w:r w:rsidRPr="00AB315F">
        <w:rPr>
          <w:rFonts w:asciiTheme="minorHAnsi" w:hAnsiTheme="minorHAnsi"/>
        </w:rPr>
        <w:t>Os quatro passos de resposta estão representados pelas elipses na figura e formam o processo de resposta necessário à formação de cada variável observada.</w:t>
      </w:r>
    </w:p>
    <w:p w14:paraId="7E33B5FB" w14:textId="4A8ADD67" w:rsidR="000225AB" w:rsidRPr="000225AB" w:rsidRDefault="000225AB" w:rsidP="000225AB">
      <w:pPr>
        <w:spacing w:after="240" w:line="360" w:lineRule="auto"/>
        <w:ind w:firstLine="708"/>
        <w:jc w:val="center"/>
        <w:rPr>
          <w:rFonts w:asciiTheme="minorHAnsi" w:hAnsiTheme="minorHAnsi"/>
          <w:b/>
        </w:rPr>
      </w:pPr>
      <w:r w:rsidRPr="000225AB">
        <w:rPr>
          <w:rFonts w:asciiTheme="minorHAnsi" w:hAnsiTheme="minorHAnsi"/>
          <w:b/>
        </w:rPr>
        <w:t>Figura 3</w:t>
      </w:r>
      <w:r>
        <w:rPr>
          <w:rFonts w:asciiTheme="minorHAnsi" w:hAnsiTheme="minorHAnsi"/>
          <w:b/>
        </w:rPr>
        <w:t xml:space="preserve">. Modelo de Tourangeu et al (2000) e indicadores observáveis </w:t>
      </w:r>
    </w:p>
    <w:p w14:paraId="12B42265" w14:textId="77777777" w:rsidR="001554C3" w:rsidRPr="00AB315F" w:rsidRDefault="001554C3" w:rsidP="001554C3">
      <w:pPr>
        <w:spacing w:line="360" w:lineRule="auto"/>
        <w:jc w:val="both"/>
        <w:rPr>
          <w:rFonts w:asciiTheme="minorHAnsi" w:hAnsiTheme="minorHAnsi"/>
        </w:rPr>
      </w:pPr>
      <w:r w:rsidRPr="00AB315F">
        <w:rPr>
          <w:rFonts w:asciiTheme="minorHAnsi" w:hAnsiTheme="minorHAnsi"/>
          <w:noProof/>
        </w:rPr>
        <mc:AlternateContent>
          <mc:Choice Requires="wps">
            <w:drawing>
              <wp:anchor distT="45720" distB="45720" distL="114300" distR="114300" simplePos="0" relativeHeight="251956224" behindDoc="0" locked="0" layoutInCell="1" allowOverlap="1" wp14:anchorId="4E7D20FC" wp14:editId="3167428F">
                <wp:simplePos x="0" y="0"/>
                <wp:positionH relativeFrom="column">
                  <wp:posOffset>1834515</wp:posOffset>
                </wp:positionH>
                <wp:positionV relativeFrom="paragraph">
                  <wp:posOffset>65405</wp:posOffset>
                </wp:positionV>
                <wp:extent cx="247650" cy="247650"/>
                <wp:effectExtent l="0" t="0" r="0" b="0"/>
                <wp:wrapThrough wrapText="bothSides">
                  <wp:wrapPolygon edited="0">
                    <wp:start x="0" y="0"/>
                    <wp:lineTo x="0" y="19938"/>
                    <wp:lineTo x="19938" y="19938"/>
                    <wp:lineTo x="19938" y="0"/>
                    <wp:lineTo x="0" y="0"/>
                  </wp:wrapPolygon>
                </wp:wrapThrough>
                <wp:docPr id="1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noFill/>
                          <a:miter lim="800000"/>
                          <a:headEnd/>
                          <a:tailEnd/>
                        </a:ln>
                      </wps:spPr>
                      <wps:txbx>
                        <w:txbxContent>
                          <w:p w14:paraId="2A5B2DB7" w14:textId="77777777" w:rsidR="005D065B" w:rsidRDefault="005D065B" w:rsidP="001554C3">
                            <w: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7D20FC" id="_x0000_s1040" type="#_x0000_t202" style="position:absolute;left:0;text-align:left;margin-left:144.45pt;margin-top:5.15pt;width:19.5pt;height:19.5pt;z-index:251956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" stroked="f">
                <v:textbox>
                  <w:txbxContent>
                    <w:p w14:paraId="2A5B2DB7" w14:textId="77777777" w:rsidR="005D065B" w:rsidRDefault="005D065B" w:rsidP="001554C3">
                      <w:r>
                        <w:t>4</w:t>
                      </w:r>
                    </w:p>
                  </w:txbxContent>
                </v:textbox>
                <w10:wrap type="through"/>
              </v:shape>
            </w:pict>
          </mc:Fallback>
        </mc:AlternateContent>
      </w:r>
    </w:p>
    <w:p w14:paraId="23982ED2" w14:textId="77777777" w:rsidR="001554C3" w:rsidRPr="00AB315F" w:rsidRDefault="001554C3" w:rsidP="001554C3">
      <w:pPr>
        <w:spacing w:line="360" w:lineRule="auto"/>
        <w:jc w:val="both"/>
        <w:rPr>
          <w:rFonts w:asciiTheme="minorHAnsi" w:hAnsiTheme="minorHAnsi"/>
        </w:rPr>
      </w:pPr>
      <w:r w:rsidRPr="00AB315F">
        <w:rPr>
          <w:rFonts w:asciiTheme="minorHAnsi" w:hAnsiTheme="minorHAnsi"/>
          <w:noProof/>
        </w:rPr>
        <mc:AlternateContent>
          <mc:Choice Requires="wps">
            <w:drawing>
              <wp:anchor distT="45720" distB="45720" distL="114300" distR="114300" simplePos="0" relativeHeight="251954176" behindDoc="0" locked="0" layoutInCell="1" allowOverlap="1" wp14:anchorId="617127B6" wp14:editId="4D0D610F">
                <wp:simplePos x="0" y="0"/>
                <wp:positionH relativeFrom="column">
                  <wp:posOffset>983273</wp:posOffset>
                </wp:positionH>
                <wp:positionV relativeFrom="paragraph">
                  <wp:posOffset>270266</wp:posOffset>
                </wp:positionV>
                <wp:extent cx="247650" cy="247650"/>
                <wp:effectExtent l="0" t="0" r="0" b="0"/>
                <wp:wrapThrough wrapText="bothSides">
                  <wp:wrapPolygon edited="0">
                    <wp:start x="0" y="0"/>
                    <wp:lineTo x="0" y="19938"/>
                    <wp:lineTo x="19938" y="19938"/>
                    <wp:lineTo x="19938" y="0"/>
                    <wp:lineTo x="0" y="0"/>
                  </wp:wrapPolygon>
                </wp:wrapThrough>
                <wp:docPr id="1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noFill/>
                          <a:miter lim="800000"/>
                          <a:headEnd/>
                          <a:tailEnd/>
                        </a:ln>
                      </wps:spPr>
                      <wps:txbx>
                        <w:txbxContent>
                          <w:p w14:paraId="06F58DDD" w14:textId="77777777" w:rsidR="005D065B" w:rsidRDefault="005D065B" w:rsidP="001554C3">
                            <w: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7127B6" id="_x0000_s1041" type="#_x0000_t202" style="position:absolute;left:0;text-align:left;margin-left:77.4pt;margin-top:21.3pt;width:19.5pt;height:19.5pt;z-index:251954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" stroked="f">
                <v:textbox>
                  <w:txbxContent>
                    <w:p w14:paraId="06F58DDD" w14:textId="77777777" w:rsidR="005D065B" w:rsidRDefault="005D065B" w:rsidP="001554C3">
                      <w:r>
                        <w:t>2</w:t>
                      </w:r>
                    </w:p>
                  </w:txbxContent>
                </v:textbox>
                <w10:wrap type="through"/>
              </v:shape>
            </w:pict>
          </mc:Fallback>
        </mc:AlternateContent>
      </w:r>
      <w:r w:rsidRPr="00AB315F">
        <w:rPr>
          <w:rFonts w:asciiTheme="minorHAnsi" w:hAnsiTheme="minorHAnsi"/>
          <w:noProof/>
        </w:rPr>
        <mc:AlternateContent>
          <mc:Choice Requires="wps">
            <w:drawing>
              <wp:anchor distT="45720" distB="45720" distL="114300" distR="114300" simplePos="0" relativeHeight="251955200" behindDoc="0" locked="0" layoutInCell="1" allowOverlap="1" wp14:anchorId="15516487" wp14:editId="6E8A4DFB">
                <wp:simplePos x="0" y="0"/>
                <wp:positionH relativeFrom="column">
                  <wp:posOffset>1390015</wp:posOffset>
                </wp:positionH>
                <wp:positionV relativeFrom="paragraph">
                  <wp:posOffset>6350</wp:posOffset>
                </wp:positionV>
                <wp:extent cx="247650" cy="247650"/>
                <wp:effectExtent l="0" t="0" r="0" b="0"/>
                <wp:wrapThrough wrapText="bothSides">
                  <wp:wrapPolygon edited="0">
                    <wp:start x="0" y="0"/>
                    <wp:lineTo x="0" y="19938"/>
                    <wp:lineTo x="19938" y="19938"/>
                    <wp:lineTo x="19938" y="0"/>
                    <wp:lineTo x="0" y="0"/>
                  </wp:wrapPolygon>
                </wp:wrapThrough>
                <wp:docPr id="15"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noFill/>
                          <a:miter lim="800000"/>
                          <a:headEnd/>
                          <a:tailEnd/>
                        </a:ln>
                      </wps:spPr>
                      <wps:txbx>
                        <w:txbxContent>
                          <w:p w14:paraId="15501C99" w14:textId="77777777" w:rsidR="005D065B" w:rsidRDefault="005D065B" w:rsidP="001554C3">
                            <w: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516487" id="_x0000_s1042" type="#_x0000_t202" style="position:absolute;left:0;text-align:left;margin-left:109.45pt;margin-top:.5pt;width:19.5pt;height:19.5pt;z-index:251955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" stroked="f">
                <v:textbox>
                  <w:txbxContent>
                    <w:p w14:paraId="15501C99" w14:textId="77777777" w:rsidR="005D065B" w:rsidRDefault="005D065B" w:rsidP="001554C3">
                      <w:r>
                        <w:t>3</w:t>
                      </w:r>
                    </w:p>
                  </w:txbxContent>
                </v:textbox>
                <w10:wrap type="through"/>
              </v:shape>
            </w:pict>
          </mc:Fallback>
        </mc:AlternateContent>
      </w:r>
    </w:p>
    <w:p w14:paraId="2048F5A0" w14:textId="77777777" w:rsidR="001554C3" w:rsidRPr="00AB315F" w:rsidRDefault="001554C3" w:rsidP="001554C3">
      <w:pPr>
        <w:spacing w:line="360" w:lineRule="auto"/>
        <w:jc w:val="both"/>
        <w:rPr>
          <w:rFonts w:asciiTheme="minorHAnsi" w:hAnsiTheme="minorHAnsi"/>
        </w:rPr>
      </w:pPr>
      <w:r w:rsidRPr="00AB315F">
        <w:rPr>
          <w:rFonts w:asciiTheme="minorHAnsi" w:hAnsiTheme="minorHAnsi"/>
          <w:noProof/>
        </w:rPr>
        <mc:AlternateContent>
          <mc:Choice Requires="wps">
            <w:drawing>
              <wp:anchor distT="45720" distB="45720" distL="114300" distR="114300" simplePos="0" relativeHeight="251953152" behindDoc="0" locked="0" layoutInCell="1" allowOverlap="1" wp14:anchorId="4ADE8633" wp14:editId="55CF41A5">
                <wp:simplePos x="0" y="0"/>
                <wp:positionH relativeFrom="column">
                  <wp:posOffset>589915</wp:posOffset>
                </wp:positionH>
                <wp:positionV relativeFrom="paragraph">
                  <wp:posOffset>236855</wp:posOffset>
                </wp:positionV>
                <wp:extent cx="247650" cy="247650"/>
                <wp:effectExtent l="0" t="0" r="0" b="0"/>
                <wp:wrapThrough wrapText="bothSides">
                  <wp:wrapPolygon edited="0">
                    <wp:start x="0" y="0"/>
                    <wp:lineTo x="0" y="19938"/>
                    <wp:lineTo x="19938" y="19938"/>
                    <wp:lineTo x="19938" y="0"/>
                    <wp:lineTo x="0" y="0"/>
                  </wp:wrapPolygon>
                </wp:wrapThrough>
                <wp:docPr id="24"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247650"/>
                        </a:xfrm>
                        <a:prstGeom prst="rect">
                          <a:avLst/>
                        </a:prstGeom>
                        <a:solidFill>
                          <a:srgbClr val="FFFFFF"/>
                        </a:solidFill>
                        <a:ln w="9525">
                          <a:noFill/>
                          <a:miter lim="800000"/>
                          <a:headEnd/>
                          <a:tailEnd/>
                        </a:ln>
                      </wps:spPr>
                      <wps:txbx>
                        <w:txbxContent>
                          <w:p w14:paraId="3D65CDBC" w14:textId="77777777" w:rsidR="005D065B" w:rsidRDefault="005D065B" w:rsidP="001554C3">
                            <w: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ADE8633" id="_x0000_s1043" type="#_x0000_t202" style="position:absolute;left:0;text-align:left;margin-left:46.45pt;margin-top:18.65pt;width:19.5pt;height:19.5pt;z-index:251953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" stroked="f">
                <v:textbox>
                  <w:txbxContent>
                    <w:p w14:paraId="3D65CDBC" w14:textId="77777777" w:rsidR="005D065B" w:rsidRDefault="005D065B" w:rsidP="001554C3">
                      <w:r>
                        <w:t>1</w:t>
                      </w:r>
                    </w:p>
                  </w:txbxContent>
                </v:textbox>
                <w10:wrap type="through"/>
              </v:shape>
            </w:pict>
          </mc:Fallback>
        </mc:AlternateContent>
      </w:r>
      <w:r w:rsidRPr="00AB315F">
        <w:rPr>
          <w:rFonts w:asciiTheme="minorHAnsi" w:hAnsiTheme="minorHAnsi"/>
          <w:noProof/>
        </w:rPr>
        <mc:AlternateContent>
          <mc:Choice Requires="wps">
            <w:drawing>
              <wp:anchor distT="0" distB="0" distL="114300" distR="114300" simplePos="0" relativeHeight="251948032" behindDoc="0" locked="0" layoutInCell="1" allowOverlap="1" wp14:anchorId="0B163F18" wp14:editId="6F7F41A0">
                <wp:simplePos x="0" y="0"/>
                <wp:positionH relativeFrom="column">
                  <wp:posOffset>1955165</wp:posOffset>
                </wp:positionH>
                <wp:positionV relativeFrom="paragraph">
                  <wp:posOffset>96308</wp:posOffset>
                </wp:positionV>
                <wp:extent cx="478367" cy="177800"/>
                <wp:effectExtent l="0" t="38100" r="55245" b="31750"/>
                <wp:wrapNone/>
                <wp:docPr id="25" name="Conector de seta reta 25"/>
                <wp:cNvGraphicFramePr/>
                <a:graphic xmlns:a="http://schemas.openxmlformats.org/drawingml/2006/main">
                  <a:graphicData uri="http://schemas.microsoft.com/office/word/2010/wordprocessingShape">
                    <wps:wsp>
                      <wps:cNvCnPr/>
                      <wps:spPr>
                        <a:xfrm flipV="1">
                          <a:off x="0" y="0"/>
                          <a:ext cx="478367" cy="177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DE9A506" id="_x0000_t32" coordsize="21600,21600" o:spt="32" o:oned="t" path="m,l21600,21600e" filled="f">
                <v:path arrowok="t" fillok="f" o:connecttype="none"/>
                <o:lock v:ext="edit" shapetype="t"/>
              </v:shapetype>
              <v:shape id="Conector de seta reta 25" o:spid="_x0000_s1026" type="#_x0000_t32" style="position:absolute;margin-left:153.95pt;margin-top:7.6pt;width:37.65pt;height:14pt;flip:y;z-index:251948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" strokecolor="black [3200]" strokeweight=".5pt">
                <v:stroke endarrow="block" joinstyle="miter"/>
              </v:shape>
            </w:pict>
          </mc:Fallback>
        </mc:AlternateContent>
      </w:r>
    </w:p>
    <w:p w14:paraId="2A03AB9B" w14:textId="77777777" w:rsidR="001554C3" w:rsidRPr="00AB315F" w:rsidRDefault="001554C3" w:rsidP="001554C3">
      <w:pPr>
        <w:spacing w:line="360" w:lineRule="auto"/>
        <w:jc w:val="both"/>
        <w:rPr>
          <w:rFonts w:asciiTheme="minorHAnsi" w:hAnsiTheme="minorHAnsi"/>
          <w:b/>
        </w:rPr>
      </w:pPr>
      <w:r w:rsidRPr="00AB315F">
        <w:rPr>
          <w:rFonts w:asciiTheme="minorHAnsi" w:hAnsiTheme="minorHAnsi"/>
          <w:b/>
          <w:noProof/>
        </w:rPr>
        <mc:AlternateContent>
          <mc:Choice Requires="wps">
            <w:drawing>
              <wp:anchor distT="0" distB="0" distL="114300" distR="114300" simplePos="0" relativeHeight="251937792" behindDoc="0" locked="0" layoutInCell="1" allowOverlap="1" wp14:anchorId="00058307" wp14:editId="6E80463B">
                <wp:simplePos x="0" y="0"/>
                <wp:positionH relativeFrom="column">
                  <wp:posOffset>1518920</wp:posOffset>
                </wp:positionH>
                <wp:positionV relativeFrom="paragraph">
                  <wp:posOffset>24342</wp:posOffset>
                </wp:positionV>
                <wp:extent cx="317500" cy="114300"/>
                <wp:effectExtent l="0" t="0" r="25400" b="19050"/>
                <wp:wrapNone/>
                <wp:docPr id="26" name="Conector reto 26"/>
                <wp:cNvGraphicFramePr/>
                <a:graphic xmlns:a="http://schemas.openxmlformats.org/drawingml/2006/main">
                  <a:graphicData uri="http://schemas.microsoft.com/office/word/2010/wordprocessingShape">
                    <wps:wsp>
                      <wps:cNvCnPr/>
                      <wps:spPr>
                        <a:xfrm flipV="1">
                          <a:off x="0" y="0"/>
                          <a:ext cx="31750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A90B6D" id="Conector reto 26" o:spid="_x0000_s1026" style="position:absolute;flip:y;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6pt,1.9pt" to="144.6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36768" behindDoc="0" locked="0" layoutInCell="1" allowOverlap="1" wp14:anchorId="4A134975" wp14:editId="60F5F73A">
                <wp:simplePos x="0" y="0"/>
                <wp:positionH relativeFrom="column">
                  <wp:posOffset>1110615</wp:posOffset>
                </wp:positionH>
                <wp:positionV relativeFrom="paragraph">
                  <wp:posOffset>168275</wp:posOffset>
                </wp:positionV>
                <wp:extent cx="317500" cy="114300"/>
                <wp:effectExtent l="0" t="0" r="25400" b="19050"/>
                <wp:wrapNone/>
                <wp:docPr id="27" name="Conector reto 27"/>
                <wp:cNvGraphicFramePr/>
                <a:graphic xmlns:a="http://schemas.openxmlformats.org/drawingml/2006/main">
                  <a:graphicData uri="http://schemas.microsoft.com/office/word/2010/wordprocessingShape">
                    <wps:wsp>
                      <wps:cNvCnPr/>
                      <wps:spPr>
                        <a:xfrm flipV="1">
                          <a:off x="0" y="0"/>
                          <a:ext cx="31750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5EFCAF" id="Conector reto 27" o:spid="_x0000_s1026" style="position:absolute;flip:y;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45pt,13.25pt" to="112.45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30624" behindDoc="0" locked="0" layoutInCell="1" allowOverlap="1" wp14:anchorId="571A5139" wp14:editId="27AAD9CA">
                <wp:simplePos x="0" y="0"/>
                <wp:positionH relativeFrom="column">
                  <wp:posOffset>653415</wp:posOffset>
                </wp:positionH>
                <wp:positionV relativeFrom="paragraph">
                  <wp:posOffset>236855</wp:posOffset>
                </wp:positionV>
                <wp:extent cx="152400" cy="1244600"/>
                <wp:effectExtent l="0" t="0" r="19050" b="12700"/>
                <wp:wrapNone/>
                <wp:docPr id="28" name="Elipse 28"/>
                <wp:cNvGraphicFramePr/>
                <a:graphic xmlns:a="http://schemas.openxmlformats.org/drawingml/2006/main">
                  <a:graphicData uri="http://schemas.microsoft.com/office/word/2010/wordprocessingShape">
                    <wps:wsp>
                      <wps:cNvSpPr/>
                      <wps:spPr>
                        <a:xfrm>
                          <a:off x="0" y="0"/>
                          <a:ext cx="152400" cy="12446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E0F4819" id="Elipse 28" o:spid="_x0000_s1026" style="position:absolute;margin-left:51.45pt;margin-top:18.65pt;width:12pt;height:98pt;z-index:251930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" fillcolor="white [3201]" strokecolor="black [3200]" strokeweight="1pt">
                <v:stroke joinstyle="miter"/>
              </v:oval>
            </w:pict>
          </mc:Fallback>
        </mc:AlternateContent>
      </w:r>
      <w:r w:rsidRPr="00AB315F">
        <w:rPr>
          <w:rFonts w:asciiTheme="minorHAnsi" w:hAnsiTheme="minorHAnsi"/>
          <w:b/>
          <w:noProof/>
        </w:rPr>
        <mc:AlternateContent>
          <mc:Choice Requires="wps">
            <w:drawing>
              <wp:anchor distT="0" distB="0" distL="114300" distR="114300" simplePos="0" relativeHeight="251929600" behindDoc="0" locked="0" layoutInCell="1" allowOverlap="1" wp14:anchorId="6071EB4E" wp14:editId="0D5CEFC6">
                <wp:simplePos x="0" y="0"/>
                <wp:positionH relativeFrom="column">
                  <wp:posOffset>1009015</wp:posOffset>
                </wp:positionH>
                <wp:positionV relativeFrom="paragraph">
                  <wp:posOffset>-23495</wp:posOffset>
                </wp:positionV>
                <wp:extent cx="209550" cy="1746250"/>
                <wp:effectExtent l="0" t="0" r="19050" b="25400"/>
                <wp:wrapNone/>
                <wp:docPr id="29" name="Elipse 29"/>
                <wp:cNvGraphicFramePr/>
                <a:graphic xmlns:a="http://schemas.openxmlformats.org/drawingml/2006/main">
                  <a:graphicData uri="http://schemas.microsoft.com/office/word/2010/wordprocessingShape">
                    <wps:wsp>
                      <wps:cNvSpPr/>
                      <wps:spPr>
                        <a:xfrm>
                          <a:off x="0" y="0"/>
                          <a:ext cx="209550" cy="174625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DE5DDFA" id="Elipse 29" o:spid="_x0000_s1026" style="position:absolute;margin-left:79.45pt;margin-top:-1.85pt;width:16.5pt;height:137.5pt;z-index:251929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" fillcolor="white [3201]" strokecolor="black [3200]" strokeweight="1pt">
                <v:stroke joinstyle="miter"/>
              </v:oval>
            </w:pict>
          </mc:Fallback>
        </mc:AlternateContent>
      </w:r>
      <w:r w:rsidRPr="00AB315F">
        <w:rPr>
          <w:rFonts w:asciiTheme="minorHAnsi" w:hAnsiTheme="minorHAnsi"/>
          <w:b/>
          <w:noProof/>
        </w:rPr>
        <mc:AlternateContent>
          <mc:Choice Requires="wps">
            <w:drawing>
              <wp:anchor distT="0" distB="0" distL="114300" distR="114300" simplePos="0" relativeHeight="251928576" behindDoc="0" locked="0" layoutInCell="1" allowOverlap="1" wp14:anchorId="416729A4" wp14:editId="2DB54096">
                <wp:simplePos x="0" y="0"/>
                <wp:positionH relativeFrom="column">
                  <wp:posOffset>1390015</wp:posOffset>
                </wp:positionH>
                <wp:positionV relativeFrom="paragraph">
                  <wp:posOffset>-296545</wp:posOffset>
                </wp:positionV>
                <wp:extent cx="254000" cy="2241550"/>
                <wp:effectExtent l="0" t="0" r="12700" b="25400"/>
                <wp:wrapNone/>
                <wp:docPr id="30" name="Elipse 30"/>
                <wp:cNvGraphicFramePr/>
                <a:graphic xmlns:a="http://schemas.openxmlformats.org/drawingml/2006/main">
                  <a:graphicData uri="http://schemas.microsoft.com/office/word/2010/wordprocessingShape">
                    <wps:wsp>
                      <wps:cNvSpPr/>
                      <wps:spPr>
                        <a:xfrm>
                          <a:off x="0" y="0"/>
                          <a:ext cx="254000" cy="224155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433DF19" id="Elipse 30" o:spid="_x0000_s1026" style="position:absolute;margin-left:109.45pt;margin-top:-23.35pt;width:20pt;height:176.5pt;z-index:251928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" fillcolor="white [3201]" strokecolor="black [3200]" strokeweight="1pt">
                <v:stroke joinstyle="miter"/>
              </v:oval>
            </w:pict>
          </mc:Fallback>
        </mc:AlternateContent>
      </w:r>
      <w:r w:rsidRPr="00AB315F">
        <w:rPr>
          <w:rFonts w:asciiTheme="minorHAnsi" w:hAnsiTheme="minorHAnsi"/>
          <w:b/>
          <w:noProof/>
        </w:rPr>
        <mc:AlternateContent>
          <mc:Choice Requires="wps">
            <w:drawing>
              <wp:anchor distT="0" distB="0" distL="114300" distR="114300" simplePos="0" relativeHeight="251927552" behindDoc="0" locked="0" layoutInCell="1" allowOverlap="1" wp14:anchorId="1D7B8353" wp14:editId="2669CFE9">
                <wp:simplePos x="0" y="0"/>
                <wp:positionH relativeFrom="column">
                  <wp:posOffset>1815465</wp:posOffset>
                </wp:positionH>
                <wp:positionV relativeFrom="paragraph">
                  <wp:posOffset>-518795</wp:posOffset>
                </wp:positionV>
                <wp:extent cx="298450" cy="2686050"/>
                <wp:effectExtent l="0" t="0" r="25400" b="19050"/>
                <wp:wrapNone/>
                <wp:docPr id="31" name="Elipse 31"/>
                <wp:cNvGraphicFramePr/>
                <a:graphic xmlns:a="http://schemas.openxmlformats.org/drawingml/2006/main">
                  <a:graphicData uri="http://schemas.microsoft.com/office/word/2010/wordprocessingShape">
                    <wps:wsp>
                      <wps:cNvSpPr/>
                      <wps:spPr>
                        <a:xfrm>
                          <a:off x="0" y="0"/>
                          <a:ext cx="298450" cy="268605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888391" id="Elipse 31" o:spid="_x0000_s1026" style="position:absolute;margin-left:142.95pt;margin-top:-40.85pt;width:23.5pt;height:211.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" fillcolor="white [3201]" strokecolor="black [3200]" strokeweight="1pt">
                <v:stroke joinstyle="miter"/>
              </v:oval>
            </w:pict>
          </mc:Fallback>
        </mc:AlternateContent>
      </w:r>
      <w:r w:rsidRPr="00AB315F">
        <w:rPr>
          <w:rFonts w:asciiTheme="minorHAnsi" w:hAnsiTheme="minorHAnsi"/>
          <w:b/>
          <w:noProof/>
        </w:rPr>
        <mc:AlternateContent>
          <mc:Choice Requires="wps">
            <w:drawing>
              <wp:anchor distT="0" distB="0" distL="114300" distR="114300" simplePos="0" relativeHeight="251924480" behindDoc="0" locked="0" layoutInCell="1" allowOverlap="1" wp14:anchorId="4459DF6E" wp14:editId="46DD6B3B">
                <wp:simplePos x="0" y="0"/>
                <wp:positionH relativeFrom="column">
                  <wp:posOffset>3796665</wp:posOffset>
                </wp:positionH>
                <wp:positionV relativeFrom="paragraph">
                  <wp:posOffset>-99695</wp:posOffset>
                </wp:positionV>
                <wp:extent cx="1174750" cy="514350"/>
                <wp:effectExtent l="38100" t="38100" r="25400" b="19050"/>
                <wp:wrapNone/>
                <wp:docPr id="225" name="Conector de seta reta 225"/>
                <wp:cNvGraphicFramePr/>
                <a:graphic xmlns:a="http://schemas.openxmlformats.org/drawingml/2006/main">
                  <a:graphicData uri="http://schemas.microsoft.com/office/word/2010/wordprocessingShape">
                    <wps:wsp>
                      <wps:cNvCnPr/>
                      <wps:spPr>
                        <a:xfrm flipH="1" flipV="1">
                          <a:off x="0" y="0"/>
                          <a:ext cx="1174750" cy="514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3E0289" id="Conector de seta reta 225" o:spid="_x0000_s1026" type="#_x0000_t32" style="position:absolute;margin-left:298.95pt;margin-top:-7.85pt;width:92.5pt;height:40.5pt;flip:x y;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" strokecolor="black [3200]" strokeweight=".5pt">
                <v:stroke endarrow="block" joinstyle="miter"/>
              </v:shape>
            </w:pict>
          </mc:Fallback>
        </mc:AlternateContent>
      </w:r>
      <w:r w:rsidRPr="00AB315F">
        <w:rPr>
          <w:rFonts w:asciiTheme="minorHAnsi" w:hAnsiTheme="minorHAnsi"/>
          <w:b/>
          <w:noProof/>
        </w:rPr>
        <mc:AlternateContent>
          <mc:Choice Requires="wps">
            <w:drawing>
              <wp:anchor distT="0" distB="0" distL="114300" distR="114300" simplePos="0" relativeHeight="251916288" behindDoc="0" locked="0" layoutInCell="1" allowOverlap="1" wp14:anchorId="3767A255" wp14:editId="1DCB5FF0">
                <wp:simplePos x="0" y="0"/>
                <wp:positionH relativeFrom="column">
                  <wp:posOffset>4866005</wp:posOffset>
                </wp:positionH>
                <wp:positionV relativeFrom="paragraph">
                  <wp:posOffset>3810</wp:posOffset>
                </wp:positionV>
                <wp:extent cx="1606550" cy="1816100"/>
                <wp:effectExtent l="0" t="0" r="12700" b="12700"/>
                <wp:wrapNone/>
                <wp:docPr id="229" name="Elipse 229"/>
                <wp:cNvGraphicFramePr/>
                <a:graphic xmlns:a="http://schemas.openxmlformats.org/drawingml/2006/main">
                  <a:graphicData uri="http://schemas.microsoft.com/office/word/2010/wordprocessingShape">
                    <wps:wsp>
                      <wps:cNvSpPr/>
                      <wps:spPr>
                        <a:xfrm>
                          <a:off x="0" y="0"/>
                          <a:ext cx="1606550" cy="1816100"/>
                        </a:xfrm>
                        <a:prstGeom prst="ellipse">
                          <a:avLst/>
                        </a:prstGeom>
                      </wps:spPr>
                      <wps:style>
                        <a:lnRef idx="2">
                          <a:schemeClr val="dk1"/>
                        </a:lnRef>
                        <a:fillRef idx="1">
                          <a:schemeClr val="lt1"/>
                        </a:fillRef>
                        <a:effectRef idx="0">
                          <a:schemeClr val="dk1"/>
                        </a:effectRef>
                        <a:fontRef idx="minor">
                          <a:schemeClr val="dk1"/>
                        </a:fontRef>
                      </wps:style>
                      <wps:txbx>
                        <w:txbxContent>
                          <w:p w14:paraId="059268F6" w14:textId="77777777" w:rsidR="005D065B" w:rsidRDefault="005D065B" w:rsidP="001554C3">
                            <w:pPr>
                              <w:jc w:val="center"/>
                            </w:pPr>
                            <w:r>
                              <w:t>Aceitação da corrupção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67A255" id="Elipse 229" o:spid="_x0000_s1044" style="position:absolute;left:0;text-align:left;margin-left:383.15pt;margin-top:.3pt;width:126.5pt;height:143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" fillcolor="white [3201]" strokecolor="black [3200]" strokeweight="1pt">
                <v:stroke joinstyle="miter"/>
                <v:textbox>
                  <w:txbxContent>
                    <w:p w14:paraId="059268F6" w14:textId="77777777" w:rsidR="005D065B" w:rsidRDefault="005D065B" w:rsidP="001554C3">
                      <w:pPr>
                        <w:jc w:val="center"/>
                      </w:pPr>
                      <w:r>
                        <w:t>Aceitação da corrupção</w:t>
                      </w:r>
                    </w:p>
                  </w:txbxContent>
                </v:textbox>
              </v:oval>
            </w:pict>
          </mc:Fallback>
        </mc:AlternateContent>
      </w:r>
      <w:r w:rsidRPr="00AB315F">
        <w:rPr>
          <w:rFonts w:asciiTheme="minorHAnsi" w:hAnsiTheme="minorHAnsi"/>
          <w:b/>
          <w:noProof/>
        </w:rPr>
        <mc:AlternateContent>
          <mc:Choice Requires="wps">
            <w:drawing>
              <wp:anchor distT="0" distB="0" distL="114300" distR="114300" simplePos="0" relativeHeight="251917312" behindDoc="0" locked="0" layoutInCell="1" allowOverlap="1" wp14:anchorId="1E2C317D" wp14:editId="20733DD6">
                <wp:simplePos x="0" y="0"/>
                <wp:positionH relativeFrom="column">
                  <wp:posOffset>2419350</wp:posOffset>
                </wp:positionH>
                <wp:positionV relativeFrom="paragraph">
                  <wp:posOffset>1706880</wp:posOffset>
                </wp:positionV>
                <wp:extent cx="1308100" cy="737235"/>
                <wp:effectExtent l="0" t="0" r="25400" b="24765"/>
                <wp:wrapNone/>
                <wp:docPr id="235" name="Retângulo 235"/>
                <wp:cNvGraphicFramePr/>
                <a:graphic xmlns:a="http://schemas.openxmlformats.org/drawingml/2006/main">
                  <a:graphicData uri="http://schemas.microsoft.com/office/word/2010/wordprocessingShape">
                    <wps:wsp>
                      <wps:cNvSpPr/>
                      <wps:spPr>
                        <a:xfrm>
                          <a:off x="0" y="0"/>
                          <a:ext cx="1308100" cy="737235"/>
                        </a:xfrm>
                        <a:prstGeom prst="rect">
                          <a:avLst/>
                        </a:prstGeom>
                      </wps:spPr>
                      <wps:style>
                        <a:lnRef idx="2">
                          <a:schemeClr val="dk1"/>
                        </a:lnRef>
                        <a:fillRef idx="1">
                          <a:schemeClr val="lt1"/>
                        </a:fillRef>
                        <a:effectRef idx="0">
                          <a:schemeClr val="dk1"/>
                        </a:effectRef>
                        <a:fontRef idx="minor">
                          <a:schemeClr val="dk1"/>
                        </a:fontRef>
                      </wps:style>
                      <wps:txbx>
                        <w:txbxContent>
                          <w:p w14:paraId="5CD159AA" w14:textId="77777777" w:rsidR="005D065B" w:rsidRPr="006D06C8" w:rsidRDefault="005D065B" w:rsidP="001554C3">
                            <w:pPr>
                              <w:jc w:val="center"/>
                              <w:rPr>
                                <w:sz w:val="20"/>
                              </w:rPr>
                            </w:pPr>
                            <w:r w:rsidRPr="006D06C8">
                              <w:rPr>
                                <w:sz w:val="20"/>
                              </w:rPr>
                              <w:t xml:space="preserve">Receber Benefícios do Governo mesmo </w:t>
                            </w:r>
                            <w:r>
                              <w:rPr>
                                <w:sz w:val="20"/>
                              </w:rPr>
                              <w:t>sabendo que não tem direito a eles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2C317D" id="Retângulo 235" o:spid="_x0000_s1045" style="position:absolute;left:0;text-align:left;margin-left:190.5pt;margin-top:134.4pt;width:103pt;height:58.0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" fillcolor="white [3201]" strokecolor="black [3200]" strokeweight="1pt">
                <v:textbox>
                  <w:txbxContent>
                    <w:p w14:paraId="5CD159AA" w14:textId="77777777" w:rsidR="005D065B" w:rsidRPr="006D06C8" w:rsidRDefault="005D065B" w:rsidP="001554C3">
                      <w:pPr>
                        <w:jc w:val="center"/>
                        <w:rPr>
                          <w:sz w:val="20"/>
                        </w:rPr>
                      </w:pPr>
                      <w:r w:rsidRPr="006D06C8">
                        <w:rPr>
                          <w:sz w:val="20"/>
                        </w:rPr>
                        <w:t xml:space="preserve">Receber Benefícios do Governo mesmo </w:t>
                      </w:r>
                      <w:r>
                        <w:rPr>
                          <w:sz w:val="20"/>
                        </w:rPr>
                        <w:t>sabendo que não tem direito a eles</w:t>
                      </w:r>
                    </w:p>
                  </w:txbxContent>
                </v:textbox>
              </v:rect>
            </w:pict>
          </mc:Fallback>
        </mc:AlternateContent>
      </w:r>
      <w:r w:rsidRPr="00AB315F">
        <w:rPr>
          <w:rFonts w:asciiTheme="minorHAnsi" w:hAnsiTheme="minorHAnsi"/>
          <w:b/>
          <w:noProof/>
        </w:rPr>
        <mc:AlternateContent>
          <mc:Choice Requires="wps">
            <w:drawing>
              <wp:anchor distT="0" distB="0" distL="114300" distR="114300" simplePos="0" relativeHeight="251918336" behindDoc="0" locked="0" layoutInCell="1" allowOverlap="1" wp14:anchorId="001801C7" wp14:editId="3408EA43">
                <wp:simplePos x="0" y="0"/>
                <wp:positionH relativeFrom="column">
                  <wp:posOffset>2423795</wp:posOffset>
                </wp:positionH>
                <wp:positionV relativeFrom="paragraph">
                  <wp:posOffset>910590</wp:posOffset>
                </wp:positionV>
                <wp:extent cx="1308100" cy="732790"/>
                <wp:effectExtent l="0" t="0" r="25400" b="10160"/>
                <wp:wrapNone/>
                <wp:docPr id="236" name="Retângulo 236"/>
                <wp:cNvGraphicFramePr/>
                <a:graphic xmlns:a="http://schemas.openxmlformats.org/drawingml/2006/main">
                  <a:graphicData uri="http://schemas.microsoft.com/office/word/2010/wordprocessingShape">
                    <wps:wsp>
                      <wps:cNvSpPr/>
                      <wps:spPr>
                        <a:xfrm>
                          <a:off x="0" y="0"/>
                          <a:ext cx="1308100" cy="732790"/>
                        </a:xfrm>
                        <a:prstGeom prst="rect">
                          <a:avLst/>
                        </a:prstGeom>
                      </wps:spPr>
                      <wps:style>
                        <a:lnRef idx="2">
                          <a:schemeClr val="dk1"/>
                        </a:lnRef>
                        <a:fillRef idx="1">
                          <a:schemeClr val="lt1"/>
                        </a:fillRef>
                        <a:effectRef idx="0">
                          <a:schemeClr val="dk1"/>
                        </a:effectRef>
                        <a:fontRef idx="minor">
                          <a:schemeClr val="dk1"/>
                        </a:fontRef>
                      </wps:style>
                      <wps:txbx>
                        <w:txbxContent>
                          <w:p w14:paraId="6669C6B7" w14:textId="77777777" w:rsidR="005D065B" w:rsidRPr="006D06C8" w:rsidRDefault="005D065B" w:rsidP="001554C3">
                            <w:pPr>
                              <w:jc w:val="center"/>
                              <w:rPr>
                                <w:sz w:val="20"/>
                              </w:rPr>
                            </w:pPr>
                            <w:r w:rsidRPr="006D06C8">
                              <w:rPr>
                                <w:sz w:val="20"/>
                              </w:rPr>
                              <w:t>Evitar pagar passagem em transporte público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1801C7" id="Retângulo 236" o:spid="_x0000_s1046" style="position:absolute;left:0;text-align:left;margin-left:190.85pt;margin-top:71.7pt;width:103pt;height:57.7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" fillcolor="white [3201]" strokecolor="black [3200]" strokeweight="1pt">
                <v:textbox>
                  <w:txbxContent>
                    <w:p w14:paraId="6669C6B7" w14:textId="77777777" w:rsidR="005D065B" w:rsidRPr="006D06C8" w:rsidRDefault="005D065B" w:rsidP="001554C3">
                      <w:pPr>
                        <w:jc w:val="center"/>
                        <w:rPr>
                          <w:sz w:val="20"/>
                        </w:rPr>
                      </w:pPr>
                      <w:r w:rsidRPr="006D06C8">
                        <w:rPr>
                          <w:sz w:val="20"/>
                        </w:rPr>
                        <w:t>Evitar pagar passagem em transporte público</w:t>
                      </w:r>
                    </w:p>
                  </w:txbxContent>
                </v:textbox>
              </v:rect>
            </w:pict>
          </mc:Fallback>
        </mc:AlternateContent>
      </w:r>
      <w:r w:rsidRPr="00AB315F">
        <w:rPr>
          <w:rFonts w:asciiTheme="minorHAnsi" w:hAnsiTheme="minorHAnsi"/>
          <w:b/>
          <w:noProof/>
        </w:rPr>
        <mc:AlternateContent>
          <mc:Choice Requires="wps">
            <w:drawing>
              <wp:anchor distT="0" distB="0" distL="114300" distR="114300" simplePos="0" relativeHeight="251919360" behindDoc="0" locked="0" layoutInCell="1" allowOverlap="1" wp14:anchorId="550FE44E" wp14:editId="5DB67540">
                <wp:simplePos x="0" y="0"/>
                <wp:positionH relativeFrom="column">
                  <wp:posOffset>2430780</wp:posOffset>
                </wp:positionH>
                <wp:positionV relativeFrom="paragraph">
                  <wp:posOffset>120650</wp:posOffset>
                </wp:positionV>
                <wp:extent cx="1308100" cy="728345"/>
                <wp:effectExtent l="0" t="0" r="25400" b="14605"/>
                <wp:wrapNone/>
                <wp:docPr id="237" name="Retângulo 237"/>
                <wp:cNvGraphicFramePr/>
                <a:graphic xmlns:a="http://schemas.openxmlformats.org/drawingml/2006/main">
                  <a:graphicData uri="http://schemas.microsoft.com/office/word/2010/wordprocessingShape">
                    <wps:wsp>
                      <wps:cNvSpPr/>
                      <wps:spPr>
                        <a:xfrm>
                          <a:off x="0" y="0"/>
                          <a:ext cx="1308100" cy="728345"/>
                        </a:xfrm>
                        <a:prstGeom prst="rect">
                          <a:avLst/>
                        </a:prstGeom>
                      </wps:spPr>
                      <wps:style>
                        <a:lnRef idx="2">
                          <a:schemeClr val="dk1"/>
                        </a:lnRef>
                        <a:fillRef idx="1">
                          <a:schemeClr val="lt1"/>
                        </a:fillRef>
                        <a:effectRef idx="0">
                          <a:schemeClr val="dk1"/>
                        </a:effectRef>
                        <a:fontRef idx="minor">
                          <a:schemeClr val="dk1"/>
                        </a:fontRef>
                      </wps:style>
                      <wps:txbx>
                        <w:txbxContent>
                          <w:p w14:paraId="02F95345" w14:textId="77777777" w:rsidR="005D065B" w:rsidRPr="006D06C8" w:rsidRDefault="005D065B" w:rsidP="001554C3">
                            <w:pPr>
                              <w:jc w:val="center"/>
                              <w:rPr>
                                <w:sz w:val="20"/>
                              </w:rPr>
                            </w:pPr>
                            <w:r w:rsidRPr="006D06C8">
                              <w:rPr>
                                <w:sz w:val="20"/>
                              </w:rPr>
                              <w:t>Deixar de pagar algum imposto se tiver a oportunidade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FE44E" id="Retângulo 237" o:spid="_x0000_s1047" style="position:absolute;left:0;text-align:left;margin-left:191.4pt;margin-top:9.5pt;width:103pt;height:57.3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" fillcolor="white [3201]" strokecolor="black [3200]" strokeweight="1pt">
                <v:textbox>
                  <w:txbxContent>
                    <w:p w14:paraId="02F95345" w14:textId="77777777" w:rsidR="005D065B" w:rsidRPr="006D06C8" w:rsidRDefault="005D065B" w:rsidP="001554C3">
                      <w:pPr>
                        <w:jc w:val="center"/>
                        <w:rPr>
                          <w:sz w:val="20"/>
                        </w:rPr>
                      </w:pPr>
                      <w:r w:rsidRPr="006D06C8">
                        <w:rPr>
                          <w:sz w:val="20"/>
                        </w:rPr>
                        <w:t>Deixar de pagar algum imposto se tiver a oportunidade</w:t>
                      </w:r>
                    </w:p>
                  </w:txbxContent>
                </v:textbox>
              </v:rect>
            </w:pict>
          </mc:Fallback>
        </mc:AlternateContent>
      </w:r>
      <w:r w:rsidRPr="00AB315F">
        <w:rPr>
          <w:rFonts w:asciiTheme="minorHAnsi" w:hAnsiTheme="minorHAnsi"/>
          <w:b/>
          <w:noProof/>
        </w:rPr>
        <mc:AlternateContent>
          <mc:Choice Requires="wps">
            <w:drawing>
              <wp:anchor distT="0" distB="0" distL="114300" distR="114300" simplePos="0" relativeHeight="251920384" behindDoc="0" locked="0" layoutInCell="1" allowOverlap="1" wp14:anchorId="3BBD0E30" wp14:editId="5ED61D87">
                <wp:simplePos x="0" y="0"/>
                <wp:positionH relativeFrom="column">
                  <wp:posOffset>2448560</wp:posOffset>
                </wp:positionH>
                <wp:positionV relativeFrom="paragraph">
                  <wp:posOffset>-647700</wp:posOffset>
                </wp:positionV>
                <wp:extent cx="1308100" cy="715010"/>
                <wp:effectExtent l="0" t="0" r="25400" b="27940"/>
                <wp:wrapNone/>
                <wp:docPr id="238" name="Retângulo 238"/>
                <wp:cNvGraphicFramePr/>
                <a:graphic xmlns:a="http://schemas.openxmlformats.org/drawingml/2006/main">
                  <a:graphicData uri="http://schemas.microsoft.com/office/word/2010/wordprocessingShape">
                    <wps:wsp>
                      <wps:cNvSpPr/>
                      <wps:spPr>
                        <a:xfrm>
                          <a:off x="0" y="0"/>
                          <a:ext cx="1308100" cy="715010"/>
                        </a:xfrm>
                        <a:prstGeom prst="rect">
                          <a:avLst/>
                        </a:prstGeom>
                      </wps:spPr>
                      <wps:style>
                        <a:lnRef idx="2">
                          <a:schemeClr val="dk1"/>
                        </a:lnRef>
                        <a:fillRef idx="1">
                          <a:schemeClr val="lt1"/>
                        </a:fillRef>
                        <a:effectRef idx="0">
                          <a:schemeClr val="dk1"/>
                        </a:effectRef>
                        <a:fontRef idx="minor">
                          <a:schemeClr val="dk1"/>
                        </a:fontRef>
                      </wps:style>
                      <wps:txbx>
                        <w:txbxContent>
                          <w:p w14:paraId="31FC2A0D" w14:textId="77777777" w:rsidR="005D065B" w:rsidRPr="006D06C8" w:rsidRDefault="005D065B" w:rsidP="001554C3">
                            <w:pPr>
                              <w:jc w:val="center"/>
                              <w:rPr>
                                <w:sz w:val="20"/>
                              </w:rPr>
                            </w:pPr>
                            <w:r>
                              <w:rPr>
                                <w:sz w:val="20"/>
                              </w:rPr>
                              <w:t>Aceitar suborno</w:t>
                            </w:r>
                            <w:r w:rsidRPr="006D06C8">
                              <w:rPr>
                                <w:sz w:val="20"/>
                              </w:rPr>
                              <w:t xml:space="preserve"> para cumprir o seu dever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BD0E30" id="Retângulo 238" o:spid="_x0000_s1048" style="position:absolute;left:0;text-align:left;margin-left:192.8pt;margin-top:-51pt;width:103pt;height:56.3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" fillcolor="white [3201]" strokecolor="black [3200]" strokeweight="1pt">
                <v:textbox>
                  <w:txbxContent>
                    <w:p w14:paraId="31FC2A0D" w14:textId="77777777" w:rsidR="005D065B" w:rsidRPr="006D06C8" w:rsidRDefault="005D065B" w:rsidP="001554C3">
                      <w:pPr>
                        <w:jc w:val="center"/>
                        <w:rPr>
                          <w:sz w:val="20"/>
                        </w:rPr>
                      </w:pPr>
                      <w:r>
                        <w:rPr>
                          <w:sz w:val="20"/>
                        </w:rPr>
                        <w:t>Aceitar suborno</w:t>
                      </w:r>
                      <w:r w:rsidRPr="006D06C8">
                        <w:rPr>
                          <w:sz w:val="20"/>
                        </w:rPr>
                        <w:t xml:space="preserve"> para cumprir o seu dever</w:t>
                      </w:r>
                    </w:p>
                  </w:txbxContent>
                </v:textbox>
              </v:rect>
            </w:pict>
          </mc:Fallback>
        </mc:AlternateContent>
      </w:r>
      <w:r w:rsidRPr="00AB315F">
        <w:rPr>
          <w:rFonts w:asciiTheme="minorHAnsi" w:hAnsiTheme="minorHAnsi"/>
          <w:b/>
          <w:noProof/>
        </w:rPr>
        <mc:AlternateContent>
          <mc:Choice Requires="wps">
            <w:drawing>
              <wp:anchor distT="0" distB="0" distL="114300" distR="114300" simplePos="0" relativeHeight="251923456" behindDoc="0" locked="0" layoutInCell="1" allowOverlap="1" wp14:anchorId="5737B8EE" wp14:editId="0FBE6A17">
                <wp:simplePos x="0" y="0"/>
                <wp:positionH relativeFrom="column">
                  <wp:posOffset>3755390</wp:posOffset>
                </wp:positionH>
                <wp:positionV relativeFrom="paragraph">
                  <wp:posOffset>598170</wp:posOffset>
                </wp:positionV>
                <wp:extent cx="1104265" cy="256540"/>
                <wp:effectExtent l="38100" t="57150" r="19685" b="29210"/>
                <wp:wrapNone/>
                <wp:docPr id="239" name="Conector de seta reta 239"/>
                <wp:cNvGraphicFramePr/>
                <a:graphic xmlns:a="http://schemas.openxmlformats.org/drawingml/2006/main">
                  <a:graphicData uri="http://schemas.microsoft.com/office/word/2010/wordprocessingShape">
                    <wps:wsp>
                      <wps:cNvCnPr/>
                      <wps:spPr>
                        <a:xfrm flipH="1" flipV="1">
                          <a:off x="0" y="0"/>
                          <a:ext cx="1104265" cy="2565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4DF4E0" id="Conector de seta reta 239" o:spid="_x0000_s1026" type="#_x0000_t32" style="position:absolute;margin-left:295.7pt;margin-top:47.1pt;width:86.95pt;height:20.2pt;flip:x y;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" strokecolor="black [3200]" strokeweight=".5pt">
                <v:stroke endarrow="block" joinstyle="miter"/>
              </v:shape>
            </w:pict>
          </mc:Fallback>
        </mc:AlternateContent>
      </w:r>
    </w:p>
    <w:p w14:paraId="69DB20CA" w14:textId="77777777" w:rsidR="001554C3" w:rsidRPr="00AB315F" w:rsidRDefault="001554C3" w:rsidP="001554C3">
      <w:pPr>
        <w:spacing w:line="360" w:lineRule="auto"/>
        <w:jc w:val="both"/>
        <w:rPr>
          <w:rFonts w:asciiTheme="minorHAnsi" w:hAnsiTheme="minorHAnsi"/>
          <w:b/>
        </w:rPr>
      </w:pPr>
      <w:r w:rsidRPr="00AB315F">
        <w:rPr>
          <w:rFonts w:asciiTheme="minorHAnsi" w:hAnsiTheme="minorHAnsi"/>
          <w:noProof/>
        </w:rPr>
        <mc:AlternateContent>
          <mc:Choice Requires="wps">
            <w:drawing>
              <wp:anchor distT="0" distB="0" distL="114300" distR="114300" simplePos="0" relativeHeight="251949056" behindDoc="0" locked="0" layoutInCell="1" allowOverlap="1" wp14:anchorId="16F8AFDA" wp14:editId="5D7EFA36">
                <wp:simplePos x="0" y="0"/>
                <wp:positionH relativeFrom="column">
                  <wp:posOffset>1895898</wp:posOffset>
                </wp:positionH>
                <wp:positionV relativeFrom="paragraph">
                  <wp:posOffset>137160</wp:posOffset>
                </wp:positionV>
                <wp:extent cx="537422" cy="86783"/>
                <wp:effectExtent l="0" t="57150" r="15240" b="27940"/>
                <wp:wrapNone/>
                <wp:docPr id="240" name="Conector de seta reta 240"/>
                <wp:cNvGraphicFramePr/>
                <a:graphic xmlns:a="http://schemas.openxmlformats.org/drawingml/2006/main">
                  <a:graphicData uri="http://schemas.microsoft.com/office/word/2010/wordprocessingShape">
                    <wps:wsp>
                      <wps:cNvCnPr/>
                      <wps:spPr>
                        <a:xfrm flipV="1">
                          <a:off x="0" y="0"/>
                          <a:ext cx="537422" cy="8678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4F81CCE" id="Conector de seta reta 240" o:spid="_x0000_s1026" type="#_x0000_t32" style="position:absolute;margin-left:149.3pt;margin-top:10.8pt;width:42.3pt;height:6.85pt;flip:y;z-index:25194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" strokecolor="black [3200]" strokeweight=".5pt">
                <v:stroke endarrow="block" joinstyle="miter"/>
              </v:shape>
            </w:pict>
          </mc:Fallback>
        </mc:AlternateContent>
      </w:r>
      <w:r w:rsidRPr="00AB315F">
        <w:rPr>
          <w:rFonts w:asciiTheme="minorHAnsi" w:hAnsiTheme="minorHAnsi"/>
          <w:b/>
          <w:noProof/>
        </w:rPr>
        <mc:AlternateContent>
          <mc:Choice Requires="wps">
            <w:drawing>
              <wp:anchor distT="0" distB="0" distL="114300" distR="114300" simplePos="0" relativeHeight="251940864" behindDoc="0" locked="0" layoutInCell="1" allowOverlap="1" wp14:anchorId="6B51D669" wp14:editId="3D9B7075">
                <wp:simplePos x="0" y="0"/>
                <wp:positionH relativeFrom="column">
                  <wp:posOffset>1540297</wp:posOffset>
                </wp:positionH>
                <wp:positionV relativeFrom="paragraph">
                  <wp:posOffset>236643</wp:posOffset>
                </wp:positionV>
                <wp:extent cx="275167" cy="50377"/>
                <wp:effectExtent l="0" t="0" r="29845" b="26035"/>
                <wp:wrapNone/>
                <wp:docPr id="241" name="Conector reto 241"/>
                <wp:cNvGraphicFramePr/>
                <a:graphic xmlns:a="http://schemas.openxmlformats.org/drawingml/2006/main">
                  <a:graphicData uri="http://schemas.microsoft.com/office/word/2010/wordprocessingShape">
                    <wps:wsp>
                      <wps:cNvCnPr/>
                      <wps:spPr>
                        <a:xfrm flipV="1">
                          <a:off x="0" y="0"/>
                          <a:ext cx="275167" cy="5037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27EE1A" id="Conector reto 241" o:spid="_x0000_s1026" style="position:absolute;flip:y;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3pt,18.65pt" to="142.95pt,2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35744" behindDoc="0" locked="0" layoutInCell="1" allowOverlap="1" wp14:anchorId="0F360B27" wp14:editId="2756980F">
                <wp:simplePos x="0" y="0"/>
                <wp:positionH relativeFrom="column">
                  <wp:posOffset>716915</wp:posOffset>
                </wp:positionH>
                <wp:positionV relativeFrom="paragraph">
                  <wp:posOffset>22860</wp:posOffset>
                </wp:positionV>
                <wp:extent cx="311150" cy="95250"/>
                <wp:effectExtent l="0" t="0" r="31750" b="19050"/>
                <wp:wrapNone/>
                <wp:docPr id="242" name="Conector reto 242"/>
                <wp:cNvGraphicFramePr/>
                <a:graphic xmlns:a="http://schemas.openxmlformats.org/drawingml/2006/main">
                  <a:graphicData uri="http://schemas.microsoft.com/office/word/2010/wordprocessingShape">
                    <wps:wsp>
                      <wps:cNvCnPr/>
                      <wps:spPr>
                        <a:xfrm flipV="1">
                          <a:off x="0" y="0"/>
                          <a:ext cx="311150" cy="952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42D648" id="Conector reto 242" o:spid="_x0000_s1026" style="position:absolute;flip:y;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45pt,1.8pt" to="80.95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31648" behindDoc="0" locked="0" layoutInCell="1" allowOverlap="1" wp14:anchorId="40143677" wp14:editId="627A43DA">
                <wp:simplePos x="0" y="0"/>
                <wp:positionH relativeFrom="column">
                  <wp:posOffset>291465</wp:posOffset>
                </wp:positionH>
                <wp:positionV relativeFrom="paragraph">
                  <wp:posOffset>137160</wp:posOffset>
                </wp:positionV>
                <wp:extent cx="381000" cy="127000"/>
                <wp:effectExtent l="0" t="0" r="19050" b="25400"/>
                <wp:wrapNone/>
                <wp:docPr id="243" name="Conector reto 243"/>
                <wp:cNvGraphicFramePr/>
                <a:graphic xmlns:a="http://schemas.openxmlformats.org/drawingml/2006/main">
                  <a:graphicData uri="http://schemas.microsoft.com/office/word/2010/wordprocessingShape">
                    <wps:wsp>
                      <wps:cNvCnPr/>
                      <wps:spPr>
                        <a:xfrm flipV="1">
                          <a:off x="0" y="0"/>
                          <a:ext cx="381000" cy="127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062831" id="Conector reto 243" o:spid="_x0000_s1026" style="position:absolute;flip:y;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5pt,10.8pt" to="52.9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" strokecolor="black [3200]" strokeweight=".5pt">
                <v:stroke joinstyle="miter"/>
              </v:line>
            </w:pict>
          </mc:Fallback>
        </mc:AlternateContent>
      </w:r>
    </w:p>
    <w:p w14:paraId="1685CA2A" w14:textId="77777777" w:rsidR="001554C3" w:rsidRPr="00AB315F" w:rsidRDefault="001554C3" w:rsidP="001554C3">
      <w:pPr>
        <w:spacing w:line="360" w:lineRule="auto"/>
        <w:jc w:val="both"/>
        <w:rPr>
          <w:rFonts w:asciiTheme="minorHAnsi" w:hAnsiTheme="minorHAnsi"/>
          <w:b/>
        </w:rPr>
      </w:pPr>
      <w:r w:rsidRPr="00AB315F">
        <w:rPr>
          <w:rFonts w:asciiTheme="minorHAnsi" w:hAnsiTheme="minorHAnsi"/>
          <w:noProof/>
        </w:rPr>
        <w:drawing>
          <wp:anchor distT="0" distB="0" distL="114300" distR="114300" simplePos="0" relativeHeight="251952128" behindDoc="0" locked="0" layoutInCell="1" allowOverlap="1" wp14:anchorId="0789ED1F" wp14:editId="515A7974">
            <wp:simplePos x="0" y="0"/>
            <wp:positionH relativeFrom="column">
              <wp:posOffset>-210185</wp:posOffset>
            </wp:positionH>
            <wp:positionV relativeFrom="paragraph">
              <wp:posOffset>86360</wp:posOffset>
            </wp:positionV>
            <wp:extent cx="482600" cy="482600"/>
            <wp:effectExtent l="0" t="0" r="0" b="0"/>
            <wp:wrapThrough wrapText="bothSides">
              <wp:wrapPolygon edited="0">
                <wp:start x="0" y="0"/>
                <wp:lineTo x="0" y="20463"/>
                <wp:lineTo x="20463" y="20463"/>
                <wp:lineTo x="20463" y="0"/>
                <wp:lineTo x="0" y="0"/>
              </wp:wrapPolygon>
            </wp:wrapThrough>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symbol-sign-male-female[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82600" cy="482600"/>
                    </a:xfrm>
                    <a:prstGeom prst="rect">
                      <a:avLst/>
                    </a:prstGeom>
                  </pic:spPr>
                </pic:pic>
              </a:graphicData>
            </a:graphic>
            <wp14:sizeRelH relativeFrom="page">
              <wp14:pctWidth>0</wp14:pctWidth>
            </wp14:sizeRelH>
            <wp14:sizeRelV relativeFrom="page">
              <wp14:pctHeight>0</wp14:pctHeight>
            </wp14:sizeRelV>
          </wp:anchor>
        </w:drawing>
      </w:r>
      <w:r w:rsidRPr="00AB315F">
        <w:rPr>
          <w:rFonts w:asciiTheme="minorHAnsi" w:hAnsiTheme="minorHAnsi"/>
          <w:b/>
          <w:noProof/>
        </w:rPr>
        <mc:AlternateContent>
          <mc:Choice Requires="wps">
            <w:drawing>
              <wp:anchor distT="0" distB="0" distL="114300" distR="114300" simplePos="0" relativeHeight="251939840" behindDoc="0" locked="0" layoutInCell="1" allowOverlap="1" wp14:anchorId="16F24404" wp14:editId="6727FE01">
                <wp:simplePos x="0" y="0"/>
                <wp:positionH relativeFrom="column">
                  <wp:posOffset>1133687</wp:posOffset>
                </wp:positionH>
                <wp:positionV relativeFrom="paragraph">
                  <wp:posOffset>20320</wp:posOffset>
                </wp:positionV>
                <wp:extent cx="245533" cy="42122"/>
                <wp:effectExtent l="0" t="0" r="21590" b="34290"/>
                <wp:wrapNone/>
                <wp:docPr id="244" name="Conector reto 244"/>
                <wp:cNvGraphicFramePr/>
                <a:graphic xmlns:a="http://schemas.openxmlformats.org/drawingml/2006/main">
                  <a:graphicData uri="http://schemas.microsoft.com/office/word/2010/wordprocessingShape">
                    <wps:wsp>
                      <wps:cNvCnPr/>
                      <wps:spPr>
                        <a:xfrm flipV="1">
                          <a:off x="0" y="0"/>
                          <a:ext cx="245533" cy="421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95302B" id="Conector reto 244" o:spid="_x0000_s1026" style="position:absolute;flip:y;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9.25pt,1.6pt" to="108.6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38816" behindDoc="0" locked="0" layoutInCell="1" allowOverlap="1" wp14:anchorId="0448612E" wp14:editId="67C4DC01">
                <wp:simplePos x="0" y="0"/>
                <wp:positionH relativeFrom="column">
                  <wp:posOffset>744432</wp:posOffset>
                </wp:positionH>
                <wp:positionV relativeFrom="paragraph">
                  <wp:posOffset>71543</wp:posOffset>
                </wp:positionV>
                <wp:extent cx="245533" cy="42122"/>
                <wp:effectExtent l="0" t="0" r="21590" b="34290"/>
                <wp:wrapNone/>
                <wp:docPr id="245" name="Conector reto 245"/>
                <wp:cNvGraphicFramePr/>
                <a:graphic xmlns:a="http://schemas.openxmlformats.org/drawingml/2006/main">
                  <a:graphicData uri="http://schemas.microsoft.com/office/word/2010/wordprocessingShape">
                    <wps:wsp>
                      <wps:cNvCnPr/>
                      <wps:spPr>
                        <a:xfrm flipV="1">
                          <a:off x="0" y="0"/>
                          <a:ext cx="245533" cy="4212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782F2A" id="Conector reto 245" o:spid="_x0000_s1026" style="position:absolute;flip:y;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6pt,5.65pt" to="77.9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32672" behindDoc="0" locked="0" layoutInCell="1" allowOverlap="1" wp14:anchorId="0638F858" wp14:editId="529C039C">
                <wp:simplePos x="0" y="0"/>
                <wp:positionH relativeFrom="column">
                  <wp:posOffset>278765</wp:posOffset>
                </wp:positionH>
                <wp:positionV relativeFrom="paragraph">
                  <wp:posOffset>124460</wp:posOffset>
                </wp:positionV>
                <wp:extent cx="381000" cy="69850"/>
                <wp:effectExtent l="0" t="0" r="19050" b="25400"/>
                <wp:wrapNone/>
                <wp:docPr id="246" name="Conector reto 246"/>
                <wp:cNvGraphicFramePr/>
                <a:graphic xmlns:a="http://schemas.openxmlformats.org/drawingml/2006/main">
                  <a:graphicData uri="http://schemas.microsoft.com/office/word/2010/wordprocessingShape">
                    <wps:wsp>
                      <wps:cNvCnPr/>
                      <wps:spPr>
                        <a:xfrm flipV="1">
                          <a:off x="0" y="0"/>
                          <a:ext cx="381000" cy="69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6C8899" id="Conector reto 246" o:spid="_x0000_s1026" style="position:absolute;flip:y;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95pt,9.8pt" to="51.95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" strokecolor="black [3200]" strokeweight=".5pt">
                <v:stroke joinstyle="miter"/>
              </v:line>
            </w:pict>
          </mc:Fallback>
        </mc:AlternateContent>
      </w:r>
    </w:p>
    <w:p w14:paraId="25A96C80" w14:textId="77777777" w:rsidR="001554C3" w:rsidRPr="00AB315F" w:rsidRDefault="001554C3" w:rsidP="001554C3">
      <w:pPr>
        <w:spacing w:line="360" w:lineRule="auto"/>
        <w:jc w:val="both"/>
        <w:rPr>
          <w:rFonts w:asciiTheme="minorHAnsi" w:hAnsiTheme="minorHAnsi"/>
          <w:b/>
        </w:rPr>
      </w:pPr>
      <w:r w:rsidRPr="00AB315F">
        <w:rPr>
          <w:rFonts w:asciiTheme="minorHAnsi" w:hAnsiTheme="minorHAnsi"/>
          <w:b/>
          <w:noProof/>
        </w:rPr>
        <mc:AlternateContent>
          <mc:Choice Requires="wps">
            <w:drawing>
              <wp:anchor distT="0" distB="0" distL="114300" distR="114300" simplePos="0" relativeHeight="251943936" behindDoc="0" locked="0" layoutInCell="1" allowOverlap="1" wp14:anchorId="464367FD" wp14:editId="22F93977">
                <wp:simplePos x="0" y="0"/>
                <wp:positionH relativeFrom="column">
                  <wp:posOffset>1502198</wp:posOffset>
                </wp:positionH>
                <wp:positionV relativeFrom="paragraph">
                  <wp:posOffset>182246</wp:posOffset>
                </wp:positionV>
                <wp:extent cx="313267" cy="12700"/>
                <wp:effectExtent l="0" t="0" r="29845" b="25400"/>
                <wp:wrapNone/>
                <wp:docPr id="247" name="Conector reto 247"/>
                <wp:cNvGraphicFramePr/>
                <a:graphic xmlns:a="http://schemas.openxmlformats.org/drawingml/2006/main">
                  <a:graphicData uri="http://schemas.microsoft.com/office/word/2010/wordprocessingShape">
                    <wps:wsp>
                      <wps:cNvCnPr/>
                      <wps:spPr>
                        <a:xfrm>
                          <a:off x="0" y="0"/>
                          <a:ext cx="313267" cy="12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4FF987" id="Conector reto 247" o:spid="_x0000_s1026" style="position:absolute;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3pt,14.35pt" to="142.95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50080" behindDoc="0" locked="0" layoutInCell="1" allowOverlap="1" wp14:anchorId="4E1E5AED" wp14:editId="7D9327FC">
                <wp:simplePos x="0" y="0"/>
                <wp:positionH relativeFrom="column">
                  <wp:posOffset>1942465</wp:posOffset>
                </wp:positionH>
                <wp:positionV relativeFrom="paragraph">
                  <wp:posOffset>207645</wp:posOffset>
                </wp:positionV>
                <wp:extent cx="469900" cy="42333"/>
                <wp:effectExtent l="0" t="38100" r="44450" b="91440"/>
                <wp:wrapNone/>
                <wp:docPr id="248" name="Conector de seta reta 248"/>
                <wp:cNvGraphicFramePr/>
                <a:graphic xmlns:a="http://schemas.openxmlformats.org/drawingml/2006/main">
                  <a:graphicData uri="http://schemas.microsoft.com/office/word/2010/wordprocessingShape">
                    <wps:wsp>
                      <wps:cNvCnPr/>
                      <wps:spPr>
                        <a:xfrm>
                          <a:off x="0" y="0"/>
                          <a:ext cx="469900" cy="423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7C48E1E" id="Conector de seta reta 248" o:spid="_x0000_s1026" type="#_x0000_t32" style="position:absolute;margin-left:152.95pt;margin-top:16.35pt;width:37pt;height:3.35pt;z-index:251950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" strokecolor="black [3200]" strokeweight=".5pt">
                <v:stroke endarrow="block" joinstyle="miter"/>
              </v:shape>
            </w:pict>
          </mc:Fallback>
        </mc:AlternateContent>
      </w:r>
      <w:r w:rsidRPr="00AB315F">
        <w:rPr>
          <w:rFonts w:asciiTheme="minorHAnsi" w:hAnsiTheme="minorHAnsi"/>
          <w:b/>
          <w:noProof/>
        </w:rPr>
        <mc:AlternateContent>
          <mc:Choice Requires="wps">
            <w:drawing>
              <wp:anchor distT="0" distB="0" distL="114300" distR="114300" simplePos="0" relativeHeight="251942912" behindDoc="0" locked="0" layoutInCell="1" allowOverlap="1" wp14:anchorId="1171F259" wp14:editId="5B6B074A">
                <wp:simplePos x="0" y="0"/>
                <wp:positionH relativeFrom="column">
                  <wp:posOffset>1104265</wp:posOffset>
                </wp:positionH>
                <wp:positionV relativeFrom="paragraph">
                  <wp:posOffset>144146</wp:posOffset>
                </wp:positionV>
                <wp:extent cx="262255" cy="21378"/>
                <wp:effectExtent l="0" t="0" r="23495" b="36195"/>
                <wp:wrapNone/>
                <wp:docPr id="249" name="Conector reto 249"/>
                <wp:cNvGraphicFramePr/>
                <a:graphic xmlns:a="http://schemas.openxmlformats.org/drawingml/2006/main">
                  <a:graphicData uri="http://schemas.microsoft.com/office/word/2010/wordprocessingShape">
                    <wps:wsp>
                      <wps:cNvCnPr/>
                      <wps:spPr>
                        <a:xfrm>
                          <a:off x="0" y="0"/>
                          <a:ext cx="262255" cy="2137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B238CF" id="Conector reto 249" o:spid="_x0000_s1026" style="position:absolute;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6.95pt,11.35pt" to="107.6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41888" behindDoc="0" locked="0" layoutInCell="1" allowOverlap="1" wp14:anchorId="34037C3F" wp14:editId="04C258FA">
                <wp:simplePos x="0" y="0"/>
                <wp:positionH relativeFrom="column">
                  <wp:posOffset>722630</wp:posOffset>
                </wp:positionH>
                <wp:positionV relativeFrom="paragraph">
                  <wp:posOffset>134620</wp:posOffset>
                </wp:positionV>
                <wp:extent cx="287867" cy="17357"/>
                <wp:effectExtent l="0" t="0" r="36195" b="20955"/>
                <wp:wrapNone/>
                <wp:docPr id="250" name="Conector reto 250"/>
                <wp:cNvGraphicFramePr/>
                <a:graphic xmlns:a="http://schemas.openxmlformats.org/drawingml/2006/main">
                  <a:graphicData uri="http://schemas.microsoft.com/office/word/2010/wordprocessingShape">
                    <wps:wsp>
                      <wps:cNvCnPr/>
                      <wps:spPr>
                        <a:xfrm>
                          <a:off x="0" y="0"/>
                          <a:ext cx="287867" cy="1735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A4E9A0" id="Conector reto 250" o:spid="_x0000_s1026" style="position:absolute;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9pt,10.6pt" to="79.5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33696" behindDoc="0" locked="0" layoutInCell="1" allowOverlap="1" wp14:anchorId="2EDC2B5D" wp14:editId="4F785FA2">
                <wp:simplePos x="0" y="0"/>
                <wp:positionH relativeFrom="column">
                  <wp:posOffset>297815</wp:posOffset>
                </wp:positionH>
                <wp:positionV relativeFrom="paragraph">
                  <wp:posOffset>118745</wp:posOffset>
                </wp:positionV>
                <wp:extent cx="349250" cy="12700"/>
                <wp:effectExtent l="0" t="0" r="31750" b="25400"/>
                <wp:wrapNone/>
                <wp:docPr id="251" name="Conector reto 251"/>
                <wp:cNvGraphicFramePr/>
                <a:graphic xmlns:a="http://schemas.openxmlformats.org/drawingml/2006/main">
                  <a:graphicData uri="http://schemas.microsoft.com/office/word/2010/wordprocessingShape">
                    <wps:wsp>
                      <wps:cNvCnPr/>
                      <wps:spPr>
                        <a:xfrm>
                          <a:off x="0" y="0"/>
                          <a:ext cx="349250" cy="12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30F894" id="Conector reto 251" o:spid="_x0000_s1026" style="position:absolute;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5pt,9.35pt" to="50.9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" strokecolor="black [3200]" strokeweight=".5pt">
                <v:stroke joinstyle="miter"/>
              </v:line>
            </w:pict>
          </mc:Fallback>
        </mc:AlternateContent>
      </w:r>
    </w:p>
    <w:p w14:paraId="6FB429A9" w14:textId="77777777" w:rsidR="001554C3" w:rsidRPr="00AB315F" w:rsidRDefault="001554C3" w:rsidP="001554C3">
      <w:pPr>
        <w:spacing w:line="360" w:lineRule="auto"/>
        <w:jc w:val="both"/>
        <w:rPr>
          <w:rFonts w:asciiTheme="minorHAnsi" w:hAnsiTheme="minorHAnsi"/>
          <w:b/>
        </w:rPr>
      </w:pPr>
      <w:r w:rsidRPr="00AB315F">
        <w:rPr>
          <w:rFonts w:asciiTheme="minorHAnsi" w:hAnsiTheme="minorHAnsi"/>
          <w:b/>
          <w:noProof/>
        </w:rPr>
        <mc:AlternateContent>
          <mc:Choice Requires="wps">
            <w:drawing>
              <wp:anchor distT="0" distB="0" distL="114300" distR="114300" simplePos="0" relativeHeight="251934720" behindDoc="0" locked="0" layoutInCell="1" allowOverlap="1" wp14:anchorId="57F9A351" wp14:editId="1EFB2F9F">
                <wp:simplePos x="0" y="0"/>
                <wp:positionH relativeFrom="column">
                  <wp:posOffset>318982</wp:posOffset>
                </wp:positionH>
                <wp:positionV relativeFrom="paragraph">
                  <wp:posOffset>95462</wp:posOffset>
                </wp:positionV>
                <wp:extent cx="342900" cy="69850"/>
                <wp:effectExtent l="0" t="0" r="19050" b="25400"/>
                <wp:wrapNone/>
                <wp:docPr id="252" name="Conector reto 252"/>
                <wp:cNvGraphicFramePr/>
                <a:graphic xmlns:a="http://schemas.openxmlformats.org/drawingml/2006/main">
                  <a:graphicData uri="http://schemas.microsoft.com/office/word/2010/wordprocessingShape">
                    <wps:wsp>
                      <wps:cNvCnPr/>
                      <wps:spPr>
                        <a:xfrm>
                          <a:off x="0" y="0"/>
                          <a:ext cx="342900" cy="69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D50E10" id="Conector reto 252" o:spid="_x0000_s1026" style="position:absolute;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1pt,7.5pt" to="52.1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44960" behindDoc="0" locked="0" layoutInCell="1" allowOverlap="1" wp14:anchorId="255EAE65" wp14:editId="3C55250B">
                <wp:simplePos x="0" y="0"/>
                <wp:positionH relativeFrom="column">
                  <wp:posOffset>750147</wp:posOffset>
                </wp:positionH>
                <wp:positionV relativeFrom="paragraph">
                  <wp:posOffset>177588</wp:posOffset>
                </wp:positionV>
                <wp:extent cx="279400" cy="50800"/>
                <wp:effectExtent l="0" t="0" r="25400" b="25400"/>
                <wp:wrapNone/>
                <wp:docPr id="253" name="Conector reto 253"/>
                <wp:cNvGraphicFramePr/>
                <a:graphic xmlns:a="http://schemas.openxmlformats.org/drawingml/2006/main">
                  <a:graphicData uri="http://schemas.microsoft.com/office/word/2010/wordprocessingShape">
                    <wps:wsp>
                      <wps:cNvCnPr/>
                      <wps:spPr>
                        <a:xfrm>
                          <a:off x="0" y="0"/>
                          <a:ext cx="279400" cy="50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CBD8CC" id="Conector reto 253" o:spid="_x0000_s1026" style="position:absolute;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05pt,14pt" to="81.0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45984" behindDoc="0" locked="0" layoutInCell="1" allowOverlap="1" wp14:anchorId="297AF45C" wp14:editId="6CFD2D55">
                <wp:simplePos x="0" y="0"/>
                <wp:positionH relativeFrom="column">
                  <wp:posOffset>1129665</wp:posOffset>
                </wp:positionH>
                <wp:positionV relativeFrom="paragraph">
                  <wp:posOffset>253788</wp:posOffset>
                </wp:positionV>
                <wp:extent cx="287867" cy="63500"/>
                <wp:effectExtent l="0" t="0" r="36195" b="31750"/>
                <wp:wrapNone/>
                <wp:docPr id="254" name="Conector reto 254"/>
                <wp:cNvGraphicFramePr/>
                <a:graphic xmlns:a="http://schemas.openxmlformats.org/drawingml/2006/main">
                  <a:graphicData uri="http://schemas.microsoft.com/office/word/2010/wordprocessingShape">
                    <wps:wsp>
                      <wps:cNvCnPr/>
                      <wps:spPr>
                        <a:xfrm>
                          <a:off x="0" y="0"/>
                          <a:ext cx="287867" cy="63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EF06859" id="Conector reto 254" o:spid="_x0000_s1026" style="position:absolute;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95pt,20pt" to="111.6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22432" behindDoc="0" locked="0" layoutInCell="1" allowOverlap="1" wp14:anchorId="47C113C2" wp14:editId="551FD94F">
                <wp:simplePos x="0" y="0"/>
                <wp:positionH relativeFrom="column">
                  <wp:posOffset>3809365</wp:posOffset>
                </wp:positionH>
                <wp:positionV relativeFrom="paragraph">
                  <wp:posOffset>73025</wp:posOffset>
                </wp:positionV>
                <wp:extent cx="1079500" cy="106045"/>
                <wp:effectExtent l="38100" t="0" r="25400" b="84455"/>
                <wp:wrapNone/>
                <wp:docPr id="255" name="Conector de seta reta 255"/>
                <wp:cNvGraphicFramePr/>
                <a:graphic xmlns:a="http://schemas.openxmlformats.org/drawingml/2006/main">
                  <a:graphicData uri="http://schemas.microsoft.com/office/word/2010/wordprocessingShape">
                    <wps:wsp>
                      <wps:cNvCnPr/>
                      <wps:spPr>
                        <a:xfrm flipH="1">
                          <a:off x="0" y="0"/>
                          <a:ext cx="1079500" cy="1060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5012BE" id="Conector de seta reta 255" o:spid="_x0000_s1026" type="#_x0000_t32" style="position:absolute;margin-left:299.95pt;margin-top:5.75pt;width:85pt;height:8.35pt;flip:x;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" strokecolor="black [3200]" strokeweight=".5pt">
                <v:stroke endarrow="block" joinstyle="miter"/>
              </v:shape>
            </w:pict>
          </mc:Fallback>
        </mc:AlternateContent>
      </w:r>
      <w:r w:rsidRPr="00AB315F">
        <w:rPr>
          <w:rFonts w:asciiTheme="minorHAnsi" w:hAnsiTheme="minorHAnsi"/>
          <w:b/>
          <w:noProof/>
        </w:rPr>
        <mc:AlternateContent>
          <mc:Choice Requires="wps">
            <w:drawing>
              <wp:anchor distT="45720" distB="45720" distL="114300" distR="114300" simplePos="0" relativeHeight="251926528" behindDoc="0" locked="0" layoutInCell="1" allowOverlap="1" wp14:anchorId="41E091C0" wp14:editId="5F445BB9">
                <wp:simplePos x="0" y="0"/>
                <wp:positionH relativeFrom="column">
                  <wp:posOffset>5542915</wp:posOffset>
                </wp:positionH>
                <wp:positionV relativeFrom="paragraph">
                  <wp:posOffset>104775</wp:posOffset>
                </wp:positionV>
                <wp:extent cx="266700" cy="374650"/>
                <wp:effectExtent l="0" t="0" r="0" b="6350"/>
                <wp:wrapSquare wrapText="bothSides"/>
                <wp:docPr id="3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374650"/>
                        </a:xfrm>
                        <a:prstGeom prst="rect">
                          <a:avLst/>
                        </a:prstGeom>
                        <a:solidFill>
                          <a:srgbClr val="FFFFFF"/>
                        </a:solidFill>
                        <a:ln w="9525">
                          <a:noFill/>
                          <a:miter lim="800000"/>
                          <a:headEnd/>
                          <a:tailEnd/>
                        </a:ln>
                      </wps:spPr>
                      <wps:txbx>
                        <w:txbxContent>
                          <w:p w14:paraId="31E6001B" w14:textId="77777777" w:rsidR="005D065B" w:rsidRPr="005E1938" w:rsidRDefault="005D065B" w:rsidP="001554C3">
                            <w:pPr>
                              <w:rPr>
                                <w:b/>
                                <w:sz w:val="32"/>
                              </w:rPr>
                            </w:pPr>
                            <w:r w:rsidRPr="005E1938">
                              <w:rPr>
                                <w:b/>
                                <w:sz w:val="32"/>
                              </w:rPr>
                              <w: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E091C0" id="_x0000_s1049" type="#_x0000_t202" style="position:absolute;left:0;text-align:left;margin-left:436.45pt;margin-top:8.25pt;width:21pt;height:29.5pt;z-index:251926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" stroked="f">
                <v:textbox>
                  <w:txbxContent>
                    <w:p w14:paraId="31E6001B" w14:textId="77777777" w:rsidR="005D065B" w:rsidRPr="005E1938" w:rsidRDefault="005D065B" w:rsidP="001554C3">
                      <w:pPr>
                        <w:rPr>
                          <w:b/>
                          <w:sz w:val="32"/>
                        </w:rPr>
                      </w:pPr>
                      <w:r w:rsidRPr="005E1938">
                        <w:rPr>
                          <w:b/>
                          <w:sz w:val="32"/>
                        </w:rPr>
                        <w:t>E</w:t>
                      </w:r>
                    </w:p>
                  </w:txbxContent>
                </v:textbox>
                <w10:wrap type="square"/>
              </v:shape>
            </w:pict>
          </mc:Fallback>
        </mc:AlternateContent>
      </w:r>
      <w:r w:rsidRPr="00AB315F">
        <w:rPr>
          <w:rFonts w:asciiTheme="minorHAnsi" w:hAnsiTheme="minorHAnsi"/>
          <w:b/>
          <w:noProof/>
        </w:rPr>
        <mc:AlternateContent>
          <mc:Choice Requires="wps">
            <w:drawing>
              <wp:anchor distT="0" distB="0" distL="114300" distR="114300" simplePos="0" relativeHeight="251925504" behindDoc="0" locked="0" layoutInCell="1" allowOverlap="1" wp14:anchorId="5C7FB467" wp14:editId="2A38B859">
                <wp:simplePos x="0" y="0"/>
                <wp:positionH relativeFrom="page">
                  <wp:align>right</wp:align>
                </wp:positionH>
                <wp:positionV relativeFrom="paragraph">
                  <wp:posOffset>53975</wp:posOffset>
                </wp:positionV>
                <wp:extent cx="2457450" cy="1365250"/>
                <wp:effectExtent l="0" t="171450" r="0" b="0"/>
                <wp:wrapNone/>
                <wp:docPr id="33" name="Arco 33"/>
                <wp:cNvGraphicFramePr/>
                <a:graphic xmlns:a="http://schemas.openxmlformats.org/drawingml/2006/main">
                  <a:graphicData uri="http://schemas.microsoft.com/office/word/2010/wordprocessingShape">
                    <wps:wsp>
                      <wps:cNvSpPr/>
                      <wps:spPr>
                        <a:xfrm rot="20098138">
                          <a:off x="0" y="0"/>
                          <a:ext cx="2457450" cy="1365250"/>
                        </a:xfrm>
                        <a:prstGeom prst="arc">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6468E7D" id="Arco 33" o:spid="_x0000_s1026" style="position:absolute;margin-left:142.3pt;margin-top:4.25pt;width:193.5pt;height:107.5pt;rotation:-1640434fd;z-index:251925504;visibility:visible;mso-wrap-style:square;mso-wrap-distance-left:9pt;mso-wrap-distance-top:0;mso-wrap-distance-right:9pt;mso-wrap-distance-bottom:0;mso-position-horizontal:right;mso-position-horizontal-relative:page;mso-position-vertical:absolute;mso-position-vertical-relative:text;v-text-anchor:middle" coordsize="2457450,1365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" path="m1228725,nsc1907331,,2457450,305622,2457450,682625r-1228725,l1228725,xem1228725,nfc1907331,,2457450,305622,2457450,682625e" filled="f" strokecolor="black [3200]" strokeweight=".5pt">
                <v:stroke joinstyle="miter"/>
                <v:path arrowok="t" o:connecttype="custom" o:connectlocs="1228725,0;2457450,682625" o:connectangles="0,0"/>
                <w10:wrap anchorx="page"/>
              </v:shape>
            </w:pict>
          </mc:Fallback>
        </mc:AlternateContent>
      </w:r>
    </w:p>
    <w:p w14:paraId="6DAF3D51" w14:textId="77777777" w:rsidR="001554C3" w:rsidRPr="00AB315F" w:rsidRDefault="001554C3" w:rsidP="001554C3">
      <w:pPr>
        <w:spacing w:line="360" w:lineRule="auto"/>
        <w:jc w:val="both"/>
        <w:rPr>
          <w:rFonts w:asciiTheme="minorHAnsi" w:hAnsiTheme="minorHAnsi"/>
          <w:b/>
        </w:rPr>
      </w:pPr>
      <w:r w:rsidRPr="00AB315F">
        <w:rPr>
          <w:rFonts w:asciiTheme="minorHAnsi" w:hAnsiTheme="minorHAnsi"/>
          <w:b/>
          <w:noProof/>
        </w:rPr>
        <mc:AlternateContent>
          <mc:Choice Requires="wps">
            <w:drawing>
              <wp:anchor distT="0" distB="0" distL="114300" distR="114300" simplePos="0" relativeHeight="251951104" behindDoc="0" locked="0" layoutInCell="1" allowOverlap="1" wp14:anchorId="5D04FB82" wp14:editId="23318784">
                <wp:simplePos x="0" y="0"/>
                <wp:positionH relativeFrom="column">
                  <wp:posOffset>1959398</wp:posOffset>
                </wp:positionH>
                <wp:positionV relativeFrom="paragraph">
                  <wp:posOffset>182880</wp:posOffset>
                </wp:positionV>
                <wp:extent cx="486834" cy="122767"/>
                <wp:effectExtent l="0" t="0" r="66040" b="67945"/>
                <wp:wrapNone/>
                <wp:docPr id="34" name="Conector de seta reta 34"/>
                <wp:cNvGraphicFramePr/>
                <a:graphic xmlns:a="http://schemas.openxmlformats.org/drawingml/2006/main">
                  <a:graphicData uri="http://schemas.microsoft.com/office/word/2010/wordprocessingShape">
                    <wps:wsp>
                      <wps:cNvCnPr/>
                      <wps:spPr>
                        <a:xfrm>
                          <a:off x="0" y="0"/>
                          <a:ext cx="486834" cy="1227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4FC1C0" id="Conector de seta reta 34" o:spid="_x0000_s1026" type="#_x0000_t32" style="position:absolute;margin-left:154.3pt;margin-top:14.4pt;width:38.35pt;height:9.6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" strokecolor="black [3200]" strokeweight=".5pt">
                <v:stroke endarrow="block" joinstyle="miter"/>
              </v:shape>
            </w:pict>
          </mc:Fallback>
        </mc:AlternateContent>
      </w:r>
      <w:r w:rsidRPr="00AB315F">
        <w:rPr>
          <w:rFonts w:asciiTheme="minorHAnsi" w:hAnsiTheme="minorHAnsi"/>
          <w:b/>
          <w:noProof/>
        </w:rPr>
        <mc:AlternateContent>
          <mc:Choice Requires="wps">
            <w:drawing>
              <wp:anchor distT="0" distB="0" distL="114300" distR="114300" simplePos="0" relativeHeight="251947008" behindDoc="0" locked="0" layoutInCell="1" allowOverlap="1" wp14:anchorId="3E288BE6" wp14:editId="348BD231">
                <wp:simplePos x="0" y="0"/>
                <wp:positionH relativeFrom="column">
                  <wp:posOffset>1497965</wp:posOffset>
                </wp:positionH>
                <wp:positionV relativeFrom="paragraph">
                  <wp:posOffset>64135</wp:posOffset>
                </wp:positionV>
                <wp:extent cx="317500" cy="67733"/>
                <wp:effectExtent l="0" t="0" r="25400" b="27940"/>
                <wp:wrapNone/>
                <wp:docPr id="35" name="Conector reto 35"/>
                <wp:cNvGraphicFramePr/>
                <a:graphic xmlns:a="http://schemas.openxmlformats.org/drawingml/2006/main">
                  <a:graphicData uri="http://schemas.microsoft.com/office/word/2010/wordprocessingShape">
                    <wps:wsp>
                      <wps:cNvCnPr/>
                      <wps:spPr>
                        <a:xfrm>
                          <a:off x="0" y="0"/>
                          <a:ext cx="317500" cy="6773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45A6CC" id="Conector reto 35" o:spid="_x0000_s1026" style="position:absolute;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7.95pt,5.05pt" to="142.95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" strokecolor="black [3200]" strokeweight=".5pt">
                <v:stroke joinstyle="miter"/>
              </v:line>
            </w:pict>
          </mc:Fallback>
        </mc:AlternateContent>
      </w:r>
      <w:r w:rsidRPr="00AB315F">
        <w:rPr>
          <w:rFonts w:asciiTheme="minorHAnsi" w:hAnsiTheme="minorHAnsi"/>
          <w:b/>
          <w:noProof/>
        </w:rPr>
        <mc:AlternateContent>
          <mc:Choice Requires="wps">
            <w:drawing>
              <wp:anchor distT="0" distB="0" distL="114300" distR="114300" simplePos="0" relativeHeight="251921408" behindDoc="0" locked="0" layoutInCell="1" allowOverlap="1" wp14:anchorId="730B8142" wp14:editId="1B6AAA8E">
                <wp:simplePos x="0" y="0"/>
                <wp:positionH relativeFrom="column">
                  <wp:posOffset>3771265</wp:posOffset>
                </wp:positionH>
                <wp:positionV relativeFrom="paragraph">
                  <wp:posOffset>73661</wp:posOffset>
                </wp:positionV>
                <wp:extent cx="1257300" cy="590550"/>
                <wp:effectExtent l="38100" t="0" r="19050" b="57150"/>
                <wp:wrapNone/>
                <wp:docPr id="36" name="Conector de seta reta 36"/>
                <wp:cNvGraphicFramePr/>
                <a:graphic xmlns:a="http://schemas.openxmlformats.org/drawingml/2006/main">
                  <a:graphicData uri="http://schemas.microsoft.com/office/word/2010/wordprocessingShape">
                    <wps:wsp>
                      <wps:cNvCnPr/>
                      <wps:spPr>
                        <a:xfrm flipH="1">
                          <a:off x="0" y="0"/>
                          <a:ext cx="1257300" cy="590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B846EF" id="Conector de seta reta 36" o:spid="_x0000_s1026" type="#_x0000_t32" style="position:absolute;margin-left:296.95pt;margin-top:5.8pt;width:99pt;height:46.5pt;flip:x;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" strokecolor="black [3200]" strokeweight=".5pt">
                <v:stroke endarrow="block" joinstyle="miter"/>
              </v:shape>
            </w:pict>
          </mc:Fallback>
        </mc:AlternateContent>
      </w:r>
    </w:p>
    <w:p w14:paraId="76D02F41" w14:textId="77777777" w:rsidR="001554C3" w:rsidRPr="00AB315F" w:rsidRDefault="001554C3" w:rsidP="001554C3">
      <w:pPr>
        <w:spacing w:line="360" w:lineRule="auto"/>
        <w:jc w:val="both"/>
        <w:rPr>
          <w:rFonts w:asciiTheme="minorHAnsi" w:hAnsiTheme="minorHAnsi"/>
          <w:b/>
        </w:rPr>
      </w:pPr>
    </w:p>
    <w:p w14:paraId="2BB1C0EF" w14:textId="77777777" w:rsidR="001554C3" w:rsidRPr="00AB315F" w:rsidRDefault="001554C3" w:rsidP="001554C3">
      <w:pPr>
        <w:spacing w:line="360" w:lineRule="auto"/>
        <w:jc w:val="both"/>
        <w:rPr>
          <w:rFonts w:asciiTheme="minorHAnsi" w:hAnsiTheme="minorHAnsi"/>
        </w:rPr>
      </w:pPr>
    </w:p>
    <w:p w14:paraId="5D434F17" w14:textId="77777777" w:rsidR="001554C3" w:rsidRPr="00AB315F" w:rsidRDefault="001554C3" w:rsidP="001554C3">
      <w:pPr>
        <w:spacing w:line="360" w:lineRule="auto"/>
        <w:ind w:firstLine="708"/>
        <w:jc w:val="both"/>
        <w:rPr>
          <w:rFonts w:asciiTheme="minorHAnsi" w:hAnsiTheme="minorHAnsi"/>
        </w:rPr>
      </w:pPr>
    </w:p>
    <w:p w14:paraId="3FCF2AFC" w14:textId="77777777"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elaboração própria</w:t>
      </w:r>
    </w:p>
    <w:p w14:paraId="7A3DFD05" w14:textId="77777777" w:rsidR="001554C3" w:rsidRPr="00AB315F" w:rsidRDefault="001554C3" w:rsidP="001554C3">
      <w:pPr>
        <w:spacing w:line="360" w:lineRule="auto"/>
        <w:ind w:firstLine="708"/>
        <w:jc w:val="both"/>
        <w:rPr>
          <w:rFonts w:asciiTheme="minorHAnsi" w:hAnsiTheme="minorHAnsi"/>
        </w:rPr>
      </w:pPr>
    </w:p>
    <w:p w14:paraId="37209696"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A primeira etapa, da </w:t>
      </w:r>
      <w:r w:rsidRPr="00AB315F">
        <w:rPr>
          <w:rFonts w:asciiTheme="minorHAnsi" w:hAnsiTheme="minorHAnsi"/>
          <w:i/>
        </w:rPr>
        <w:t xml:space="preserve">compreensão, </w:t>
      </w:r>
      <w:r w:rsidRPr="00AB315F">
        <w:rPr>
          <w:rFonts w:asciiTheme="minorHAnsi" w:hAnsiTheme="minorHAnsi"/>
        </w:rPr>
        <w:t>refere-se ao sentido que o entrevistado dá à pergunta e ao tema em questão. Nesta etapa é possível que não haja entendimento suficiente da pergunta ou do tema, o que levaria respondentes a declararem “não-atitudes” ou “não-respostas”</w:t>
      </w:r>
      <w:r>
        <w:rPr>
          <w:rFonts w:asciiTheme="minorHAnsi" w:hAnsiTheme="minorHAnsi"/>
        </w:rPr>
        <w:t xml:space="preserve"> – ambas com referência ao item, e não à unidade</w:t>
      </w:r>
      <w:r w:rsidRPr="00AB315F">
        <w:rPr>
          <w:rFonts w:asciiTheme="minorHAnsi" w:hAnsiTheme="minorHAnsi"/>
        </w:rPr>
        <w:t xml:space="preserve">. </w:t>
      </w:r>
    </w:p>
    <w:p w14:paraId="783DD660"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lastRenderedPageBreak/>
        <w:t>O problema de “não-atitudes” pode ser um erro sistemático, ou seja, pessoas podem não compreender ou não ter uma opinião definida sobre e que está sendo perguntado e mesmo assim dar uma resposta. A título de descrição não se consegue evidências deste erro a partir dos dados descritivos. Já o problema de “não-resposta” pode ser analisado segundo a série histórica de cada país.</w:t>
      </w:r>
    </w:p>
    <w:p w14:paraId="77561190"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Para o Brasil os indicadores observáveis</w:t>
      </w:r>
      <w:r>
        <w:rPr>
          <w:rFonts w:asciiTheme="minorHAnsi" w:hAnsiTheme="minorHAnsi"/>
        </w:rPr>
        <w:t xml:space="preserve"> da medida de aceitação</w:t>
      </w:r>
      <w:r w:rsidRPr="00AB315F">
        <w:rPr>
          <w:rFonts w:asciiTheme="minorHAnsi" w:hAnsiTheme="minorHAnsi"/>
        </w:rPr>
        <w:t xml:space="preserve"> não apresentam um problema significativo de “não respostas”. O percentual de é consideravelmente baixo para as três ondas de pesquisa (1%) e não existe variação significativa da taxa de “não-resposta” entre as três ondas. </w:t>
      </w:r>
    </w:p>
    <w:p w14:paraId="3BECC8B5" w14:textId="6E68F4EC" w:rsidR="001554C3" w:rsidRPr="000225AB" w:rsidRDefault="000225AB" w:rsidP="000225AB">
      <w:pPr>
        <w:spacing w:line="360" w:lineRule="auto"/>
        <w:ind w:firstLine="708"/>
        <w:jc w:val="center"/>
        <w:rPr>
          <w:rFonts w:asciiTheme="minorHAnsi" w:hAnsiTheme="minorHAnsi"/>
          <w:b/>
        </w:rPr>
      </w:pPr>
      <w:r w:rsidRPr="000225AB">
        <w:rPr>
          <w:rFonts w:asciiTheme="minorHAnsi" w:hAnsiTheme="minorHAnsi"/>
          <w:b/>
        </w:rPr>
        <w:t>Tabela 1</w:t>
      </w:r>
      <w:r>
        <w:rPr>
          <w:rFonts w:asciiTheme="minorHAnsi" w:hAnsiTheme="minorHAnsi"/>
          <w:b/>
        </w:rPr>
        <w:t>. Taxa de não resposta de indicadores observáveis para as rodadas do Brasil</w:t>
      </w:r>
    </w:p>
    <w:tbl>
      <w:tblPr>
        <w:tblW w:w="5446" w:type="dxa"/>
        <w:jc w:val="center"/>
        <w:tblCellMar>
          <w:left w:w="70" w:type="dxa"/>
          <w:right w:w="70" w:type="dxa"/>
        </w:tblCellMar>
        <w:tblLook w:val="04A0" w:firstRow="1" w:lastRow="0" w:firstColumn="1" w:lastColumn="0" w:noHBand="0" w:noVBand="1"/>
      </w:tblPr>
      <w:tblGrid>
        <w:gridCol w:w="1340"/>
        <w:gridCol w:w="960"/>
        <w:gridCol w:w="965"/>
        <w:gridCol w:w="1123"/>
        <w:gridCol w:w="1058"/>
      </w:tblGrid>
      <w:tr w:rsidR="001554C3" w:rsidRPr="00AB315F" w14:paraId="7B35E9C2" w14:textId="77777777" w:rsidTr="001F728A">
        <w:trPr>
          <w:trHeight w:val="580"/>
          <w:jc w:val="center"/>
        </w:trPr>
        <w:tc>
          <w:tcPr>
            <w:tcW w:w="1340" w:type="dxa"/>
            <w:tcBorders>
              <w:top w:val="single" w:sz="4" w:space="0" w:color="auto"/>
              <w:left w:val="nil"/>
              <w:bottom w:val="single" w:sz="4" w:space="0" w:color="auto"/>
              <w:right w:val="single" w:sz="4" w:space="0" w:color="auto"/>
            </w:tcBorders>
            <w:shd w:val="clear" w:color="auto" w:fill="auto"/>
            <w:noWrap/>
            <w:vAlign w:val="center"/>
            <w:hideMark/>
          </w:tcPr>
          <w:p w14:paraId="05DCAA4A" w14:textId="77777777" w:rsidR="001554C3" w:rsidRPr="00AB315F" w:rsidRDefault="001554C3" w:rsidP="00F439E9">
            <w:pPr>
              <w:jc w:val="center"/>
              <w:rPr>
                <w:rFonts w:ascii="Calibri" w:hAnsi="Calibri"/>
                <w:sz w:val="22"/>
                <w:szCs w:val="22"/>
              </w:rPr>
            </w:pPr>
            <w:r w:rsidRPr="00AB315F">
              <w:rPr>
                <w:rFonts w:ascii="Calibri" w:hAnsi="Calibri"/>
                <w:sz w:val="22"/>
                <w:szCs w:val="22"/>
              </w:rPr>
              <w:t>Rodada</w:t>
            </w:r>
          </w:p>
        </w:tc>
        <w:tc>
          <w:tcPr>
            <w:tcW w:w="960" w:type="dxa"/>
            <w:tcBorders>
              <w:top w:val="single" w:sz="4" w:space="0" w:color="auto"/>
              <w:left w:val="nil"/>
              <w:bottom w:val="single" w:sz="4" w:space="0" w:color="auto"/>
              <w:right w:val="nil"/>
            </w:tcBorders>
            <w:shd w:val="clear" w:color="auto" w:fill="auto"/>
            <w:noWrap/>
            <w:vAlign w:val="center"/>
            <w:hideMark/>
          </w:tcPr>
          <w:p w14:paraId="7D7D86E3" w14:textId="77777777" w:rsidR="001554C3" w:rsidRPr="00AB315F" w:rsidRDefault="001554C3" w:rsidP="00F439E9">
            <w:pPr>
              <w:jc w:val="center"/>
              <w:rPr>
                <w:rFonts w:ascii="Calibri" w:hAnsi="Calibri"/>
                <w:sz w:val="22"/>
                <w:szCs w:val="22"/>
              </w:rPr>
            </w:pPr>
            <w:r w:rsidRPr="00AB315F">
              <w:rPr>
                <w:rFonts w:ascii="Calibri" w:hAnsi="Calibri"/>
                <w:sz w:val="22"/>
                <w:szCs w:val="22"/>
              </w:rPr>
              <w:t>Propina</w:t>
            </w:r>
          </w:p>
        </w:tc>
        <w:tc>
          <w:tcPr>
            <w:tcW w:w="965" w:type="dxa"/>
            <w:tcBorders>
              <w:top w:val="single" w:sz="4" w:space="0" w:color="auto"/>
              <w:left w:val="nil"/>
              <w:bottom w:val="single" w:sz="4" w:space="0" w:color="auto"/>
              <w:right w:val="nil"/>
            </w:tcBorders>
            <w:shd w:val="clear" w:color="auto" w:fill="auto"/>
            <w:noWrap/>
            <w:vAlign w:val="center"/>
            <w:hideMark/>
          </w:tcPr>
          <w:p w14:paraId="53ACA089" w14:textId="77777777" w:rsidR="001554C3" w:rsidRPr="00AB315F" w:rsidRDefault="001554C3" w:rsidP="00F439E9">
            <w:pPr>
              <w:jc w:val="center"/>
              <w:rPr>
                <w:rFonts w:ascii="Calibri" w:hAnsi="Calibri"/>
                <w:sz w:val="22"/>
                <w:szCs w:val="22"/>
              </w:rPr>
            </w:pPr>
            <w:r w:rsidRPr="00AB315F">
              <w:rPr>
                <w:rFonts w:ascii="Calibri" w:hAnsi="Calibri"/>
                <w:sz w:val="22"/>
                <w:szCs w:val="22"/>
              </w:rPr>
              <w:t>Impostos</w:t>
            </w:r>
          </w:p>
        </w:tc>
        <w:tc>
          <w:tcPr>
            <w:tcW w:w="1123" w:type="dxa"/>
            <w:tcBorders>
              <w:top w:val="single" w:sz="4" w:space="0" w:color="auto"/>
              <w:left w:val="nil"/>
              <w:bottom w:val="single" w:sz="4" w:space="0" w:color="auto"/>
              <w:right w:val="nil"/>
            </w:tcBorders>
            <w:shd w:val="clear" w:color="auto" w:fill="auto"/>
            <w:noWrap/>
            <w:vAlign w:val="center"/>
            <w:hideMark/>
          </w:tcPr>
          <w:p w14:paraId="20977B2B" w14:textId="77777777" w:rsidR="001554C3" w:rsidRPr="00AB315F" w:rsidRDefault="001554C3" w:rsidP="00F439E9">
            <w:pPr>
              <w:jc w:val="center"/>
              <w:rPr>
                <w:rFonts w:ascii="Calibri" w:hAnsi="Calibri"/>
                <w:sz w:val="22"/>
                <w:szCs w:val="22"/>
              </w:rPr>
            </w:pPr>
            <w:r w:rsidRPr="00AB315F">
              <w:rPr>
                <w:rFonts w:ascii="Calibri" w:hAnsi="Calibri"/>
                <w:sz w:val="22"/>
                <w:szCs w:val="22"/>
              </w:rPr>
              <w:t>Transporte</w:t>
            </w:r>
          </w:p>
        </w:tc>
        <w:tc>
          <w:tcPr>
            <w:tcW w:w="1058" w:type="dxa"/>
            <w:tcBorders>
              <w:top w:val="single" w:sz="4" w:space="0" w:color="auto"/>
              <w:left w:val="nil"/>
              <w:bottom w:val="single" w:sz="4" w:space="0" w:color="auto"/>
              <w:right w:val="nil"/>
            </w:tcBorders>
            <w:shd w:val="clear" w:color="auto" w:fill="auto"/>
            <w:noWrap/>
            <w:vAlign w:val="center"/>
            <w:hideMark/>
          </w:tcPr>
          <w:p w14:paraId="6E5CDA77" w14:textId="77777777" w:rsidR="001554C3" w:rsidRPr="00AB315F" w:rsidRDefault="001554C3" w:rsidP="00F439E9">
            <w:pPr>
              <w:jc w:val="center"/>
              <w:rPr>
                <w:rFonts w:ascii="Calibri" w:hAnsi="Calibri"/>
                <w:sz w:val="22"/>
                <w:szCs w:val="22"/>
              </w:rPr>
            </w:pPr>
            <w:r w:rsidRPr="00AB315F">
              <w:rPr>
                <w:rFonts w:ascii="Calibri" w:hAnsi="Calibri"/>
                <w:sz w:val="22"/>
                <w:szCs w:val="22"/>
              </w:rPr>
              <w:t>Benefícios</w:t>
            </w:r>
          </w:p>
        </w:tc>
      </w:tr>
      <w:tr w:rsidR="001554C3" w:rsidRPr="00AB315F" w14:paraId="55BCCF32" w14:textId="77777777" w:rsidTr="001F728A">
        <w:trPr>
          <w:trHeight w:val="290"/>
          <w:jc w:val="center"/>
        </w:trPr>
        <w:tc>
          <w:tcPr>
            <w:tcW w:w="1340" w:type="dxa"/>
            <w:tcBorders>
              <w:top w:val="nil"/>
              <w:left w:val="nil"/>
              <w:bottom w:val="nil"/>
              <w:right w:val="nil"/>
            </w:tcBorders>
            <w:shd w:val="clear" w:color="auto" w:fill="auto"/>
            <w:vAlign w:val="center"/>
            <w:hideMark/>
          </w:tcPr>
          <w:p w14:paraId="5E55B248"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1991</w:t>
            </w:r>
          </w:p>
        </w:tc>
        <w:tc>
          <w:tcPr>
            <w:tcW w:w="960" w:type="dxa"/>
            <w:tcBorders>
              <w:top w:val="nil"/>
              <w:left w:val="single" w:sz="4" w:space="0" w:color="auto"/>
              <w:bottom w:val="nil"/>
              <w:right w:val="nil"/>
            </w:tcBorders>
            <w:shd w:val="clear" w:color="auto" w:fill="auto"/>
            <w:noWrap/>
            <w:vAlign w:val="center"/>
            <w:hideMark/>
          </w:tcPr>
          <w:p w14:paraId="18A56946"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965" w:type="dxa"/>
            <w:tcBorders>
              <w:top w:val="nil"/>
              <w:left w:val="nil"/>
              <w:bottom w:val="nil"/>
              <w:right w:val="nil"/>
            </w:tcBorders>
            <w:shd w:val="clear" w:color="auto" w:fill="auto"/>
            <w:noWrap/>
            <w:vAlign w:val="center"/>
            <w:hideMark/>
          </w:tcPr>
          <w:p w14:paraId="1CC4523D"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1123" w:type="dxa"/>
            <w:tcBorders>
              <w:top w:val="nil"/>
              <w:left w:val="nil"/>
              <w:bottom w:val="nil"/>
              <w:right w:val="nil"/>
            </w:tcBorders>
            <w:shd w:val="clear" w:color="auto" w:fill="auto"/>
            <w:noWrap/>
            <w:vAlign w:val="center"/>
            <w:hideMark/>
          </w:tcPr>
          <w:p w14:paraId="32939D4B"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1058" w:type="dxa"/>
            <w:tcBorders>
              <w:top w:val="nil"/>
              <w:left w:val="nil"/>
              <w:bottom w:val="nil"/>
              <w:right w:val="nil"/>
            </w:tcBorders>
            <w:shd w:val="clear" w:color="auto" w:fill="auto"/>
            <w:noWrap/>
            <w:vAlign w:val="center"/>
            <w:hideMark/>
          </w:tcPr>
          <w:p w14:paraId="64060363"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r w:rsidR="001554C3" w:rsidRPr="00AB315F" w14:paraId="36E6C389" w14:textId="77777777" w:rsidTr="001F728A">
        <w:trPr>
          <w:trHeight w:val="290"/>
          <w:jc w:val="center"/>
        </w:trPr>
        <w:tc>
          <w:tcPr>
            <w:tcW w:w="1340" w:type="dxa"/>
            <w:tcBorders>
              <w:top w:val="nil"/>
              <w:left w:val="nil"/>
              <w:bottom w:val="nil"/>
              <w:right w:val="nil"/>
            </w:tcBorders>
            <w:shd w:val="clear" w:color="auto" w:fill="auto"/>
            <w:vAlign w:val="center"/>
            <w:hideMark/>
          </w:tcPr>
          <w:p w14:paraId="47659006"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2006</w:t>
            </w:r>
          </w:p>
        </w:tc>
        <w:tc>
          <w:tcPr>
            <w:tcW w:w="960" w:type="dxa"/>
            <w:tcBorders>
              <w:top w:val="nil"/>
              <w:left w:val="single" w:sz="4" w:space="0" w:color="auto"/>
              <w:bottom w:val="nil"/>
              <w:right w:val="nil"/>
            </w:tcBorders>
            <w:shd w:val="clear" w:color="auto" w:fill="auto"/>
            <w:noWrap/>
            <w:vAlign w:val="center"/>
            <w:hideMark/>
          </w:tcPr>
          <w:p w14:paraId="1E530E5F"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c>
          <w:tcPr>
            <w:tcW w:w="965" w:type="dxa"/>
            <w:tcBorders>
              <w:top w:val="nil"/>
              <w:left w:val="nil"/>
              <w:bottom w:val="nil"/>
              <w:right w:val="nil"/>
            </w:tcBorders>
            <w:shd w:val="clear" w:color="auto" w:fill="auto"/>
            <w:noWrap/>
            <w:vAlign w:val="center"/>
            <w:hideMark/>
          </w:tcPr>
          <w:p w14:paraId="735B2455"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1123" w:type="dxa"/>
            <w:tcBorders>
              <w:top w:val="nil"/>
              <w:left w:val="nil"/>
              <w:bottom w:val="nil"/>
              <w:right w:val="nil"/>
            </w:tcBorders>
            <w:shd w:val="clear" w:color="auto" w:fill="auto"/>
            <w:noWrap/>
            <w:vAlign w:val="center"/>
            <w:hideMark/>
          </w:tcPr>
          <w:p w14:paraId="0A8DB835"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c>
          <w:tcPr>
            <w:tcW w:w="1058" w:type="dxa"/>
            <w:tcBorders>
              <w:top w:val="nil"/>
              <w:left w:val="nil"/>
              <w:bottom w:val="nil"/>
              <w:right w:val="nil"/>
            </w:tcBorders>
            <w:shd w:val="clear" w:color="auto" w:fill="auto"/>
            <w:noWrap/>
            <w:vAlign w:val="center"/>
            <w:hideMark/>
          </w:tcPr>
          <w:p w14:paraId="79E08F4F"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r w:rsidR="001554C3" w:rsidRPr="00AB315F" w14:paraId="38542890" w14:textId="77777777" w:rsidTr="001F728A">
        <w:trPr>
          <w:trHeight w:val="290"/>
          <w:jc w:val="center"/>
        </w:trPr>
        <w:tc>
          <w:tcPr>
            <w:tcW w:w="1340" w:type="dxa"/>
            <w:tcBorders>
              <w:top w:val="nil"/>
              <w:left w:val="nil"/>
              <w:bottom w:val="single" w:sz="4" w:space="0" w:color="auto"/>
              <w:right w:val="nil"/>
            </w:tcBorders>
            <w:shd w:val="clear" w:color="auto" w:fill="auto"/>
            <w:vAlign w:val="center"/>
            <w:hideMark/>
          </w:tcPr>
          <w:p w14:paraId="4DE81FBB"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2014</w:t>
            </w:r>
          </w:p>
        </w:tc>
        <w:tc>
          <w:tcPr>
            <w:tcW w:w="960" w:type="dxa"/>
            <w:tcBorders>
              <w:top w:val="nil"/>
              <w:left w:val="single" w:sz="4" w:space="0" w:color="auto"/>
              <w:bottom w:val="single" w:sz="4" w:space="0" w:color="auto"/>
              <w:right w:val="nil"/>
            </w:tcBorders>
            <w:shd w:val="clear" w:color="auto" w:fill="auto"/>
            <w:noWrap/>
            <w:vAlign w:val="center"/>
            <w:hideMark/>
          </w:tcPr>
          <w:p w14:paraId="5D163547" w14:textId="77777777" w:rsidR="001554C3" w:rsidRPr="00AB315F" w:rsidRDefault="001554C3" w:rsidP="00F439E9">
            <w:pPr>
              <w:jc w:val="center"/>
              <w:rPr>
                <w:rFonts w:ascii="Calibri" w:hAnsi="Calibri"/>
                <w:sz w:val="22"/>
                <w:szCs w:val="22"/>
              </w:rPr>
            </w:pPr>
            <w:r w:rsidRPr="00AB315F">
              <w:rPr>
                <w:rFonts w:ascii="Calibri" w:hAnsi="Calibri"/>
                <w:sz w:val="22"/>
                <w:szCs w:val="22"/>
              </w:rPr>
              <w:t>0%</w:t>
            </w:r>
          </w:p>
        </w:tc>
        <w:tc>
          <w:tcPr>
            <w:tcW w:w="965" w:type="dxa"/>
            <w:tcBorders>
              <w:top w:val="nil"/>
              <w:left w:val="nil"/>
              <w:bottom w:val="single" w:sz="4" w:space="0" w:color="auto"/>
              <w:right w:val="nil"/>
            </w:tcBorders>
            <w:shd w:val="clear" w:color="auto" w:fill="auto"/>
            <w:noWrap/>
            <w:vAlign w:val="center"/>
            <w:hideMark/>
          </w:tcPr>
          <w:p w14:paraId="3806D7A9"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1123" w:type="dxa"/>
            <w:tcBorders>
              <w:top w:val="nil"/>
              <w:left w:val="nil"/>
              <w:bottom w:val="single" w:sz="4" w:space="0" w:color="auto"/>
              <w:right w:val="nil"/>
            </w:tcBorders>
            <w:shd w:val="clear" w:color="auto" w:fill="auto"/>
            <w:noWrap/>
            <w:vAlign w:val="center"/>
            <w:hideMark/>
          </w:tcPr>
          <w:p w14:paraId="798C3353"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1058" w:type="dxa"/>
            <w:tcBorders>
              <w:top w:val="nil"/>
              <w:left w:val="nil"/>
              <w:bottom w:val="single" w:sz="4" w:space="0" w:color="auto"/>
              <w:right w:val="nil"/>
            </w:tcBorders>
            <w:shd w:val="clear" w:color="auto" w:fill="auto"/>
            <w:noWrap/>
            <w:vAlign w:val="center"/>
            <w:hideMark/>
          </w:tcPr>
          <w:p w14:paraId="1299FB8E"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bl>
    <w:p w14:paraId="2399012F" w14:textId="434B3085" w:rsidR="001F728A" w:rsidRPr="001F728A" w:rsidRDefault="001F728A" w:rsidP="001F728A">
      <w:pPr>
        <w:spacing w:line="360" w:lineRule="auto"/>
        <w:ind w:left="708" w:firstLine="708"/>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WVS- </w:t>
      </w:r>
      <w:r>
        <w:rPr>
          <w:rFonts w:ascii="Calibri" w:hAnsi="Calibri"/>
          <w:sz w:val="20"/>
          <w:szCs w:val="22"/>
        </w:rPr>
        <w:t>elaboração própria</w:t>
      </w:r>
    </w:p>
    <w:p w14:paraId="0FA4FC13" w14:textId="77777777" w:rsidR="001554C3" w:rsidRPr="00AB315F" w:rsidRDefault="001554C3" w:rsidP="001554C3">
      <w:pPr>
        <w:spacing w:line="360" w:lineRule="auto"/>
        <w:ind w:firstLine="708"/>
        <w:jc w:val="both"/>
        <w:rPr>
          <w:rFonts w:asciiTheme="minorHAnsi" w:hAnsiTheme="minorHAnsi"/>
        </w:rPr>
      </w:pPr>
    </w:p>
    <w:p w14:paraId="47671D9F" w14:textId="77777777" w:rsidR="001554C3" w:rsidRDefault="001554C3" w:rsidP="001554C3">
      <w:pPr>
        <w:spacing w:line="360" w:lineRule="auto"/>
        <w:ind w:firstLine="708"/>
        <w:jc w:val="both"/>
        <w:rPr>
          <w:rFonts w:asciiTheme="minorHAnsi" w:hAnsiTheme="minorHAnsi"/>
        </w:rPr>
      </w:pPr>
      <w:r w:rsidRPr="00AB315F">
        <w:rPr>
          <w:rFonts w:asciiTheme="minorHAnsi" w:hAnsiTheme="minorHAnsi"/>
        </w:rPr>
        <w:t>Já para os demais países latino-americanos, especialmente o México e a primeira rodada de pesquisas na Argentina em 1981, a taxa de não resposta é relativamente alta e varia consideravelmente entre as rodadas. A série histórica do Chile parece variar menos, a exceção da rodada de 2005 com um ligeiro aumento na taxa de “não-respostas”.</w:t>
      </w:r>
    </w:p>
    <w:p w14:paraId="4C5C970D" w14:textId="77777777" w:rsidR="000225AB" w:rsidRDefault="000225AB" w:rsidP="001554C3">
      <w:pPr>
        <w:spacing w:line="360" w:lineRule="auto"/>
        <w:ind w:firstLine="708"/>
        <w:jc w:val="both"/>
        <w:rPr>
          <w:rFonts w:asciiTheme="minorHAnsi" w:hAnsiTheme="minorHAnsi"/>
        </w:rPr>
      </w:pPr>
    </w:p>
    <w:p w14:paraId="171BB760" w14:textId="77777777" w:rsidR="000225AB" w:rsidRDefault="000225AB" w:rsidP="001554C3">
      <w:pPr>
        <w:spacing w:line="360" w:lineRule="auto"/>
        <w:ind w:firstLine="708"/>
        <w:jc w:val="both"/>
        <w:rPr>
          <w:rFonts w:asciiTheme="minorHAnsi" w:hAnsiTheme="minorHAnsi"/>
        </w:rPr>
      </w:pPr>
    </w:p>
    <w:p w14:paraId="1D5695B3" w14:textId="77777777" w:rsidR="000225AB" w:rsidRDefault="000225AB" w:rsidP="001554C3">
      <w:pPr>
        <w:spacing w:line="360" w:lineRule="auto"/>
        <w:ind w:firstLine="708"/>
        <w:jc w:val="both"/>
        <w:rPr>
          <w:rFonts w:asciiTheme="minorHAnsi" w:hAnsiTheme="minorHAnsi"/>
        </w:rPr>
      </w:pPr>
    </w:p>
    <w:p w14:paraId="1DB9B3DE" w14:textId="77777777" w:rsidR="000225AB" w:rsidRDefault="000225AB" w:rsidP="001554C3">
      <w:pPr>
        <w:spacing w:line="360" w:lineRule="auto"/>
        <w:ind w:firstLine="708"/>
        <w:jc w:val="both"/>
        <w:rPr>
          <w:rFonts w:asciiTheme="minorHAnsi" w:hAnsiTheme="minorHAnsi"/>
        </w:rPr>
      </w:pPr>
    </w:p>
    <w:p w14:paraId="6CB7DD09" w14:textId="2F2A59D1" w:rsidR="000225AB" w:rsidRPr="000225AB" w:rsidRDefault="001F728A" w:rsidP="000225AB">
      <w:pPr>
        <w:spacing w:line="360" w:lineRule="auto"/>
        <w:jc w:val="center"/>
        <w:rPr>
          <w:rFonts w:asciiTheme="minorHAnsi" w:hAnsiTheme="minorHAnsi"/>
          <w:b/>
        </w:rPr>
      </w:pPr>
      <w:r w:rsidRPr="000225AB">
        <w:rPr>
          <w:b/>
          <w:noProof/>
        </w:rPr>
        <w:lastRenderedPageBreak/>
        <w:drawing>
          <wp:anchor distT="0" distB="0" distL="114300" distR="114300" simplePos="0" relativeHeight="251957248" behindDoc="0" locked="0" layoutInCell="1" allowOverlap="1" wp14:anchorId="3158BE28" wp14:editId="0C8C0D7B">
            <wp:simplePos x="0" y="0"/>
            <wp:positionH relativeFrom="column">
              <wp:posOffset>14605</wp:posOffset>
            </wp:positionH>
            <wp:positionV relativeFrom="paragraph">
              <wp:posOffset>248175</wp:posOffset>
            </wp:positionV>
            <wp:extent cx="5344160" cy="2156460"/>
            <wp:effectExtent l="0" t="0" r="8890" b="15240"/>
            <wp:wrapThrough wrapText="bothSides">
              <wp:wrapPolygon edited="0">
                <wp:start x="0" y="0"/>
                <wp:lineTo x="0" y="21562"/>
                <wp:lineTo x="21559" y="21562"/>
                <wp:lineTo x="21559" y="0"/>
                <wp:lineTo x="0" y="0"/>
              </wp:wrapPolygon>
            </wp:wrapThrough>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000225AB" w:rsidRPr="000225AB">
        <w:rPr>
          <w:rFonts w:asciiTheme="minorHAnsi" w:hAnsiTheme="minorHAnsi"/>
          <w:b/>
        </w:rPr>
        <w:t xml:space="preserve">Gráfico 1. Taxa de </w:t>
      </w:r>
      <w:r w:rsidR="000225AB">
        <w:rPr>
          <w:rFonts w:asciiTheme="minorHAnsi" w:hAnsiTheme="minorHAnsi"/>
          <w:b/>
        </w:rPr>
        <w:t>“</w:t>
      </w:r>
      <w:r w:rsidR="000225AB" w:rsidRPr="000225AB">
        <w:rPr>
          <w:rFonts w:asciiTheme="minorHAnsi" w:hAnsiTheme="minorHAnsi"/>
          <w:b/>
        </w:rPr>
        <w:t>não</w:t>
      </w:r>
      <w:r w:rsidR="000225AB">
        <w:rPr>
          <w:rFonts w:asciiTheme="minorHAnsi" w:hAnsiTheme="minorHAnsi"/>
          <w:b/>
        </w:rPr>
        <w:t>-</w:t>
      </w:r>
      <w:r w:rsidR="000225AB" w:rsidRPr="000225AB">
        <w:rPr>
          <w:rFonts w:asciiTheme="minorHAnsi" w:hAnsiTheme="minorHAnsi"/>
          <w:b/>
        </w:rPr>
        <w:t>resposta</w:t>
      </w:r>
      <w:r w:rsidR="000225AB">
        <w:rPr>
          <w:rFonts w:asciiTheme="minorHAnsi" w:hAnsiTheme="minorHAnsi"/>
          <w:b/>
        </w:rPr>
        <w:t>”</w:t>
      </w:r>
      <w:r w:rsidR="000225AB" w:rsidRPr="000225AB">
        <w:rPr>
          <w:rFonts w:asciiTheme="minorHAnsi" w:hAnsiTheme="minorHAnsi"/>
          <w:b/>
        </w:rPr>
        <w:t xml:space="preserve"> para rodadas da Argentina</w:t>
      </w:r>
    </w:p>
    <w:p w14:paraId="425C725E" w14:textId="36914831"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w:t>
      </w:r>
      <w:r w:rsidR="00FD55AE">
        <w:rPr>
          <w:rFonts w:ascii="Calibri" w:hAnsi="Calibri"/>
          <w:sz w:val="20"/>
          <w:szCs w:val="22"/>
        </w:rPr>
        <w:t>WVS -</w:t>
      </w:r>
      <w:r>
        <w:rPr>
          <w:rFonts w:ascii="Calibri" w:hAnsi="Calibri"/>
          <w:sz w:val="20"/>
          <w:szCs w:val="22"/>
        </w:rPr>
        <w:t xml:space="preserve"> elaboração própria</w:t>
      </w:r>
    </w:p>
    <w:p w14:paraId="73EDEBCA" w14:textId="172F0A6B" w:rsidR="001F728A" w:rsidRDefault="001F728A" w:rsidP="000225AB">
      <w:pPr>
        <w:spacing w:line="360" w:lineRule="auto"/>
        <w:jc w:val="center"/>
        <w:rPr>
          <w:rFonts w:asciiTheme="minorHAnsi" w:hAnsiTheme="minorHAnsi"/>
          <w:b/>
        </w:rPr>
      </w:pPr>
    </w:p>
    <w:p w14:paraId="59E849DB" w14:textId="02AF6D09" w:rsidR="001554C3" w:rsidRPr="00AB315F" w:rsidRDefault="001F728A" w:rsidP="000225AB">
      <w:pPr>
        <w:spacing w:line="360" w:lineRule="auto"/>
        <w:jc w:val="center"/>
        <w:rPr>
          <w:rFonts w:asciiTheme="minorHAnsi" w:hAnsiTheme="minorHAnsi"/>
        </w:rPr>
      </w:pPr>
      <w:r w:rsidRPr="000225AB">
        <w:rPr>
          <w:b/>
          <w:noProof/>
        </w:rPr>
        <w:drawing>
          <wp:anchor distT="0" distB="0" distL="114300" distR="114300" simplePos="0" relativeHeight="251958272" behindDoc="0" locked="0" layoutInCell="1" allowOverlap="1" wp14:anchorId="661DBA83" wp14:editId="01E02DE5">
            <wp:simplePos x="0" y="0"/>
            <wp:positionH relativeFrom="column">
              <wp:posOffset>-46023</wp:posOffset>
            </wp:positionH>
            <wp:positionV relativeFrom="paragraph">
              <wp:posOffset>222719</wp:posOffset>
            </wp:positionV>
            <wp:extent cx="5398135" cy="2209165"/>
            <wp:effectExtent l="0" t="0" r="12065" b="635"/>
            <wp:wrapThrough wrapText="bothSides">
              <wp:wrapPolygon edited="0">
                <wp:start x="0" y="0"/>
                <wp:lineTo x="0" y="21420"/>
                <wp:lineTo x="21572" y="21420"/>
                <wp:lineTo x="21572" y="0"/>
                <wp:lineTo x="0" y="0"/>
              </wp:wrapPolygon>
            </wp:wrapThrough>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sidR="000225AB" w:rsidRPr="000225AB">
        <w:rPr>
          <w:rFonts w:asciiTheme="minorHAnsi" w:hAnsiTheme="minorHAnsi"/>
          <w:b/>
        </w:rPr>
        <w:t xml:space="preserve">Gráfico 2.Taxa de </w:t>
      </w:r>
      <w:r w:rsidR="000225AB">
        <w:rPr>
          <w:rFonts w:asciiTheme="minorHAnsi" w:hAnsiTheme="minorHAnsi"/>
          <w:b/>
        </w:rPr>
        <w:t>“</w:t>
      </w:r>
      <w:r w:rsidR="000225AB" w:rsidRPr="000225AB">
        <w:rPr>
          <w:rFonts w:asciiTheme="minorHAnsi" w:hAnsiTheme="minorHAnsi"/>
          <w:b/>
        </w:rPr>
        <w:t>não-resposta</w:t>
      </w:r>
      <w:r w:rsidR="000225AB">
        <w:rPr>
          <w:rFonts w:asciiTheme="minorHAnsi" w:hAnsiTheme="minorHAnsi"/>
          <w:b/>
        </w:rPr>
        <w:t>”</w:t>
      </w:r>
      <w:r w:rsidR="000225AB" w:rsidRPr="000225AB">
        <w:rPr>
          <w:rFonts w:asciiTheme="minorHAnsi" w:hAnsiTheme="minorHAnsi"/>
          <w:b/>
        </w:rPr>
        <w:t xml:space="preserve"> para rodadas do México</w:t>
      </w:r>
    </w:p>
    <w:p w14:paraId="0B2E49BB" w14:textId="4103B0E2"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WVS - </w:t>
      </w:r>
      <w:r>
        <w:rPr>
          <w:rFonts w:ascii="Calibri" w:hAnsi="Calibri"/>
          <w:sz w:val="20"/>
          <w:szCs w:val="22"/>
        </w:rPr>
        <w:t>elaboração própria</w:t>
      </w:r>
    </w:p>
    <w:p w14:paraId="5F2A1895" w14:textId="662B4DED" w:rsidR="000225AB" w:rsidRDefault="000225AB" w:rsidP="001554C3">
      <w:pPr>
        <w:spacing w:line="360" w:lineRule="auto"/>
        <w:jc w:val="both"/>
        <w:rPr>
          <w:rFonts w:asciiTheme="minorHAnsi" w:hAnsiTheme="minorHAnsi"/>
        </w:rPr>
      </w:pPr>
    </w:p>
    <w:p w14:paraId="3F664261" w14:textId="0273852F" w:rsidR="001554C3" w:rsidRPr="00AB315F" w:rsidRDefault="001F728A" w:rsidP="000225AB">
      <w:pPr>
        <w:spacing w:line="360" w:lineRule="auto"/>
        <w:jc w:val="center"/>
        <w:rPr>
          <w:rFonts w:asciiTheme="minorHAnsi" w:hAnsiTheme="minorHAnsi"/>
        </w:rPr>
      </w:pPr>
      <w:r w:rsidRPr="00AB315F">
        <w:rPr>
          <w:noProof/>
        </w:rPr>
        <w:drawing>
          <wp:anchor distT="0" distB="0" distL="114300" distR="114300" simplePos="0" relativeHeight="251959296" behindDoc="0" locked="0" layoutInCell="1" allowOverlap="1" wp14:anchorId="3E507E37" wp14:editId="2DA523F6">
            <wp:simplePos x="0" y="0"/>
            <wp:positionH relativeFrom="column">
              <wp:posOffset>-34566</wp:posOffset>
            </wp:positionH>
            <wp:positionV relativeFrom="paragraph">
              <wp:posOffset>288593</wp:posOffset>
            </wp:positionV>
            <wp:extent cx="5398135" cy="2298065"/>
            <wp:effectExtent l="0" t="0" r="12065" b="6985"/>
            <wp:wrapThrough wrapText="bothSides">
              <wp:wrapPolygon edited="0">
                <wp:start x="0" y="0"/>
                <wp:lineTo x="0" y="21487"/>
                <wp:lineTo x="21572" y="21487"/>
                <wp:lineTo x="21572" y="0"/>
                <wp:lineTo x="0" y="0"/>
              </wp:wrapPolygon>
            </wp:wrapThrough>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r w:rsidR="000225AB" w:rsidRPr="000225AB">
        <w:rPr>
          <w:rFonts w:asciiTheme="minorHAnsi" w:hAnsiTheme="minorHAnsi"/>
          <w:b/>
        </w:rPr>
        <w:t xml:space="preserve">Gráfico </w:t>
      </w:r>
      <w:r w:rsidR="000225AB">
        <w:rPr>
          <w:rFonts w:asciiTheme="minorHAnsi" w:hAnsiTheme="minorHAnsi"/>
          <w:b/>
        </w:rPr>
        <w:t>3</w:t>
      </w:r>
      <w:r w:rsidR="000225AB" w:rsidRPr="000225AB">
        <w:rPr>
          <w:rFonts w:asciiTheme="minorHAnsi" w:hAnsiTheme="minorHAnsi"/>
          <w:b/>
        </w:rPr>
        <w:t xml:space="preserve">.Taxa de </w:t>
      </w:r>
      <w:r w:rsidR="000225AB">
        <w:rPr>
          <w:rFonts w:asciiTheme="minorHAnsi" w:hAnsiTheme="minorHAnsi"/>
          <w:b/>
        </w:rPr>
        <w:t>“</w:t>
      </w:r>
      <w:r w:rsidR="000225AB" w:rsidRPr="000225AB">
        <w:rPr>
          <w:rFonts w:asciiTheme="minorHAnsi" w:hAnsiTheme="minorHAnsi"/>
          <w:b/>
        </w:rPr>
        <w:t>não-resposta</w:t>
      </w:r>
      <w:r w:rsidR="000225AB">
        <w:rPr>
          <w:rFonts w:asciiTheme="minorHAnsi" w:hAnsiTheme="minorHAnsi"/>
          <w:b/>
        </w:rPr>
        <w:t>”</w:t>
      </w:r>
      <w:r w:rsidR="000225AB" w:rsidRPr="000225AB">
        <w:rPr>
          <w:rFonts w:asciiTheme="minorHAnsi" w:hAnsiTheme="minorHAnsi"/>
          <w:b/>
        </w:rPr>
        <w:t xml:space="preserve"> para rodadas do </w:t>
      </w:r>
      <w:r w:rsidR="000225AB">
        <w:rPr>
          <w:rFonts w:asciiTheme="minorHAnsi" w:hAnsiTheme="minorHAnsi"/>
          <w:b/>
        </w:rPr>
        <w:t>Chile</w:t>
      </w:r>
    </w:p>
    <w:p w14:paraId="5EFF8215" w14:textId="45A59FD9"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WVS - </w:t>
      </w:r>
      <w:r>
        <w:rPr>
          <w:rFonts w:ascii="Calibri" w:hAnsi="Calibri"/>
          <w:sz w:val="20"/>
          <w:szCs w:val="22"/>
        </w:rPr>
        <w:t>elaboração própria</w:t>
      </w:r>
    </w:p>
    <w:p w14:paraId="510D6BB0" w14:textId="08179F52" w:rsidR="001554C3" w:rsidRPr="00AB315F" w:rsidRDefault="001554C3" w:rsidP="001554C3">
      <w:pPr>
        <w:spacing w:line="360" w:lineRule="auto"/>
        <w:jc w:val="both"/>
        <w:rPr>
          <w:rFonts w:asciiTheme="minorHAnsi" w:hAnsiTheme="minorHAnsi"/>
        </w:rPr>
      </w:pPr>
    </w:p>
    <w:p w14:paraId="2C990E42" w14:textId="5FFF0BA5" w:rsidR="001554C3" w:rsidRPr="00AB315F" w:rsidRDefault="001554C3" w:rsidP="001554C3">
      <w:pPr>
        <w:spacing w:line="360" w:lineRule="auto"/>
        <w:jc w:val="both"/>
        <w:rPr>
          <w:rFonts w:asciiTheme="minorHAnsi" w:hAnsiTheme="minorHAnsi"/>
        </w:rPr>
      </w:pPr>
    </w:p>
    <w:p w14:paraId="06C4C489" w14:textId="4AB28779" w:rsidR="001554C3" w:rsidRPr="00AB315F" w:rsidRDefault="001554C3" w:rsidP="001554C3">
      <w:pPr>
        <w:spacing w:line="360" w:lineRule="auto"/>
        <w:jc w:val="both"/>
        <w:rPr>
          <w:rFonts w:asciiTheme="minorHAnsi" w:hAnsiTheme="minorHAnsi"/>
        </w:rPr>
      </w:pPr>
    </w:p>
    <w:p w14:paraId="45B464FB" w14:textId="6A0B4F93"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O percentual de “não-resposta”, independente do país, é sempre maior para a questão sobre “receber benefícios que não tem direito a eles”. Daí, surgem duas hipóteses explicativas: o formato da pergunta do item sobre benefícios é mais complexo se comparado com as demais, o que acarreta uma compreensão insuficiente sobre o conteúdo da questão, ou, o item sobre benefício é mais afetado por uma carga moral e, portanto, está mais vulnerável aos efeitos da desejabilidade social.</w:t>
      </w:r>
    </w:p>
    <w:p w14:paraId="3492C747" w14:textId="77777777" w:rsidR="001554C3" w:rsidRPr="00AB315F" w:rsidRDefault="001554C3" w:rsidP="001554C3">
      <w:pPr>
        <w:spacing w:after="240" w:line="360" w:lineRule="auto"/>
        <w:jc w:val="both"/>
        <w:rPr>
          <w:rFonts w:asciiTheme="minorHAnsi" w:hAnsiTheme="minorHAnsi"/>
        </w:rPr>
      </w:pPr>
      <w:r w:rsidRPr="00AB315F">
        <w:rPr>
          <w:rFonts w:asciiTheme="minorHAnsi" w:hAnsiTheme="minorHAnsi"/>
        </w:rPr>
        <w:tab/>
        <w:t xml:space="preserve">Conforme mencionou-se Berinsky (1999), perguntas que mensuram atitudes atreladas a certas normas sociais podem causar problemas de não-resposta. Ou, seja, o teor moral que a questão evoca pode induzir o entrevistado a não emitir sua opinião por estar influenciado pelo fator de desejabilidade social e, portanto, por uma vontade de não ter que opinar sobre uma prática socialmente indesejável. </w:t>
      </w:r>
    </w:p>
    <w:p w14:paraId="7DF3BD50"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Caso a desejo social esteja atrelado à taxa de não resposta dos itens, pode-se estar diante de uma primeira evidência a insensibilidade contextual da medida, já que o desejo social pode variar diante de contextos diferentes.</w:t>
      </w:r>
    </w:p>
    <w:p w14:paraId="0AB2B40E" w14:textId="77777777" w:rsidR="001554C3" w:rsidRPr="00AB315F" w:rsidRDefault="001554C3" w:rsidP="001554C3">
      <w:pPr>
        <w:spacing w:after="240" w:line="360" w:lineRule="auto"/>
        <w:jc w:val="both"/>
        <w:rPr>
          <w:rFonts w:asciiTheme="minorHAnsi" w:hAnsiTheme="minorHAnsi"/>
        </w:rPr>
      </w:pPr>
      <w:r w:rsidRPr="00AB315F">
        <w:rPr>
          <w:rFonts w:asciiTheme="minorHAnsi" w:hAnsiTheme="minorHAnsi"/>
        </w:rPr>
        <w:tab/>
        <w:t xml:space="preserve">A segunda etapa, </w:t>
      </w:r>
      <w:r w:rsidRPr="00AB315F">
        <w:rPr>
          <w:rFonts w:asciiTheme="minorHAnsi" w:hAnsiTheme="minorHAnsi"/>
          <w:i/>
        </w:rPr>
        <w:t xml:space="preserve">recuperar informações e memórias pertinentes ao tema, </w:t>
      </w:r>
      <w:r w:rsidRPr="00AB315F">
        <w:rPr>
          <w:rFonts w:asciiTheme="minorHAnsi" w:hAnsiTheme="minorHAnsi"/>
        </w:rPr>
        <w:t xml:space="preserve">é o início duas principais problematizações sobre a validade da medida: desejabilidade social e o conceito de corrupção dos entrevistados. </w:t>
      </w:r>
    </w:p>
    <w:p w14:paraId="04B238A8" w14:textId="2200D4E5"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Argumenta-se que está etapa está muito relacionada à próxima (</w:t>
      </w:r>
      <w:r w:rsidRPr="00AB315F">
        <w:rPr>
          <w:rFonts w:asciiTheme="minorHAnsi" w:hAnsiTheme="minorHAnsi"/>
          <w:i/>
        </w:rPr>
        <w:t>escolher informações para realizar julgamentos)</w:t>
      </w:r>
      <w:r w:rsidRPr="00AB315F">
        <w:rPr>
          <w:rFonts w:asciiTheme="minorHAnsi" w:hAnsiTheme="minorHAnsi"/>
        </w:rPr>
        <w:t>, e em dado momento podem fazer parte de um mesmo período neste modelo de resposta.  Para ilustrar a relação imagina-se que haja viés de desejabiliadade social em um item de resposta, a recuperação de informações e memórias pertinentes ao tema (2ª etapa) será “contaminada” pelo viés de desejabildade social, ainda que o entrevistado teça julgamentos morais sobre o tema (3ª etapa) após recuperar memórias e informações. Dito de outra forma, as informações recuperadas já serão aquelas que suportam o determinado desejo social com relação ao tema. Apesar de especular sobre a unicidade das etapas, trata-se adiante apenas do ato de resgatar informações e memórias sobre o tema</w:t>
      </w:r>
      <w:r w:rsidR="00102B58">
        <w:rPr>
          <w:rFonts w:asciiTheme="minorHAnsi" w:hAnsiTheme="minorHAnsi"/>
        </w:rPr>
        <w:t>.</w:t>
      </w:r>
    </w:p>
    <w:p w14:paraId="44344804" w14:textId="77777777" w:rsidR="001554C3" w:rsidRPr="00AB315F" w:rsidRDefault="001554C3" w:rsidP="001554C3">
      <w:pPr>
        <w:spacing w:after="240" w:line="360" w:lineRule="auto"/>
        <w:jc w:val="both"/>
        <w:rPr>
          <w:rFonts w:asciiTheme="minorHAnsi" w:hAnsiTheme="minorHAnsi"/>
        </w:rPr>
      </w:pPr>
      <w:r w:rsidRPr="00AB315F">
        <w:rPr>
          <w:rFonts w:asciiTheme="minorHAnsi" w:hAnsiTheme="minorHAnsi"/>
        </w:rPr>
        <w:lastRenderedPageBreak/>
        <w:tab/>
        <w:t>Recuperar informações não é um processo isolado e referente a preferências puramente individuais do entrevistado. Como visto, a opinião é dependente de informações e memórias construídas e geradas pela socialização e o debate público. Neste momento, a percepção que o indivíduo tem sobre o “clima de opinião” e as expectativas normativas adjuntas a ele se sustenta majoritariamente em sinais de informação social e normativa, como: estrutura política e social, práticas diárias, normas e opiniões expressas.</w:t>
      </w:r>
    </w:p>
    <w:p w14:paraId="24BBAA21"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Uma vez que informações e memórias em relação ao tema da pergunta estão relacionadas ao debate público, o qual envolve conversação, discursos, deliberação, julgamento ativo, e ação política, é interessante considerar a argumentação de Zaller sobre o papel da mídia na difusão de informação neste processo. </w:t>
      </w:r>
    </w:p>
    <w:p w14:paraId="4E7A8450" w14:textId="5EE29535"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A hipótese que permeia a relação entre conteúdo midiático e variações na percepção dos indivíduos, leva em consideração que o fluxo e natureza das informações podem influenciar a chance de percepção do cidadão sobre o “clima de opinião” em relação ao tema e, por conseguinte, afetar o julgamento da pergunta na próxima etapa do processo. </w:t>
      </w:r>
      <w:r w:rsidR="00102B58">
        <w:rPr>
          <w:rFonts w:asciiTheme="minorHAnsi" w:hAnsiTheme="minorHAnsi"/>
        </w:rPr>
        <w:t>Um momento de grande vinculação midiática de conteúdo referente ao tema da corrupção pode afetar o “clima” e, por conseguinte, gerar efeitos sobre o julgamento dos entrevistados.</w:t>
      </w:r>
    </w:p>
    <w:p w14:paraId="4D32C01D"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Este argumento não pretende dar centralidade à influência da mídia no debate público, mas, assume-se que a qualidade da função midiática permite que a mídia tenha papel distinto na difusão de conteúdos que podem conformar o discurso e assimilação do fenômeno por parte dos cidadãos. </w:t>
      </w:r>
    </w:p>
    <w:p w14:paraId="2F00E437"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Outra questão pode estar atrelada à esta etapa de recuperação de informações e memórias sobre o tema da pergunta. A forma e a qualidade com que o entrevistado acessa e recupera informações pode estar relacionada à aspectos de renda, escolaridade, idade e ocupação. Ou seja, se a sistematicidade de um possível viés pode estar atrelada à subgrupos da população - de um mesmo contexto - que teriam estilos de resposta diferentes, ou seja, são afetados de forma diferente pela desejabilidade social e, logo, a medida de aceitação tende a ter médias diferentes níveis de renda, escolaridade, região, dentre outros.</w:t>
      </w:r>
    </w:p>
    <w:p w14:paraId="503FD6FD" w14:textId="77777777" w:rsidR="001554C3" w:rsidRPr="00AB315F" w:rsidRDefault="001554C3" w:rsidP="001554C3">
      <w:pPr>
        <w:spacing w:after="240" w:line="360" w:lineRule="auto"/>
        <w:jc w:val="both"/>
        <w:rPr>
          <w:rFonts w:asciiTheme="minorHAnsi" w:hAnsiTheme="minorHAnsi"/>
        </w:rPr>
      </w:pPr>
      <w:r w:rsidRPr="00AB315F">
        <w:rPr>
          <w:rFonts w:asciiTheme="minorHAnsi" w:hAnsiTheme="minorHAnsi"/>
        </w:rPr>
        <w:lastRenderedPageBreak/>
        <w:tab/>
        <w:t xml:space="preserve">Por exemplo, subgrupos de idade e </w:t>
      </w:r>
      <w:r w:rsidRPr="00AB315F">
        <w:rPr>
          <w:rFonts w:asciiTheme="minorHAnsi" w:hAnsiTheme="minorHAnsi"/>
        </w:rPr>
        <w:tab/>
        <w:t>escolaridade podem apresentar estilos de resposta diferentes. Há evidencias de que existe variação da média de aceitação da corrupção entre subgrupos de idade e escolaridade</w:t>
      </w:r>
      <w:r w:rsidRPr="00AB315F">
        <w:rPr>
          <w:rStyle w:val="Refdenotaderodap"/>
          <w:rFonts w:asciiTheme="minorHAnsi" w:hAnsiTheme="minorHAnsi"/>
        </w:rPr>
        <w:footnoteReference w:id="16"/>
      </w:r>
      <w:r w:rsidRPr="00AB315F">
        <w:rPr>
          <w:rFonts w:asciiTheme="minorHAnsi" w:hAnsiTheme="minorHAnsi"/>
        </w:rPr>
        <w:t>, o que a princípio não significa que a diferença é explicada apenas por diferenças de desejabilidade social.</w:t>
      </w:r>
    </w:p>
    <w:p w14:paraId="3C278CEA" w14:textId="4771C3DF" w:rsidR="001554C3" w:rsidRPr="00AB315F" w:rsidRDefault="00E165F2" w:rsidP="001554C3">
      <w:pPr>
        <w:spacing w:after="240" w:line="360" w:lineRule="auto"/>
        <w:jc w:val="center"/>
        <w:rPr>
          <w:rFonts w:asciiTheme="minorHAnsi" w:hAnsiTheme="minorHAnsi"/>
          <w:b/>
        </w:rPr>
      </w:pPr>
      <w:r>
        <w:rPr>
          <w:rFonts w:asciiTheme="minorHAnsi" w:hAnsiTheme="minorHAnsi"/>
          <w:b/>
        </w:rPr>
        <w:t>Gráfico 4</w:t>
      </w:r>
      <w:r w:rsidR="001554C3" w:rsidRPr="00AB315F">
        <w:rPr>
          <w:rFonts w:asciiTheme="minorHAnsi" w:hAnsiTheme="minorHAnsi"/>
          <w:b/>
        </w:rPr>
        <w:t>. Relação entre médias de “Aceitação da Corrupção” e faixa etária</w:t>
      </w:r>
    </w:p>
    <w:p w14:paraId="5455C127" w14:textId="77777777" w:rsidR="001554C3" w:rsidRPr="00AB315F" w:rsidRDefault="001554C3" w:rsidP="001554C3">
      <w:pPr>
        <w:spacing w:line="360" w:lineRule="auto"/>
        <w:jc w:val="both"/>
        <w:rPr>
          <w:rFonts w:asciiTheme="minorHAnsi" w:hAnsiTheme="minorHAnsi"/>
        </w:rPr>
      </w:pPr>
      <w:r w:rsidRPr="00AB315F">
        <w:rPr>
          <w:rFonts w:asciiTheme="minorHAnsi" w:hAnsiTheme="minorHAnsi"/>
        </w:rPr>
        <w:tab/>
      </w:r>
      <w:r w:rsidRPr="00AB315F">
        <w:rPr>
          <w:rFonts w:asciiTheme="minorHAnsi" w:hAnsiTheme="minorHAnsi"/>
          <w:noProof/>
        </w:rPr>
        <w:drawing>
          <wp:inline distT="0" distB="0" distL="0" distR="0" wp14:anchorId="6EE5F98E" wp14:editId="07A3A856">
            <wp:extent cx="4408952" cy="2736166"/>
            <wp:effectExtent l="0" t="0" r="0" b="7620"/>
            <wp:docPr id="263" name="Imagem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gráfico de media de ITC por idade.png"/>
                    <pic:cNvPicPr/>
                  </pic:nvPicPr>
                  <pic:blipFill rotWithShape="1">
                    <a:blip r:embed="rId14">
                      <a:grayscl/>
                      <a:extLst>
                        <a:ext uri="{28A0092B-C50C-407E-A947-70E740481C1C}">
                          <a14:useLocalDpi xmlns:a14="http://schemas.microsoft.com/office/drawing/2010/main" val="0"/>
                        </a:ext>
                      </a:extLst>
                    </a:blip>
                    <a:srcRect t="3424" r="2297" b="13269"/>
                    <a:stretch/>
                  </pic:blipFill>
                  <pic:spPr bwMode="auto">
                    <a:xfrm>
                      <a:off x="0" y="0"/>
                      <a:ext cx="4411153" cy="2737532"/>
                    </a:xfrm>
                    <a:prstGeom prst="rect">
                      <a:avLst/>
                    </a:prstGeom>
                    <a:ln>
                      <a:noFill/>
                    </a:ln>
                    <a:extLst>
                      <a:ext uri="{53640926-AAD7-44D8-BBD7-CCE9431645EC}">
                        <a14:shadowObscured xmlns:a14="http://schemas.microsoft.com/office/drawing/2010/main"/>
                      </a:ext>
                    </a:extLst>
                  </pic:spPr>
                </pic:pic>
              </a:graphicData>
            </a:graphic>
          </wp:inline>
        </w:drawing>
      </w:r>
    </w:p>
    <w:p w14:paraId="53F45220" w14:textId="7DF22830" w:rsidR="001F728A" w:rsidRPr="001F728A" w:rsidRDefault="001F728A" w:rsidP="001F728A">
      <w:pPr>
        <w:spacing w:line="360" w:lineRule="auto"/>
        <w:ind w:firstLine="708"/>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WVS - </w:t>
      </w:r>
      <w:r>
        <w:rPr>
          <w:rFonts w:ascii="Calibri" w:hAnsi="Calibri"/>
          <w:sz w:val="20"/>
          <w:szCs w:val="22"/>
        </w:rPr>
        <w:t>elaboração própria</w:t>
      </w:r>
    </w:p>
    <w:p w14:paraId="78DFCE54" w14:textId="77777777" w:rsidR="001554C3" w:rsidRPr="00AB315F" w:rsidRDefault="001554C3" w:rsidP="001554C3">
      <w:pPr>
        <w:spacing w:after="240" w:line="360" w:lineRule="auto"/>
        <w:jc w:val="both"/>
        <w:rPr>
          <w:rFonts w:asciiTheme="minorHAnsi" w:hAnsiTheme="minorHAnsi"/>
        </w:rPr>
      </w:pPr>
    </w:p>
    <w:p w14:paraId="3CFB7290"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A outra possível fonte de erro atrelada a segunda etapa do modelo de resposta é a possibilidade de entrevistados não relacionarem as práticas com a ideia de corrupção.</w:t>
      </w:r>
    </w:p>
    <w:p w14:paraId="1566D682" w14:textId="309CC768"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Assim como Catterberg et al (2013) encontram evidências de que uruguaios, </w:t>
      </w:r>
      <w:r w:rsidR="007F2C6A" w:rsidRPr="00AB315F">
        <w:rPr>
          <w:rFonts w:asciiTheme="minorHAnsi" w:hAnsiTheme="minorHAnsi"/>
        </w:rPr>
        <w:t>quando</w:t>
      </w:r>
      <w:r w:rsidRPr="00AB315F">
        <w:rPr>
          <w:rFonts w:asciiTheme="minorHAnsi" w:hAnsiTheme="minorHAnsi"/>
        </w:rPr>
        <w:t xml:space="preserve"> comparado a chilenos argentinos e mexicanos, tendem a não considerar as mesmas práticas como corruptas, pode-se questionar se os entrevistados recuperam informações e memórias que os façam relacionar os itens de pergunta ao fenômeno da corrupção.</w:t>
      </w:r>
    </w:p>
    <w:p w14:paraId="253FE4B0" w14:textId="77777777" w:rsidR="001554C3" w:rsidRPr="00AB315F" w:rsidRDefault="001554C3" w:rsidP="001554C3">
      <w:pPr>
        <w:spacing w:after="240" w:line="360" w:lineRule="auto"/>
        <w:jc w:val="both"/>
        <w:rPr>
          <w:rFonts w:asciiTheme="minorHAnsi" w:hAnsiTheme="minorHAnsi"/>
        </w:rPr>
      </w:pPr>
      <w:r w:rsidRPr="00AB315F">
        <w:rPr>
          <w:rFonts w:asciiTheme="minorHAnsi" w:hAnsiTheme="minorHAnsi"/>
        </w:rPr>
        <w:tab/>
        <w:t xml:space="preserve">Está questão é elementar, pois, como mencionado, as chances de efeito do viés de desejabilidade social aumenta se o indivíduo considera a prática em questão como </w:t>
      </w:r>
      <w:r w:rsidRPr="00AB315F">
        <w:rPr>
          <w:rFonts w:asciiTheme="minorHAnsi" w:hAnsiTheme="minorHAnsi"/>
        </w:rPr>
        <w:lastRenderedPageBreak/>
        <w:t>corrupção ou não. Caso o entrevistado recupere informações e memória que o faça relacionar as práticas das perguntas à corrupção, o efeito da desejabilidade pode ser maior.</w:t>
      </w:r>
    </w:p>
    <w:p w14:paraId="1F34F4E7"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Para descrever como a questão do conceito de corrupção pode ou não estar atrelado a questões e, por conseguinte, influenciar magnitude da desejabilidade social, recorre-se a pesquisa de 2008 do Barômetro das Américas. </w:t>
      </w:r>
    </w:p>
    <w:p w14:paraId="4DA407E7" w14:textId="70A8BAAA" w:rsidR="001554C3"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Nesta rodada foi inclusa duas perguntas que questionam </w:t>
      </w:r>
      <w:r w:rsidR="00E2540A">
        <w:rPr>
          <w:rFonts w:asciiTheme="minorHAnsi" w:hAnsiTheme="minorHAnsi"/>
        </w:rPr>
        <w:t>aos</w:t>
      </w:r>
      <w:r w:rsidRPr="00AB315F">
        <w:rPr>
          <w:rFonts w:asciiTheme="minorHAnsi" w:hAnsiTheme="minorHAnsi"/>
        </w:rPr>
        <w:t xml:space="preserve"> entrevistados se a quebra de uma norma social pode ser considerada corrupta ou não. As questões simulam cenários de práticas que poderiam ser consideradas corruptas e o item ainda capta a aceitação das mesmas práticas: </w:t>
      </w:r>
    </w:p>
    <w:p w14:paraId="72742537" w14:textId="36D9BF8B" w:rsidR="00E165F2" w:rsidRPr="00E165F2" w:rsidRDefault="00E165F2" w:rsidP="00E165F2">
      <w:pPr>
        <w:spacing w:after="240" w:line="360" w:lineRule="auto"/>
        <w:ind w:firstLine="708"/>
        <w:jc w:val="center"/>
        <w:rPr>
          <w:rFonts w:asciiTheme="minorHAnsi" w:hAnsiTheme="minorHAnsi"/>
          <w:b/>
        </w:rPr>
      </w:pPr>
      <w:r w:rsidRPr="00E165F2">
        <w:rPr>
          <w:rFonts w:asciiTheme="minorHAnsi" w:hAnsiTheme="minorHAnsi"/>
          <w:b/>
        </w:rPr>
        <w:t>Tabela 2.</w:t>
      </w:r>
      <w:r w:rsidR="008947A7">
        <w:rPr>
          <w:rFonts w:asciiTheme="minorHAnsi" w:hAnsiTheme="minorHAnsi"/>
          <w:b/>
        </w:rPr>
        <w:t xml:space="preserve"> Questões de aceitação por cenários</w:t>
      </w:r>
    </w:p>
    <w:tbl>
      <w:tblPr>
        <w:tblW w:w="6780" w:type="dxa"/>
        <w:jc w:val="center"/>
        <w:tblCellMar>
          <w:left w:w="70" w:type="dxa"/>
          <w:right w:w="70" w:type="dxa"/>
        </w:tblCellMar>
        <w:tblLook w:val="04A0" w:firstRow="1" w:lastRow="0" w:firstColumn="1" w:lastColumn="0" w:noHBand="0" w:noVBand="1"/>
      </w:tblPr>
      <w:tblGrid>
        <w:gridCol w:w="3400"/>
        <w:gridCol w:w="3380"/>
      </w:tblGrid>
      <w:tr w:rsidR="001554C3" w:rsidRPr="00AB315F" w14:paraId="1EF850A9" w14:textId="77777777" w:rsidTr="00F439E9">
        <w:trPr>
          <w:trHeight w:val="290"/>
          <w:jc w:val="center"/>
        </w:trPr>
        <w:tc>
          <w:tcPr>
            <w:tcW w:w="3400" w:type="dxa"/>
            <w:tcBorders>
              <w:top w:val="single" w:sz="4" w:space="0" w:color="auto"/>
              <w:left w:val="nil"/>
              <w:bottom w:val="single" w:sz="4" w:space="0" w:color="auto"/>
              <w:right w:val="nil"/>
            </w:tcBorders>
            <w:shd w:val="clear" w:color="auto" w:fill="auto"/>
            <w:noWrap/>
            <w:vAlign w:val="center"/>
            <w:hideMark/>
          </w:tcPr>
          <w:p w14:paraId="28CFF56C" w14:textId="77777777" w:rsidR="001554C3" w:rsidRPr="00AB315F" w:rsidRDefault="001554C3" w:rsidP="00F439E9">
            <w:pPr>
              <w:jc w:val="center"/>
              <w:rPr>
                <w:rFonts w:ascii="Calibri" w:hAnsi="Calibri"/>
                <w:sz w:val="22"/>
                <w:szCs w:val="22"/>
              </w:rPr>
            </w:pPr>
            <w:r w:rsidRPr="00AB315F">
              <w:rPr>
                <w:rFonts w:ascii="Calibri" w:hAnsi="Calibri"/>
                <w:sz w:val="22"/>
                <w:szCs w:val="22"/>
              </w:rPr>
              <w:t>Cenário 1</w:t>
            </w:r>
          </w:p>
        </w:tc>
        <w:tc>
          <w:tcPr>
            <w:tcW w:w="3380" w:type="dxa"/>
            <w:tcBorders>
              <w:top w:val="single" w:sz="4" w:space="0" w:color="auto"/>
              <w:left w:val="nil"/>
              <w:bottom w:val="single" w:sz="4" w:space="0" w:color="auto"/>
              <w:right w:val="nil"/>
            </w:tcBorders>
            <w:shd w:val="clear" w:color="auto" w:fill="auto"/>
            <w:noWrap/>
            <w:vAlign w:val="center"/>
            <w:hideMark/>
          </w:tcPr>
          <w:p w14:paraId="4D06F52B" w14:textId="77777777" w:rsidR="001554C3" w:rsidRPr="00AB315F" w:rsidRDefault="001554C3" w:rsidP="00F439E9">
            <w:pPr>
              <w:jc w:val="center"/>
              <w:rPr>
                <w:rFonts w:ascii="Calibri" w:hAnsi="Calibri"/>
                <w:sz w:val="22"/>
                <w:szCs w:val="22"/>
              </w:rPr>
            </w:pPr>
            <w:r w:rsidRPr="00AB315F">
              <w:rPr>
                <w:rFonts w:ascii="Calibri" w:hAnsi="Calibri"/>
                <w:sz w:val="22"/>
                <w:szCs w:val="22"/>
              </w:rPr>
              <w:t>Cenário 2</w:t>
            </w:r>
          </w:p>
        </w:tc>
      </w:tr>
      <w:tr w:rsidR="001554C3" w:rsidRPr="00AB315F" w14:paraId="32B67543" w14:textId="77777777" w:rsidTr="00F439E9">
        <w:trPr>
          <w:trHeight w:val="2050"/>
          <w:jc w:val="center"/>
        </w:trPr>
        <w:tc>
          <w:tcPr>
            <w:tcW w:w="3400" w:type="dxa"/>
            <w:tcBorders>
              <w:top w:val="nil"/>
              <w:left w:val="nil"/>
              <w:bottom w:val="single" w:sz="4" w:space="0" w:color="auto"/>
              <w:right w:val="single" w:sz="4" w:space="0" w:color="auto"/>
            </w:tcBorders>
            <w:shd w:val="clear" w:color="auto" w:fill="auto"/>
            <w:vAlign w:val="center"/>
            <w:hideMark/>
          </w:tcPr>
          <w:p w14:paraId="373B154C" w14:textId="1D2EBF9A" w:rsidR="001554C3" w:rsidRPr="00AB315F" w:rsidRDefault="001554C3" w:rsidP="00F439E9">
            <w:pPr>
              <w:jc w:val="center"/>
              <w:rPr>
                <w:rFonts w:ascii="Calibri" w:hAnsi="Calibri"/>
                <w:b/>
                <w:bCs/>
                <w:sz w:val="22"/>
                <w:szCs w:val="22"/>
              </w:rPr>
            </w:pPr>
            <w:r w:rsidRPr="00AB315F">
              <w:rPr>
                <w:rFonts w:ascii="Calibri" w:hAnsi="Calibri"/>
                <w:b/>
                <w:bCs/>
                <w:sz w:val="22"/>
                <w:szCs w:val="22"/>
              </w:rPr>
              <w:t xml:space="preserve">Uma mãe com vários filhos tem que tirar uma certidão de nascimento para um deles. Para não perder tempo esperando, ela paga R$10 reais </w:t>
            </w:r>
            <w:r w:rsidR="007F2C6A">
              <w:rPr>
                <w:rFonts w:ascii="Calibri" w:hAnsi="Calibri"/>
                <w:b/>
                <w:bCs/>
                <w:sz w:val="22"/>
                <w:szCs w:val="22"/>
              </w:rPr>
              <w:t>para um funcionário público. O Sr/S</w:t>
            </w:r>
            <w:r w:rsidRPr="00AB315F">
              <w:rPr>
                <w:rFonts w:ascii="Calibri" w:hAnsi="Calibri"/>
                <w:b/>
                <w:bCs/>
                <w:sz w:val="22"/>
                <w:szCs w:val="22"/>
              </w:rPr>
              <w:t>ra. acredita que o que o que essa senhora fez é:</w:t>
            </w:r>
          </w:p>
        </w:tc>
        <w:tc>
          <w:tcPr>
            <w:tcW w:w="3380" w:type="dxa"/>
            <w:tcBorders>
              <w:top w:val="single" w:sz="4" w:space="0" w:color="auto"/>
              <w:left w:val="single" w:sz="4" w:space="0" w:color="auto"/>
              <w:bottom w:val="single" w:sz="4" w:space="0" w:color="auto"/>
              <w:right w:val="nil"/>
            </w:tcBorders>
            <w:shd w:val="clear" w:color="auto" w:fill="auto"/>
            <w:vAlign w:val="center"/>
            <w:hideMark/>
          </w:tcPr>
          <w:p w14:paraId="70ACDD66" w14:textId="21CD84D6" w:rsidR="001554C3" w:rsidRPr="00AB315F" w:rsidRDefault="001554C3" w:rsidP="007F2C6A">
            <w:pPr>
              <w:jc w:val="center"/>
              <w:rPr>
                <w:rFonts w:ascii="Calibri" w:hAnsi="Calibri"/>
                <w:b/>
                <w:bCs/>
                <w:sz w:val="22"/>
                <w:szCs w:val="22"/>
              </w:rPr>
            </w:pPr>
            <w:r w:rsidRPr="00AB315F">
              <w:rPr>
                <w:rFonts w:ascii="Calibri" w:hAnsi="Calibri"/>
                <w:b/>
                <w:bCs/>
                <w:sz w:val="22"/>
                <w:szCs w:val="22"/>
              </w:rPr>
              <w:t xml:space="preserve">Uma pessoa desempregada é cunhada de um político importante e esse usa sua posição para arrumar-lhe um emprego. O </w:t>
            </w:r>
            <w:r w:rsidR="007F2C6A">
              <w:rPr>
                <w:rFonts w:ascii="Calibri" w:hAnsi="Calibri"/>
                <w:b/>
                <w:bCs/>
                <w:sz w:val="22"/>
                <w:szCs w:val="22"/>
              </w:rPr>
              <w:t>Sr/S</w:t>
            </w:r>
            <w:r w:rsidRPr="00AB315F">
              <w:rPr>
                <w:rFonts w:ascii="Calibri" w:hAnsi="Calibri"/>
                <w:b/>
                <w:bCs/>
                <w:sz w:val="22"/>
                <w:szCs w:val="22"/>
              </w:rPr>
              <w:t>ra. acredita que o que o políticos fez é:</w:t>
            </w:r>
          </w:p>
        </w:tc>
      </w:tr>
    </w:tbl>
    <w:p w14:paraId="30F2214D" w14:textId="4DFCA9E8" w:rsidR="001F728A" w:rsidRPr="001F728A" w:rsidRDefault="001F728A" w:rsidP="001F728A">
      <w:pPr>
        <w:spacing w:line="360" w:lineRule="auto"/>
        <w:ind w:firstLine="708"/>
        <w:rPr>
          <w:rFonts w:ascii="Calibri" w:hAnsi="Calibri"/>
          <w:sz w:val="20"/>
          <w:szCs w:val="22"/>
        </w:rPr>
      </w:pPr>
      <w:r w:rsidRPr="001F728A">
        <w:rPr>
          <w:rFonts w:ascii="Calibri" w:hAnsi="Calibri"/>
          <w:sz w:val="20"/>
          <w:szCs w:val="22"/>
        </w:rPr>
        <w:t>Fonte</w:t>
      </w:r>
      <w:r>
        <w:rPr>
          <w:rFonts w:ascii="Calibri" w:hAnsi="Calibri"/>
          <w:sz w:val="20"/>
          <w:szCs w:val="22"/>
        </w:rPr>
        <w:t>:</w:t>
      </w:r>
      <w:r w:rsidR="00FD55AE">
        <w:rPr>
          <w:rFonts w:ascii="Calibri" w:hAnsi="Calibri"/>
          <w:sz w:val="20"/>
          <w:szCs w:val="22"/>
        </w:rPr>
        <w:t xml:space="preserve"> LAPOP 2008 -</w:t>
      </w:r>
      <w:r>
        <w:rPr>
          <w:rFonts w:ascii="Calibri" w:hAnsi="Calibri"/>
          <w:sz w:val="20"/>
          <w:szCs w:val="22"/>
        </w:rPr>
        <w:t xml:space="preserve"> elaboração própria</w:t>
      </w:r>
    </w:p>
    <w:p w14:paraId="1CBD51B3" w14:textId="77777777" w:rsidR="001554C3" w:rsidRPr="00AB315F" w:rsidRDefault="001554C3" w:rsidP="001554C3">
      <w:pPr>
        <w:spacing w:line="360" w:lineRule="auto"/>
        <w:ind w:firstLine="708"/>
        <w:jc w:val="both"/>
        <w:rPr>
          <w:rFonts w:asciiTheme="minorHAnsi" w:hAnsiTheme="minorHAnsi"/>
        </w:rPr>
      </w:pPr>
    </w:p>
    <w:p w14:paraId="25F40902" w14:textId="77777777" w:rsidR="001554C3" w:rsidRPr="00AB315F" w:rsidRDefault="001554C3" w:rsidP="001554C3">
      <w:pPr>
        <w:spacing w:line="360" w:lineRule="auto"/>
        <w:jc w:val="both"/>
        <w:rPr>
          <w:rFonts w:asciiTheme="minorHAnsi" w:hAnsiTheme="minorHAnsi"/>
        </w:rPr>
      </w:pPr>
      <w:r w:rsidRPr="00AB315F">
        <w:rPr>
          <w:rFonts w:asciiTheme="minorHAnsi" w:hAnsiTheme="minorHAnsi"/>
        </w:rPr>
        <w:t>A escala de resposta é nominal:</w:t>
      </w:r>
    </w:p>
    <w:tbl>
      <w:tblPr>
        <w:tblW w:w="3380" w:type="dxa"/>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3380"/>
      </w:tblGrid>
      <w:tr w:rsidR="001554C3" w:rsidRPr="00AB315F" w14:paraId="1054B0C8" w14:textId="77777777" w:rsidTr="00F439E9">
        <w:trPr>
          <w:trHeight w:val="290"/>
          <w:jc w:val="center"/>
        </w:trPr>
        <w:tc>
          <w:tcPr>
            <w:tcW w:w="3380" w:type="dxa"/>
            <w:shd w:val="clear" w:color="auto" w:fill="auto"/>
            <w:noWrap/>
            <w:vAlign w:val="bottom"/>
            <w:hideMark/>
          </w:tcPr>
          <w:p w14:paraId="1E0A686C" w14:textId="77777777" w:rsidR="001554C3" w:rsidRPr="00AB315F" w:rsidRDefault="001554C3" w:rsidP="00F439E9">
            <w:pPr>
              <w:jc w:val="both"/>
              <w:rPr>
                <w:rFonts w:ascii="Calibri" w:hAnsi="Calibri"/>
                <w:sz w:val="22"/>
                <w:szCs w:val="22"/>
              </w:rPr>
            </w:pPr>
            <w:r w:rsidRPr="00AB315F">
              <w:rPr>
                <w:rFonts w:ascii="Calibri" w:hAnsi="Calibri"/>
                <w:sz w:val="22"/>
                <w:szCs w:val="22"/>
              </w:rPr>
              <w:t>É corrupto e ela deve ser castigada</w:t>
            </w:r>
          </w:p>
        </w:tc>
      </w:tr>
      <w:tr w:rsidR="001554C3" w:rsidRPr="00AB315F" w14:paraId="7A6874EA" w14:textId="77777777" w:rsidTr="00F439E9">
        <w:trPr>
          <w:trHeight w:val="290"/>
          <w:jc w:val="center"/>
        </w:trPr>
        <w:tc>
          <w:tcPr>
            <w:tcW w:w="3380" w:type="dxa"/>
            <w:shd w:val="clear" w:color="auto" w:fill="auto"/>
            <w:noWrap/>
            <w:vAlign w:val="bottom"/>
            <w:hideMark/>
          </w:tcPr>
          <w:p w14:paraId="1C0EAF51" w14:textId="77777777" w:rsidR="001554C3" w:rsidRPr="00AB315F" w:rsidRDefault="001554C3" w:rsidP="00F439E9">
            <w:pPr>
              <w:jc w:val="both"/>
              <w:rPr>
                <w:rFonts w:ascii="Calibri" w:hAnsi="Calibri"/>
                <w:sz w:val="22"/>
                <w:szCs w:val="22"/>
              </w:rPr>
            </w:pPr>
            <w:r w:rsidRPr="00AB315F">
              <w:rPr>
                <w:rFonts w:ascii="Calibri" w:hAnsi="Calibri"/>
                <w:sz w:val="22"/>
                <w:szCs w:val="22"/>
              </w:rPr>
              <w:t>É corrupto, mas se justifica</w:t>
            </w:r>
          </w:p>
        </w:tc>
      </w:tr>
      <w:tr w:rsidR="001554C3" w:rsidRPr="00AB315F" w14:paraId="60C70C3F" w14:textId="77777777" w:rsidTr="00F439E9">
        <w:trPr>
          <w:trHeight w:val="290"/>
          <w:jc w:val="center"/>
        </w:trPr>
        <w:tc>
          <w:tcPr>
            <w:tcW w:w="3380" w:type="dxa"/>
            <w:shd w:val="clear" w:color="auto" w:fill="auto"/>
            <w:noWrap/>
            <w:vAlign w:val="bottom"/>
            <w:hideMark/>
          </w:tcPr>
          <w:p w14:paraId="145A2195" w14:textId="77777777" w:rsidR="001554C3" w:rsidRPr="00AB315F" w:rsidRDefault="001554C3" w:rsidP="00F439E9">
            <w:pPr>
              <w:jc w:val="both"/>
              <w:rPr>
                <w:rFonts w:ascii="Calibri" w:hAnsi="Calibri"/>
                <w:sz w:val="22"/>
                <w:szCs w:val="22"/>
              </w:rPr>
            </w:pPr>
            <w:r w:rsidRPr="00AB315F">
              <w:rPr>
                <w:rFonts w:ascii="Calibri" w:hAnsi="Calibri"/>
                <w:sz w:val="22"/>
                <w:szCs w:val="22"/>
              </w:rPr>
              <w:t>Não é corrupto</w:t>
            </w:r>
          </w:p>
        </w:tc>
      </w:tr>
      <w:tr w:rsidR="001554C3" w:rsidRPr="00AB315F" w14:paraId="2730CA6C" w14:textId="77777777" w:rsidTr="00F439E9">
        <w:trPr>
          <w:trHeight w:val="290"/>
          <w:jc w:val="center"/>
        </w:trPr>
        <w:tc>
          <w:tcPr>
            <w:tcW w:w="3380" w:type="dxa"/>
            <w:shd w:val="clear" w:color="auto" w:fill="auto"/>
            <w:noWrap/>
            <w:vAlign w:val="bottom"/>
            <w:hideMark/>
          </w:tcPr>
          <w:p w14:paraId="4F2DB2CA" w14:textId="77777777" w:rsidR="001554C3" w:rsidRPr="00AB315F" w:rsidRDefault="001554C3" w:rsidP="00F439E9">
            <w:pPr>
              <w:jc w:val="both"/>
              <w:rPr>
                <w:rFonts w:ascii="Calibri" w:hAnsi="Calibri"/>
                <w:sz w:val="22"/>
                <w:szCs w:val="22"/>
              </w:rPr>
            </w:pPr>
            <w:r w:rsidRPr="00AB315F">
              <w:rPr>
                <w:rFonts w:ascii="Calibri" w:hAnsi="Calibri"/>
                <w:sz w:val="22"/>
                <w:szCs w:val="22"/>
              </w:rPr>
              <w:t>NS/NR</w:t>
            </w:r>
          </w:p>
        </w:tc>
      </w:tr>
    </w:tbl>
    <w:p w14:paraId="15D25F50" w14:textId="77777777" w:rsidR="001554C3" w:rsidRPr="00AB315F" w:rsidRDefault="001554C3" w:rsidP="001554C3">
      <w:pPr>
        <w:spacing w:line="360" w:lineRule="auto"/>
        <w:jc w:val="both"/>
        <w:rPr>
          <w:rFonts w:asciiTheme="minorHAnsi" w:hAnsiTheme="minorHAnsi"/>
        </w:rPr>
      </w:pPr>
    </w:p>
    <w:p w14:paraId="429F3DE1" w14:textId="77777777" w:rsidR="001554C3" w:rsidRPr="00AB315F" w:rsidRDefault="001554C3" w:rsidP="001554C3">
      <w:pPr>
        <w:spacing w:line="360" w:lineRule="auto"/>
        <w:ind w:firstLine="708"/>
        <w:jc w:val="both"/>
        <w:rPr>
          <w:rFonts w:asciiTheme="minorHAnsi" w:hAnsiTheme="minorHAnsi"/>
        </w:rPr>
      </w:pPr>
      <w:r w:rsidRPr="00AB315F">
        <w:rPr>
          <w:rFonts w:asciiTheme="minorHAnsi" w:hAnsiTheme="minorHAnsi"/>
        </w:rPr>
        <w:t>Os entrevistados mexicanos são os que mais consideram a prática como corrupta, ao mesmo tempo, o México é o país com maior grau de intolerância às práticas. Por sua vez, os brasileiros são os que menos consideram a prática como corrupta e a Argentina é o único país com mais tolerantes do que intolerantes para o “cenário 1”.</w:t>
      </w:r>
    </w:p>
    <w:p w14:paraId="7215B4F4" w14:textId="29DEF2F5" w:rsidR="001554C3" w:rsidRDefault="008947A7" w:rsidP="008947A7">
      <w:pPr>
        <w:spacing w:line="360" w:lineRule="auto"/>
        <w:jc w:val="center"/>
        <w:rPr>
          <w:rFonts w:asciiTheme="minorHAnsi" w:hAnsiTheme="minorHAnsi"/>
          <w:b/>
        </w:rPr>
      </w:pPr>
      <w:r w:rsidRPr="008947A7">
        <w:rPr>
          <w:rFonts w:asciiTheme="minorHAnsi" w:hAnsiTheme="minorHAnsi"/>
          <w:b/>
        </w:rPr>
        <w:lastRenderedPageBreak/>
        <w:t>Gráfico 5. Taxa de “não-respostas” para o cenário 1</w:t>
      </w:r>
      <w:r>
        <w:rPr>
          <w:rFonts w:asciiTheme="minorHAnsi" w:hAnsiTheme="minorHAnsi"/>
        </w:rPr>
        <w:br/>
      </w:r>
      <w:r w:rsidR="001554C3" w:rsidRPr="00AB315F">
        <w:rPr>
          <w:noProof/>
        </w:rPr>
        <w:drawing>
          <wp:inline distT="0" distB="0" distL="0" distR="0" wp14:anchorId="2C7DA683" wp14:editId="4314489D">
            <wp:extent cx="5367020" cy="2210462"/>
            <wp:effectExtent l="0" t="0" r="5080" b="18415"/>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09360B8" w14:textId="38FD9B1D"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 </w:t>
      </w:r>
      <w:r>
        <w:rPr>
          <w:rFonts w:ascii="Calibri" w:hAnsi="Calibri"/>
          <w:sz w:val="20"/>
          <w:szCs w:val="22"/>
        </w:rPr>
        <w:t>elaboração própria</w:t>
      </w:r>
    </w:p>
    <w:p w14:paraId="691B7140" w14:textId="77777777" w:rsidR="008947A7" w:rsidRDefault="008947A7" w:rsidP="008947A7">
      <w:pPr>
        <w:spacing w:line="360" w:lineRule="auto"/>
        <w:jc w:val="center"/>
        <w:rPr>
          <w:rFonts w:asciiTheme="minorHAnsi" w:hAnsiTheme="minorHAnsi"/>
        </w:rPr>
      </w:pPr>
    </w:p>
    <w:p w14:paraId="45CBFB23" w14:textId="5CD492B1" w:rsidR="001554C3" w:rsidRPr="00AB315F" w:rsidRDefault="008947A7" w:rsidP="008947A7">
      <w:pPr>
        <w:spacing w:line="360" w:lineRule="auto"/>
        <w:jc w:val="center"/>
        <w:rPr>
          <w:rFonts w:asciiTheme="minorHAnsi" w:hAnsiTheme="minorHAnsi"/>
        </w:rPr>
      </w:pPr>
      <w:r w:rsidRPr="008947A7">
        <w:rPr>
          <w:rFonts w:asciiTheme="minorHAnsi" w:hAnsiTheme="minorHAnsi"/>
          <w:b/>
        </w:rPr>
        <w:t xml:space="preserve">Gráfico </w:t>
      </w:r>
      <w:r>
        <w:rPr>
          <w:rFonts w:asciiTheme="minorHAnsi" w:hAnsiTheme="minorHAnsi"/>
          <w:b/>
        </w:rPr>
        <w:t>6</w:t>
      </w:r>
      <w:r w:rsidRPr="008947A7">
        <w:rPr>
          <w:rFonts w:asciiTheme="minorHAnsi" w:hAnsiTheme="minorHAnsi"/>
          <w:b/>
        </w:rPr>
        <w:t xml:space="preserve">. Taxa de “não-respostas” para o cenário </w:t>
      </w:r>
      <w:r>
        <w:rPr>
          <w:rFonts w:asciiTheme="minorHAnsi" w:hAnsiTheme="minorHAnsi"/>
          <w:b/>
        </w:rPr>
        <w:t>2</w:t>
      </w:r>
      <w:r>
        <w:rPr>
          <w:rFonts w:asciiTheme="minorHAnsi" w:hAnsiTheme="minorHAnsi"/>
        </w:rPr>
        <w:br/>
      </w:r>
      <w:r w:rsidR="001554C3" w:rsidRPr="00AB315F">
        <w:rPr>
          <w:noProof/>
        </w:rPr>
        <w:drawing>
          <wp:inline distT="0" distB="0" distL="0" distR="0" wp14:anchorId="528707F9" wp14:editId="5DE12100">
            <wp:extent cx="5382895" cy="2369488"/>
            <wp:effectExtent l="0" t="0" r="8255" b="12065"/>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BEFFB95" w14:textId="74347E4D"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 </w:t>
      </w:r>
      <w:r>
        <w:rPr>
          <w:rFonts w:ascii="Calibri" w:hAnsi="Calibri"/>
          <w:sz w:val="20"/>
          <w:szCs w:val="22"/>
        </w:rPr>
        <w:t>elaboração própria</w:t>
      </w:r>
    </w:p>
    <w:p w14:paraId="3D6E495A" w14:textId="77777777" w:rsidR="001554C3" w:rsidRPr="00AB315F" w:rsidRDefault="001554C3" w:rsidP="001554C3">
      <w:pPr>
        <w:spacing w:line="360" w:lineRule="auto"/>
        <w:ind w:firstLine="708"/>
        <w:jc w:val="both"/>
        <w:rPr>
          <w:rFonts w:asciiTheme="minorHAnsi" w:hAnsiTheme="minorHAnsi"/>
        </w:rPr>
      </w:pPr>
    </w:p>
    <w:p w14:paraId="4B00E127"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Existem diferenças entre contextos sobre a aceitação e a própria consideração dos entrevistados sobre o ato ser ou não corrupto. A diferença parece ser sistemática quando consideramos os dois cenários. O item “cenário 2” é claramente menos aceito para os quatro países, o que pode evidenciar uma carga moral mais alta relacionada ao “cenário 2” em detrimento do “cenário 1”. Ou seja, no caso de viés de desejabilidade social, este transitaria pelos quatro países quando se compara o “cenário 1” com o “cenário 2”, isto é, o viés é consistente ao atravessar contextos.</w:t>
      </w:r>
    </w:p>
    <w:p w14:paraId="7BCA7EBD"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lastRenderedPageBreak/>
        <w:t xml:space="preserve">Uma observação importante, as duas perguntas da base de dados do Barômetro das américas não estão isentas do viés de desejabilidade, pelo contrário, decidir que a atitude não é corrupta pode significar uma opinião altamente indesejada. Portanto, existem erros de medida das respostas dadas aos dois cenários e, possivelmente estão atrelados ao viés de desejo social que o conteúdo da questão evoca.  </w:t>
      </w:r>
    </w:p>
    <w:p w14:paraId="226D163E"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A terceira etapa, </w:t>
      </w:r>
      <w:r w:rsidRPr="00AB315F">
        <w:rPr>
          <w:rFonts w:asciiTheme="minorHAnsi" w:hAnsiTheme="minorHAnsi"/>
          <w:i/>
        </w:rPr>
        <w:t xml:space="preserve">escolher informações para realizar julgamentos, </w:t>
      </w:r>
      <w:r w:rsidRPr="00AB315F">
        <w:rPr>
          <w:rFonts w:asciiTheme="minorHAnsi" w:hAnsiTheme="minorHAnsi"/>
        </w:rPr>
        <w:t>é considerada aqui o momento em que a desejabilidade social se solidifica enquanto viés de resposta.</w:t>
      </w:r>
    </w:p>
    <w:p w14:paraId="4DFB0C7C"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Na etapa anterior, a carga moral da pergunta emerge quando o indivíduo resgata memórias e informações pertinentes ao tema – conforme argumentado, provavelmente já carregadas com viés de seleção por aspectos de desejo social -  nesta etapa o indivíduo escolhe as informações centrais ao tema e tece julgamentos sobre o mesmo baseado na pergunta.</w:t>
      </w:r>
    </w:p>
    <w:p w14:paraId="331AC139"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Aqui, o julgamento pode estar relacionado ao “clima de opinião” e, ao considerar a possibilidade de viés por conta da pressão normativa que a opinião pública gera sobre os entrevistados, o desejo social pode então ser um fator preponderante. </w:t>
      </w:r>
    </w:p>
    <w:p w14:paraId="247368D2"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Na quarta e última etapa, </w:t>
      </w:r>
      <w:r w:rsidRPr="00AB315F">
        <w:rPr>
          <w:rFonts w:asciiTheme="minorHAnsi" w:hAnsiTheme="minorHAnsi"/>
          <w:i/>
        </w:rPr>
        <w:t xml:space="preserve">adaptar o julgamento para a escala de resposta da questão, </w:t>
      </w:r>
      <w:r w:rsidRPr="00AB315F">
        <w:rPr>
          <w:rFonts w:asciiTheme="minorHAnsi" w:hAnsiTheme="minorHAnsi"/>
        </w:rPr>
        <w:t>o erro de medida deve estar associado à dificuldade com que respondentes tem em adequar julgamento à escala de resposta dada.</w:t>
      </w:r>
    </w:p>
    <w:p w14:paraId="7A891435" w14:textId="63C0047A"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Imagine se os itens de pergunta das variáveis observadas do constructo de aceitação fossem </w:t>
      </w:r>
      <w:r w:rsidR="007F2C6A" w:rsidRPr="00AB315F">
        <w:rPr>
          <w:rFonts w:asciiTheme="minorHAnsi" w:hAnsiTheme="minorHAnsi"/>
        </w:rPr>
        <w:t>dicotômicos</w:t>
      </w:r>
      <w:r w:rsidRPr="00AB315F">
        <w:rPr>
          <w:rFonts w:asciiTheme="minorHAnsi" w:hAnsiTheme="minorHAnsi"/>
        </w:rPr>
        <w:t xml:space="preserve">, o resultado poderia ser diferente? Infelizmente não temos uma base de dados com itens de resposta em escalas diferentes, entretanto tenta-se analisar a possível diferença entre resultados a partir do banco de dados do Barômetro das Américas (LAPOP) de 2006. </w:t>
      </w:r>
    </w:p>
    <w:p w14:paraId="77D91FE0" w14:textId="77777777" w:rsidR="001554C3" w:rsidRDefault="001554C3" w:rsidP="001554C3">
      <w:pPr>
        <w:spacing w:after="240" w:line="360" w:lineRule="auto"/>
        <w:ind w:firstLine="708"/>
        <w:jc w:val="both"/>
        <w:rPr>
          <w:rFonts w:asciiTheme="minorHAnsi" w:hAnsiTheme="minorHAnsi"/>
        </w:rPr>
      </w:pPr>
      <w:r w:rsidRPr="00AB315F">
        <w:rPr>
          <w:rFonts w:asciiTheme="minorHAnsi" w:hAnsiTheme="minorHAnsi"/>
        </w:rPr>
        <w:t>Neste banco de dados, foi perguntado ao entrevistado se “</w:t>
      </w:r>
      <w:r w:rsidRPr="00AB315F">
        <w:rPr>
          <w:rFonts w:asciiTheme="minorHAnsi" w:hAnsiTheme="minorHAnsi"/>
          <w:i/>
        </w:rPr>
        <w:t>da forma como as coisas estão, o Sr.(a) acha que às vezes se justifica pagar uma propina (suborno)?”</w:t>
      </w:r>
      <w:r w:rsidRPr="00AB315F">
        <w:rPr>
          <w:rFonts w:asciiTheme="minorHAnsi" w:hAnsiTheme="minorHAnsi"/>
        </w:rPr>
        <w:t xml:space="preserve">. A escala de resposta é “sim” ou “não”. </w:t>
      </w:r>
    </w:p>
    <w:p w14:paraId="6E85AC39" w14:textId="77777777" w:rsidR="009A15B7" w:rsidRDefault="009A15B7" w:rsidP="001554C3">
      <w:pPr>
        <w:spacing w:after="240" w:line="360" w:lineRule="auto"/>
        <w:ind w:firstLine="708"/>
        <w:jc w:val="both"/>
        <w:rPr>
          <w:rFonts w:asciiTheme="minorHAnsi" w:hAnsiTheme="minorHAnsi"/>
        </w:rPr>
      </w:pPr>
    </w:p>
    <w:p w14:paraId="620C8676" w14:textId="08A12C78" w:rsidR="008947A7" w:rsidRPr="008947A7" w:rsidRDefault="008947A7" w:rsidP="008947A7">
      <w:pPr>
        <w:spacing w:after="240" w:line="360" w:lineRule="auto"/>
        <w:jc w:val="center"/>
        <w:rPr>
          <w:rFonts w:asciiTheme="minorHAnsi" w:hAnsiTheme="minorHAnsi"/>
          <w:b/>
        </w:rPr>
      </w:pPr>
      <w:r w:rsidRPr="008947A7">
        <w:rPr>
          <w:rFonts w:asciiTheme="minorHAnsi" w:hAnsiTheme="minorHAnsi"/>
          <w:b/>
        </w:rPr>
        <w:lastRenderedPageBreak/>
        <w:t>Tabela 3. Indicadores de aceitação Lapop 2006 e WVS 2006</w:t>
      </w:r>
    </w:p>
    <w:tbl>
      <w:tblPr>
        <w:tblW w:w="8219" w:type="dxa"/>
        <w:jc w:val="center"/>
        <w:tblCellMar>
          <w:left w:w="70" w:type="dxa"/>
          <w:right w:w="70" w:type="dxa"/>
        </w:tblCellMar>
        <w:tblLook w:val="04A0" w:firstRow="1" w:lastRow="0" w:firstColumn="1" w:lastColumn="0" w:noHBand="0" w:noVBand="1"/>
      </w:tblPr>
      <w:tblGrid>
        <w:gridCol w:w="764"/>
        <w:gridCol w:w="521"/>
        <w:gridCol w:w="2105"/>
        <w:gridCol w:w="685"/>
        <w:gridCol w:w="751"/>
        <w:gridCol w:w="521"/>
        <w:gridCol w:w="2067"/>
        <w:gridCol w:w="805"/>
      </w:tblGrid>
      <w:tr w:rsidR="001554C3" w:rsidRPr="00AB315F" w14:paraId="34F03E77" w14:textId="77777777" w:rsidTr="00F439E9">
        <w:trPr>
          <w:trHeight w:val="300"/>
          <w:jc w:val="center"/>
        </w:trPr>
        <w:tc>
          <w:tcPr>
            <w:tcW w:w="4075" w:type="dxa"/>
            <w:gridSpan w:val="4"/>
            <w:tcBorders>
              <w:top w:val="single" w:sz="4" w:space="0" w:color="auto"/>
              <w:bottom w:val="single" w:sz="4" w:space="0" w:color="auto"/>
              <w:right w:val="single" w:sz="4" w:space="0" w:color="auto"/>
            </w:tcBorders>
            <w:shd w:val="clear" w:color="auto" w:fill="auto"/>
            <w:noWrap/>
            <w:vAlign w:val="center"/>
            <w:hideMark/>
          </w:tcPr>
          <w:p w14:paraId="3AEB760A"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Brasil</w:t>
            </w:r>
          </w:p>
        </w:tc>
        <w:tc>
          <w:tcPr>
            <w:tcW w:w="4144" w:type="dxa"/>
            <w:gridSpan w:val="4"/>
            <w:tcBorders>
              <w:top w:val="single" w:sz="4" w:space="0" w:color="auto"/>
              <w:left w:val="single" w:sz="4" w:space="0" w:color="auto"/>
              <w:bottom w:val="single" w:sz="4" w:space="0" w:color="auto"/>
            </w:tcBorders>
            <w:shd w:val="clear" w:color="auto" w:fill="auto"/>
            <w:noWrap/>
            <w:vAlign w:val="center"/>
            <w:hideMark/>
          </w:tcPr>
          <w:p w14:paraId="761C40D6"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Argentina</w:t>
            </w:r>
          </w:p>
        </w:tc>
      </w:tr>
      <w:tr w:rsidR="001554C3" w:rsidRPr="00AB315F" w14:paraId="5BD34185" w14:textId="77777777" w:rsidTr="00F439E9">
        <w:trPr>
          <w:trHeight w:val="290"/>
          <w:jc w:val="center"/>
        </w:trPr>
        <w:tc>
          <w:tcPr>
            <w:tcW w:w="1285" w:type="dxa"/>
            <w:gridSpan w:val="2"/>
            <w:tcBorders>
              <w:top w:val="single" w:sz="4" w:space="0" w:color="auto"/>
              <w:left w:val="nil"/>
              <w:bottom w:val="single" w:sz="4" w:space="0" w:color="auto"/>
              <w:right w:val="nil"/>
            </w:tcBorders>
            <w:shd w:val="clear" w:color="auto" w:fill="auto"/>
            <w:noWrap/>
            <w:vAlign w:val="center"/>
            <w:hideMark/>
          </w:tcPr>
          <w:p w14:paraId="7F992448"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LAPOP 2006</w:t>
            </w:r>
          </w:p>
        </w:tc>
        <w:tc>
          <w:tcPr>
            <w:tcW w:w="2790" w:type="dxa"/>
            <w:gridSpan w:val="2"/>
            <w:tcBorders>
              <w:top w:val="single" w:sz="4" w:space="0" w:color="auto"/>
              <w:left w:val="single" w:sz="4" w:space="0" w:color="auto"/>
              <w:bottom w:val="single" w:sz="4" w:space="0" w:color="auto"/>
              <w:right w:val="nil"/>
            </w:tcBorders>
            <w:shd w:val="clear" w:color="auto" w:fill="auto"/>
            <w:noWrap/>
            <w:vAlign w:val="center"/>
            <w:hideMark/>
          </w:tcPr>
          <w:p w14:paraId="3111E22E"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WVS 2006</w:t>
            </w:r>
          </w:p>
        </w:tc>
        <w:tc>
          <w:tcPr>
            <w:tcW w:w="1272" w:type="dxa"/>
            <w:gridSpan w:val="2"/>
            <w:tcBorders>
              <w:top w:val="single" w:sz="4" w:space="0" w:color="auto"/>
              <w:left w:val="single" w:sz="4" w:space="0" w:color="auto"/>
              <w:bottom w:val="single" w:sz="4" w:space="0" w:color="auto"/>
              <w:right w:val="nil"/>
            </w:tcBorders>
            <w:shd w:val="clear" w:color="auto" w:fill="auto"/>
            <w:noWrap/>
            <w:vAlign w:val="center"/>
            <w:hideMark/>
          </w:tcPr>
          <w:p w14:paraId="161EDAA7"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LAPOP 2006</w:t>
            </w:r>
          </w:p>
        </w:tc>
        <w:tc>
          <w:tcPr>
            <w:tcW w:w="2872" w:type="dxa"/>
            <w:gridSpan w:val="2"/>
            <w:tcBorders>
              <w:top w:val="single" w:sz="4" w:space="0" w:color="auto"/>
              <w:left w:val="single" w:sz="4" w:space="0" w:color="auto"/>
              <w:bottom w:val="single" w:sz="4" w:space="0" w:color="auto"/>
              <w:right w:val="nil"/>
            </w:tcBorders>
            <w:shd w:val="clear" w:color="auto" w:fill="auto"/>
            <w:noWrap/>
            <w:vAlign w:val="center"/>
            <w:hideMark/>
          </w:tcPr>
          <w:p w14:paraId="38B6E746"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WVS 2006</w:t>
            </w:r>
          </w:p>
        </w:tc>
      </w:tr>
      <w:tr w:rsidR="001554C3" w:rsidRPr="00AB315F" w14:paraId="76BFAB9C" w14:textId="77777777" w:rsidTr="00F439E9">
        <w:trPr>
          <w:trHeight w:val="290"/>
          <w:jc w:val="center"/>
        </w:trPr>
        <w:tc>
          <w:tcPr>
            <w:tcW w:w="764" w:type="dxa"/>
            <w:tcBorders>
              <w:top w:val="single" w:sz="4" w:space="0" w:color="auto"/>
              <w:left w:val="nil"/>
              <w:bottom w:val="nil"/>
              <w:right w:val="nil"/>
            </w:tcBorders>
            <w:shd w:val="clear" w:color="auto" w:fill="auto"/>
            <w:noWrap/>
            <w:vAlign w:val="center"/>
            <w:hideMark/>
          </w:tcPr>
          <w:p w14:paraId="52856408" w14:textId="77777777" w:rsidR="001554C3" w:rsidRPr="00AB315F" w:rsidRDefault="001554C3" w:rsidP="00F439E9">
            <w:pPr>
              <w:jc w:val="center"/>
              <w:rPr>
                <w:rFonts w:ascii="Calibri" w:hAnsi="Calibri"/>
                <w:sz w:val="22"/>
                <w:szCs w:val="22"/>
              </w:rPr>
            </w:pPr>
            <w:r w:rsidRPr="00AB315F">
              <w:rPr>
                <w:rFonts w:ascii="Calibri" w:hAnsi="Calibri"/>
                <w:sz w:val="22"/>
                <w:szCs w:val="22"/>
              </w:rPr>
              <w:t>Não</w:t>
            </w:r>
          </w:p>
        </w:tc>
        <w:tc>
          <w:tcPr>
            <w:tcW w:w="521" w:type="dxa"/>
            <w:tcBorders>
              <w:top w:val="single" w:sz="4" w:space="0" w:color="auto"/>
              <w:left w:val="nil"/>
              <w:bottom w:val="nil"/>
              <w:right w:val="nil"/>
            </w:tcBorders>
            <w:shd w:val="clear" w:color="auto" w:fill="auto"/>
            <w:noWrap/>
            <w:vAlign w:val="center"/>
            <w:hideMark/>
          </w:tcPr>
          <w:p w14:paraId="625B6324" w14:textId="77777777" w:rsidR="001554C3" w:rsidRPr="00AB315F" w:rsidRDefault="001554C3" w:rsidP="00F439E9">
            <w:pPr>
              <w:jc w:val="center"/>
              <w:rPr>
                <w:rFonts w:ascii="Calibri" w:hAnsi="Calibri"/>
                <w:sz w:val="22"/>
                <w:szCs w:val="22"/>
              </w:rPr>
            </w:pPr>
            <w:r w:rsidRPr="00AB315F">
              <w:rPr>
                <w:rFonts w:ascii="Calibri" w:hAnsi="Calibri"/>
                <w:sz w:val="22"/>
                <w:szCs w:val="22"/>
              </w:rPr>
              <w:t>88%</w:t>
            </w:r>
          </w:p>
        </w:tc>
        <w:tc>
          <w:tcPr>
            <w:tcW w:w="2105" w:type="dxa"/>
            <w:tcBorders>
              <w:top w:val="single" w:sz="4" w:space="0" w:color="auto"/>
              <w:left w:val="single" w:sz="4" w:space="0" w:color="auto"/>
              <w:bottom w:val="nil"/>
              <w:right w:val="nil"/>
            </w:tcBorders>
            <w:shd w:val="clear" w:color="auto" w:fill="auto"/>
            <w:noWrap/>
            <w:vAlign w:val="center"/>
            <w:hideMark/>
          </w:tcPr>
          <w:p w14:paraId="66F74CEB" w14:textId="77777777" w:rsidR="001554C3" w:rsidRPr="00AB315F" w:rsidRDefault="001554C3" w:rsidP="00F439E9">
            <w:pPr>
              <w:jc w:val="center"/>
              <w:rPr>
                <w:rFonts w:ascii="Calibri" w:hAnsi="Calibri"/>
                <w:sz w:val="22"/>
                <w:szCs w:val="22"/>
              </w:rPr>
            </w:pPr>
            <w:r w:rsidRPr="00AB315F">
              <w:rPr>
                <w:rFonts w:ascii="Calibri" w:hAnsi="Calibri"/>
                <w:sz w:val="22"/>
                <w:szCs w:val="22"/>
              </w:rPr>
              <w:t>Nunca se justifica</w:t>
            </w:r>
          </w:p>
        </w:tc>
        <w:tc>
          <w:tcPr>
            <w:tcW w:w="685" w:type="dxa"/>
            <w:tcBorders>
              <w:top w:val="single" w:sz="4" w:space="0" w:color="auto"/>
              <w:left w:val="nil"/>
              <w:bottom w:val="nil"/>
              <w:right w:val="nil"/>
            </w:tcBorders>
            <w:shd w:val="clear" w:color="auto" w:fill="auto"/>
            <w:vAlign w:val="center"/>
            <w:hideMark/>
          </w:tcPr>
          <w:p w14:paraId="384EC257" w14:textId="77777777" w:rsidR="001554C3" w:rsidRPr="00AB315F" w:rsidRDefault="001554C3" w:rsidP="00F439E9">
            <w:pPr>
              <w:jc w:val="center"/>
              <w:rPr>
                <w:rFonts w:ascii="Calibri" w:hAnsi="Calibri"/>
                <w:sz w:val="22"/>
                <w:szCs w:val="22"/>
              </w:rPr>
            </w:pPr>
            <w:r w:rsidRPr="00AB315F">
              <w:rPr>
                <w:rFonts w:ascii="Calibri" w:hAnsi="Calibri"/>
                <w:sz w:val="22"/>
                <w:szCs w:val="22"/>
              </w:rPr>
              <w:t>71%</w:t>
            </w:r>
          </w:p>
        </w:tc>
        <w:tc>
          <w:tcPr>
            <w:tcW w:w="751" w:type="dxa"/>
            <w:tcBorders>
              <w:top w:val="single" w:sz="4" w:space="0" w:color="auto"/>
              <w:left w:val="single" w:sz="4" w:space="0" w:color="auto"/>
              <w:bottom w:val="nil"/>
              <w:right w:val="nil"/>
            </w:tcBorders>
            <w:shd w:val="clear" w:color="auto" w:fill="auto"/>
            <w:noWrap/>
            <w:vAlign w:val="center"/>
            <w:hideMark/>
          </w:tcPr>
          <w:p w14:paraId="40825DD2" w14:textId="77777777" w:rsidR="001554C3" w:rsidRPr="00AB315F" w:rsidRDefault="001554C3" w:rsidP="00F439E9">
            <w:pPr>
              <w:jc w:val="center"/>
              <w:rPr>
                <w:rFonts w:ascii="Calibri" w:hAnsi="Calibri"/>
                <w:sz w:val="22"/>
                <w:szCs w:val="22"/>
              </w:rPr>
            </w:pPr>
            <w:r w:rsidRPr="00AB315F">
              <w:rPr>
                <w:rFonts w:ascii="Calibri" w:hAnsi="Calibri"/>
                <w:sz w:val="22"/>
                <w:szCs w:val="22"/>
              </w:rPr>
              <w:t>Não</w:t>
            </w:r>
          </w:p>
        </w:tc>
        <w:tc>
          <w:tcPr>
            <w:tcW w:w="521" w:type="dxa"/>
            <w:tcBorders>
              <w:top w:val="single" w:sz="4" w:space="0" w:color="auto"/>
              <w:left w:val="nil"/>
              <w:bottom w:val="nil"/>
              <w:right w:val="nil"/>
            </w:tcBorders>
            <w:shd w:val="clear" w:color="auto" w:fill="auto"/>
            <w:noWrap/>
            <w:vAlign w:val="center"/>
            <w:hideMark/>
          </w:tcPr>
          <w:p w14:paraId="64560F70" w14:textId="77777777" w:rsidR="001554C3" w:rsidRPr="00AB315F" w:rsidRDefault="001554C3" w:rsidP="00F439E9">
            <w:pPr>
              <w:jc w:val="center"/>
              <w:rPr>
                <w:rFonts w:ascii="Calibri" w:hAnsi="Calibri"/>
                <w:sz w:val="22"/>
                <w:szCs w:val="22"/>
              </w:rPr>
            </w:pPr>
            <w:r w:rsidRPr="00AB315F">
              <w:rPr>
                <w:rFonts w:ascii="Calibri" w:hAnsi="Calibri"/>
                <w:sz w:val="22"/>
                <w:szCs w:val="22"/>
              </w:rPr>
              <w:t>67%</w:t>
            </w:r>
          </w:p>
        </w:tc>
        <w:tc>
          <w:tcPr>
            <w:tcW w:w="2067" w:type="dxa"/>
            <w:tcBorders>
              <w:top w:val="single" w:sz="4" w:space="0" w:color="auto"/>
              <w:left w:val="single" w:sz="4" w:space="0" w:color="auto"/>
              <w:bottom w:val="nil"/>
              <w:right w:val="nil"/>
            </w:tcBorders>
            <w:shd w:val="clear" w:color="auto" w:fill="auto"/>
            <w:noWrap/>
            <w:vAlign w:val="center"/>
            <w:hideMark/>
          </w:tcPr>
          <w:p w14:paraId="549B26D6" w14:textId="77777777" w:rsidR="001554C3" w:rsidRPr="00AB315F" w:rsidRDefault="001554C3" w:rsidP="00F439E9">
            <w:pPr>
              <w:jc w:val="center"/>
              <w:rPr>
                <w:rFonts w:ascii="Calibri" w:hAnsi="Calibri"/>
                <w:sz w:val="22"/>
                <w:szCs w:val="22"/>
              </w:rPr>
            </w:pPr>
            <w:r w:rsidRPr="00AB315F">
              <w:rPr>
                <w:rFonts w:ascii="Calibri" w:hAnsi="Calibri"/>
                <w:sz w:val="22"/>
                <w:szCs w:val="22"/>
              </w:rPr>
              <w:t>Nunca se justifica</w:t>
            </w:r>
          </w:p>
        </w:tc>
        <w:tc>
          <w:tcPr>
            <w:tcW w:w="805" w:type="dxa"/>
            <w:tcBorders>
              <w:top w:val="single" w:sz="4" w:space="0" w:color="auto"/>
              <w:left w:val="nil"/>
              <w:bottom w:val="nil"/>
              <w:right w:val="nil"/>
            </w:tcBorders>
            <w:shd w:val="clear" w:color="auto" w:fill="auto"/>
            <w:noWrap/>
            <w:vAlign w:val="center"/>
            <w:hideMark/>
          </w:tcPr>
          <w:p w14:paraId="5F2DAFD7" w14:textId="77777777" w:rsidR="001554C3" w:rsidRPr="00AB315F" w:rsidRDefault="001554C3" w:rsidP="00F439E9">
            <w:pPr>
              <w:jc w:val="center"/>
              <w:rPr>
                <w:rFonts w:ascii="Calibri" w:hAnsi="Calibri"/>
                <w:sz w:val="22"/>
                <w:szCs w:val="22"/>
              </w:rPr>
            </w:pPr>
            <w:r w:rsidRPr="00AB315F">
              <w:rPr>
                <w:rFonts w:ascii="Calibri" w:hAnsi="Calibri"/>
                <w:sz w:val="22"/>
                <w:szCs w:val="22"/>
              </w:rPr>
              <w:t>89%</w:t>
            </w:r>
          </w:p>
        </w:tc>
      </w:tr>
      <w:tr w:rsidR="001554C3" w:rsidRPr="00AB315F" w14:paraId="64015213" w14:textId="77777777" w:rsidTr="00F439E9">
        <w:trPr>
          <w:trHeight w:val="290"/>
          <w:jc w:val="center"/>
        </w:trPr>
        <w:tc>
          <w:tcPr>
            <w:tcW w:w="764" w:type="dxa"/>
            <w:tcBorders>
              <w:top w:val="nil"/>
              <w:left w:val="nil"/>
              <w:bottom w:val="nil"/>
              <w:right w:val="nil"/>
            </w:tcBorders>
            <w:shd w:val="clear" w:color="auto" w:fill="auto"/>
            <w:noWrap/>
            <w:vAlign w:val="center"/>
            <w:hideMark/>
          </w:tcPr>
          <w:p w14:paraId="32277E14" w14:textId="77777777" w:rsidR="001554C3" w:rsidRPr="00AB315F" w:rsidRDefault="001554C3" w:rsidP="00F439E9">
            <w:pPr>
              <w:jc w:val="center"/>
              <w:rPr>
                <w:rFonts w:ascii="Calibri" w:hAnsi="Calibri"/>
                <w:sz w:val="22"/>
                <w:szCs w:val="22"/>
              </w:rPr>
            </w:pPr>
            <w:r w:rsidRPr="00AB315F">
              <w:rPr>
                <w:rFonts w:ascii="Calibri" w:hAnsi="Calibri"/>
                <w:sz w:val="22"/>
                <w:szCs w:val="22"/>
              </w:rPr>
              <w:t>Sim</w:t>
            </w:r>
          </w:p>
        </w:tc>
        <w:tc>
          <w:tcPr>
            <w:tcW w:w="521" w:type="dxa"/>
            <w:tcBorders>
              <w:top w:val="nil"/>
              <w:left w:val="nil"/>
              <w:bottom w:val="nil"/>
              <w:right w:val="nil"/>
            </w:tcBorders>
            <w:shd w:val="clear" w:color="auto" w:fill="auto"/>
            <w:noWrap/>
            <w:vAlign w:val="center"/>
            <w:hideMark/>
          </w:tcPr>
          <w:p w14:paraId="301C893A" w14:textId="77777777" w:rsidR="001554C3" w:rsidRPr="00AB315F" w:rsidRDefault="001554C3" w:rsidP="00F439E9">
            <w:pPr>
              <w:jc w:val="center"/>
              <w:rPr>
                <w:rFonts w:ascii="Calibri" w:hAnsi="Calibri"/>
                <w:sz w:val="22"/>
                <w:szCs w:val="22"/>
              </w:rPr>
            </w:pPr>
            <w:r w:rsidRPr="00AB315F">
              <w:rPr>
                <w:rFonts w:ascii="Calibri" w:hAnsi="Calibri"/>
                <w:sz w:val="22"/>
                <w:szCs w:val="22"/>
              </w:rPr>
              <w:t>11%</w:t>
            </w:r>
          </w:p>
        </w:tc>
        <w:tc>
          <w:tcPr>
            <w:tcW w:w="2105" w:type="dxa"/>
            <w:tcBorders>
              <w:top w:val="nil"/>
              <w:left w:val="single" w:sz="4" w:space="0" w:color="auto"/>
              <w:bottom w:val="nil"/>
              <w:right w:val="nil"/>
            </w:tcBorders>
            <w:shd w:val="clear" w:color="auto" w:fill="auto"/>
            <w:noWrap/>
            <w:vAlign w:val="center"/>
            <w:hideMark/>
          </w:tcPr>
          <w:p w14:paraId="51C9463E"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c>
          <w:tcPr>
            <w:tcW w:w="685" w:type="dxa"/>
            <w:tcBorders>
              <w:top w:val="nil"/>
              <w:left w:val="nil"/>
              <w:bottom w:val="nil"/>
              <w:right w:val="nil"/>
            </w:tcBorders>
            <w:shd w:val="clear" w:color="auto" w:fill="auto"/>
            <w:vAlign w:val="center"/>
            <w:hideMark/>
          </w:tcPr>
          <w:p w14:paraId="3198A000" w14:textId="77777777" w:rsidR="001554C3" w:rsidRPr="00AB315F" w:rsidRDefault="001554C3" w:rsidP="00F439E9">
            <w:pPr>
              <w:jc w:val="center"/>
              <w:rPr>
                <w:rFonts w:ascii="Calibri" w:hAnsi="Calibri"/>
                <w:sz w:val="22"/>
                <w:szCs w:val="22"/>
              </w:rPr>
            </w:pPr>
            <w:r w:rsidRPr="00AB315F">
              <w:rPr>
                <w:rFonts w:ascii="Calibri" w:hAnsi="Calibri"/>
                <w:sz w:val="22"/>
                <w:szCs w:val="22"/>
              </w:rPr>
              <w:t>8%</w:t>
            </w:r>
          </w:p>
        </w:tc>
        <w:tc>
          <w:tcPr>
            <w:tcW w:w="751" w:type="dxa"/>
            <w:tcBorders>
              <w:top w:val="nil"/>
              <w:left w:val="single" w:sz="4" w:space="0" w:color="auto"/>
              <w:bottom w:val="nil"/>
              <w:right w:val="nil"/>
            </w:tcBorders>
            <w:shd w:val="clear" w:color="auto" w:fill="auto"/>
            <w:noWrap/>
            <w:vAlign w:val="center"/>
            <w:hideMark/>
          </w:tcPr>
          <w:p w14:paraId="473EF3EB" w14:textId="77777777" w:rsidR="001554C3" w:rsidRPr="00AB315F" w:rsidRDefault="001554C3" w:rsidP="00F439E9">
            <w:pPr>
              <w:jc w:val="center"/>
              <w:rPr>
                <w:rFonts w:ascii="Calibri" w:hAnsi="Calibri"/>
                <w:sz w:val="22"/>
                <w:szCs w:val="22"/>
              </w:rPr>
            </w:pPr>
            <w:r w:rsidRPr="00AB315F">
              <w:rPr>
                <w:rFonts w:ascii="Calibri" w:hAnsi="Calibri"/>
                <w:sz w:val="22"/>
                <w:szCs w:val="22"/>
              </w:rPr>
              <w:t>Sim</w:t>
            </w:r>
          </w:p>
        </w:tc>
        <w:tc>
          <w:tcPr>
            <w:tcW w:w="521" w:type="dxa"/>
            <w:tcBorders>
              <w:top w:val="nil"/>
              <w:left w:val="nil"/>
              <w:bottom w:val="nil"/>
              <w:right w:val="nil"/>
            </w:tcBorders>
            <w:shd w:val="clear" w:color="auto" w:fill="auto"/>
            <w:noWrap/>
            <w:vAlign w:val="center"/>
            <w:hideMark/>
          </w:tcPr>
          <w:p w14:paraId="552068FE" w14:textId="77777777" w:rsidR="001554C3" w:rsidRPr="00AB315F" w:rsidRDefault="001554C3" w:rsidP="00F439E9">
            <w:pPr>
              <w:jc w:val="center"/>
              <w:rPr>
                <w:rFonts w:ascii="Calibri" w:hAnsi="Calibri"/>
                <w:sz w:val="22"/>
                <w:szCs w:val="22"/>
              </w:rPr>
            </w:pPr>
            <w:r w:rsidRPr="00AB315F">
              <w:rPr>
                <w:rFonts w:ascii="Calibri" w:hAnsi="Calibri"/>
                <w:sz w:val="22"/>
                <w:szCs w:val="22"/>
              </w:rPr>
              <w:t>27%</w:t>
            </w:r>
          </w:p>
        </w:tc>
        <w:tc>
          <w:tcPr>
            <w:tcW w:w="2067" w:type="dxa"/>
            <w:tcBorders>
              <w:top w:val="nil"/>
              <w:left w:val="single" w:sz="4" w:space="0" w:color="auto"/>
              <w:bottom w:val="nil"/>
              <w:right w:val="nil"/>
            </w:tcBorders>
            <w:shd w:val="clear" w:color="auto" w:fill="auto"/>
            <w:noWrap/>
            <w:vAlign w:val="center"/>
            <w:hideMark/>
          </w:tcPr>
          <w:p w14:paraId="5768C452"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c>
          <w:tcPr>
            <w:tcW w:w="805" w:type="dxa"/>
            <w:tcBorders>
              <w:top w:val="nil"/>
              <w:left w:val="nil"/>
              <w:bottom w:val="nil"/>
              <w:right w:val="nil"/>
            </w:tcBorders>
            <w:shd w:val="clear" w:color="auto" w:fill="auto"/>
            <w:vAlign w:val="center"/>
            <w:hideMark/>
          </w:tcPr>
          <w:p w14:paraId="694054C7"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r w:rsidR="001554C3" w:rsidRPr="00AB315F" w14:paraId="30941B8C" w14:textId="77777777" w:rsidTr="00F439E9">
        <w:trPr>
          <w:trHeight w:val="290"/>
          <w:jc w:val="center"/>
        </w:trPr>
        <w:tc>
          <w:tcPr>
            <w:tcW w:w="764" w:type="dxa"/>
            <w:tcBorders>
              <w:top w:val="nil"/>
              <w:left w:val="nil"/>
              <w:bottom w:val="nil"/>
              <w:right w:val="nil"/>
            </w:tcBorders>
            <w:shd w:val="clear" w:color="auto" w:fill="auto"/>
            <w:noWrap/>
            <w:vAlign w:val="center"/>
            <w:hideMark/>
          </w:tcPr>
          <w:p w14:paraId="21B67F71" w14:textId="77777777" w:rsidR="001554C3" w:rsidRPr="00AB315F" w:rsidRDefault="001554C3" w:rsidP="00F439E9">
            <w:pPr>
              <w:jc w:val="center"/>
              <w:rPr>
                <w:rFonts w:ascii="Calibri" w:hAnsi="Calibri"/>
                <w:sz w:val="22"/>
                <w:szCs w:val="22"/>
              </w:rPr>
            </w:pPr>
            <w:r w:rsidRPr="00AB315F">
              <w:rPr>
                <w:rFonts w:ascii="Calibri" w:hAnsi="Calibri"/>
                <w:sz w:val="22"/>
                <w:szCs w:val="22"/>
              </w:rPr>
              <w:t>NS/NR</w:t>
            </w:r>
          </w:p>
        </w:tc>
        <w:tc>
          <w:tcPr>
            <w:tcW w:w="521" w:type="dxa"/>
            <w:tcBorders>
              <w:top w:val="nil"/>
              <w:left w:val="nil"/>
              <w:bottom w:val="nil"/>
              <w:right w:val="nil"/>
            </w:tcBorders>
            <w:shd w:val="clear" w:color="auto" w:fill="auto"/>
            <w:noWrap/>
            <w:vAlign w:val="center"/>
            <w:hideMark/>
          </w:tcPr>
          <w:p w14:paraId="7143D209"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c>
          <w:tcPr>
            <w:tcW w:w="2105" w:type="dxa"/>
            <w:tcBorders>
              <w:top w:val="nil"/>
              <w:left w:val="single" w:sz="4" w:space="0" w:color="auto"/>
              <w:bottom w:val="nil"/>
              <w:right w:val="nil"/>
            </w:tcBorders>
            <w:shd w:val="clear" w:color="auto" w:fill="auto"/>
            <w:noWrap/>
            <w:vAlign w:val="center"/>
            <w:hideMark/>
          </w:tcPr>
          <w:p w14:paraId="51DDA81E"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c>
          <w:tcPr>
            <w:tcW w:w="685" w:type="dxa"/>
            <w:tcBorders>
              <w:top w:val="nil"/>
              <w:left w:val="nil"/>
              <w:bottom w:val="nil"/>
              <w:right w:val="nil"/>
            </w:tcBorders>
            <w:shd w:val="clear" w:color="auto" w:fill="auto"/>
            <w:vAlign w:val="center"/>
            <w:hideMark/>
          </w:tcPr>
          <w:p w14:paraId="3F8762B0" w14:textId="77777777" w:rsidR="001554C3" w:rsidRPr="00AB315F" w:rsidRDefault="001554C3" w:rsidP="00F439E9">
            <w:pPr>
              <w:jc w:val="center"/>
              <w:rPr>
                <w:rFonts w:ascii="Calibri" w:hAnsi="Calibri"/>
                <w:sz w:val="22"/>
                <w:szCs w:val="22"/>
              </w:rPr>
            </w:pPr>
            <w:r w:rsidRPr="00AB315F">
              <w:rPr>
                <w:rFonts w:ascii="Calibri" w:hAnsi="Calibri"/>
                <w:sz w:val="22"/>
                <w:szCs w:val="22"/>
              </w:rPr>
              <w:t>7%</w:t>
            </w:r>
          </w:p>
        </w:tc>
        <w:tc>
          <w:tcPr>
            <w:tcW w:w="751" w:type="dxa"/>
            <w:tcBorders>
              <w:top w:val="nil"/>
              <w:left w:val="single" w:sz="4" w:space="0" w:color="auto"/>
              <w:bottom w:val="nil"/>
              <w:right w:val="nil"/>
            </w:tcBorders>
            <w:shd w:val="clear" w:color="auto" w:fill="auto"/>
            <w:noWrap/>
            <w:vAlign w:val="center"/>
            <w:hideMark/>
          </w:tcPr>
          <w:p w14:paraId="47E1C0F8" w14:textId="77777777" w:rsidR="001554C3" w:rsidRPr="00AB315F" w:rsidRDefault="001554C3" w:rsidP="00F439E9">
            <w:pPr>
              <w:jc w:val="center"/>
              <w:rPr>
                <w:rFonts w:ascii="Calibri" w:hAnsi="Calibri"/>
                <w:sz w:val="22"/>
                <w:szCs w:val="22"/>
              </w:rPr>
            </w:pPr>
            <w:r w:rsidRPr="00AB315F">
              <w:rPr>
                <w:rFonts w:ascii="Calibri" w:hAnsi="Calibri"/>
                <w:sz w:val="22"/>
                <w:szCs w:val="22"/>
              </w:rPr>
              <w:t>NS/NR</w:t>
            </w:r>
          </w:p>
        </w:tc>
        <w:tc>
          <w:tcPr>
            <w:tcW w:w="521" w:type="dxa"/>
            <w:tcBorders>
              <w:top w:val="nil"/>
              <w:left w:val="nil"/>
              <w:bottom w:val="nil"/>
              <w:right w:val="nil"/>
            </w:tcBorders>
            <w:shd w:val="clear" w:color="auto" w:fill="auto"/>
            <w:noWrap/>
            <w:vAlign w:val="center"/>
            <w:hideMark/>
          </w:tcPr>
          <w:p w14:paraId="3AB4CB6D" w14:textId="77777777" w:rsidR="001554C3" w:rsidRPr="00AB315F" w:rsidRDefault="001554C3" w:rsidP="00F439E9">
            <w:pPr>
              <w:jc w:val="center"/>
              <w:rPr>
                <w:rFonts w:ascii="Calibri" w:hAnsi="Calibri"/>
                <w:sz w:val="22"/>
                <w:szCs w:val="22"/>
              </w:rPr>
            </w:pPr>
            <w:r w:rsidRPr="00AB315F">
              <w:rPr>
                <w:rFonts w:ascii="Calibri" w:hAnsi="Calibri"/>
                <w:sz w:val="22"/>
                <w:szCs w:val="22"/>
              </w:rPr>
              <w:t>6%</w:t>
            </w:r>
          </w:p>
        </w:tc>
        <w:tc>
          <w:tcPr>
            <w:tcW w:w="2067" w:type="dxa"/>
            <w:tcBorders>
              <w:top w:val="nil"/>
              <w:left w:val="single" w:sz="4" w:space="0" w:color="auto"/>
              <w:bottom w:val="nil"/>
              <w:right w:val="nil"/>
            </w:tcBorders>
            <w:shd w:val="clear" w:color="auto" w:fill="auto"/>
            <w:noWrap/>
            <w:vAlign w:val="center"/>
            <w:hideMark/>
          </w:tcPr>
          <w:p w14:paraId="44ECEC90"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c>
          <w:tcPr>
            <w:tcW w:w="805" w:type="dxa"/>
            <w:tcBorders>
              <w:top w:val="nil"/>
              <w:left w:val="nil"/>
              <w:bottom w:val="nil"/>
              <w:right w:val="nil"/>
            </w:tcBorders>
            <w:shd w:val="clear" w:color="auto" w:fill="auto"/>
            <w:vAlign w:val="center"/>
            <w:hideMark/>
          </w:tcPr>
          <w:p w14:paraId="503C3398"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r>
      <w:tr w:rsidR="001554C3" w:rsidRPr="00AB315F" w14:paraId="714E3C63" w14:textId="77777777" w:rsidTr="00F439E9">
        <w:trPr>
          <w:trHeight w:val="290"/>
          <w:jc w:val="center"/>
        </w:trPr>
        <w:tc>
          <w:tcPr>
            <w:tcW w:w="764" w:type="dxa"/>
            <w:tcBorders>
              <w:top w:val="nil"/>
              <w:left w:val="nil"/>
              <w:bottom w:val="nil"/>
              <w:right w:val="nil"/>
            </w:tcBorders>
            <w:shd w:val="clear" w:color="auto" w:fill="auto"/>
            <w:noWrap/>
            <w:vAlign w:val="center"/>
            <w:hideMark/>
          </w:tcPr>
          <w:p w14:paraId="3CF18EB8"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19FCFFEA" w14:textId="77777777" w:rsidR="001554C3" w:rsidRPr="00AB315F" w:rsidRDefault="001554C3" w:rsidP="00F439E9">
            <w:pPr>
              <w:jc w:val="center"/>
              <w:rPr>
                <w:sz w:val="20"/>
                <w:szCs w:val="20"/>
              </w:rPr>
            </w:pPr>
          </w:p>
        </w:tc>
        <w:tc>
          <w:tcPr>
            <w:tcW w:w="2105" w:type="dxa"/>
            <w:tcBorders>
              <w:top w:val="nil"/>
              <w:left w:val="single" w:sz="4" w:space="0" w:color="auto"/>
              <w:bottom w:val="nil"/>
              <w:right w:val="nil"/>
            </w:tcBorders>
            <w:shd w:val="clear" w:color="auto" w:fill="auto"/>
            <w:noWrap/>
            <w:vAlign w:val="center"/>
            <w:hideMark/>
          </w:tcPr>
          <w:p w14:paraId="19F26A09" w14:textId="77777777" w:rsidR="001554C3" w:rsidRPr="00AB315F" w:rsidRDefault="001554C3" w:rsidP="00F439E9">
            <w:pPr>
              <w:jc w:val="center"/>
              <w:rPr>
                <w:rFonts w:ascii="Calibri" w:hAnsi="Calibri"/>
                <w:sz w:val="22"/>
                <w:szCs w:val="22"/>
              </w:rPr>
            </w:pPr>
            <w:r w:rsidRPr="00AB315F">
              <w:rPr>
                <w:rFonts w:ascii="Calibri" w:hAnsi="Calibri"/>
                <w:sz w:val="22"/>
                <w:szCs w:val="22"/>
              </w:rPr>
              <w:t>4</w:t>
            </w:r>
          </w:p>
        </w:tc>
        <w:tc>
          <w:tcPr>
            <w:tcW w:w="685" w:type="dxa"/>
            <w:tcBorders>
              <w:top w:val="nil"/>
              <w:left w:val="nil"/>
              <w:bottom w:val="nil"/>
              <w:right w:val="nil"/>
            </w:tcBorders>
            <w:shd w:val="clear" w:color="auto" w:fill="auto"/>
            <w:vAlign w:val="center"/>
            <w:hideMark/>
          </w:tcPr>
          <w:p w14:paraId="03DA8D53"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c>
          <w:tcPr>
            <w:tcW w:w="751" w:type="dxa"/>
            <w:tcBorders>
              <w:top w:val="nil"/>
              <w:left w:val="single" w:sz="4" w:space="0" w:color="auto"/>
              <w:bottom w:val="nil"/>
              <w:right w:val="nil"/>
            </w:tcBorders>
            <w:shd w:val="clear" w:color="auto" w:fill="auto"/>
            <w:noWrap/>
            <w:vAlign w:val="center"/>
            <w:hideMark/>
          </w:tcPr>
          <w:p w14:paraId="726C6983"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4418C7EB"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05BA49A2" w14:textId="77777777" w:rsidR="001554C3" w:rsidRPr="00AB315F" w:rsidRDefault="001554C3" w:rsidP="00F439E9">
            <w:pPr>
              <w:jc w:val="center"/>
              <w:rPr>
                <w:rFonts w:ascii="Calibri" w:hAnsi="Calibri"/>
                <w:sz w:val="22"/>
                <w:szCs w:val="22"/>
              </w:rPr>
            </w:pPr>
            <w:r w:rsidRPr="00AB315F">
              <w:rPr>
                <w:rFonts w:ascii="Calibri" w:hAnsi="Calibri"/>
                <w:sz w:val="22"/>
                <w:szCs w:val="22"/>
              </w:rPr>
              <w:t>4</w:t>
            </w:r>
          </w:p>
        </w:tc>
        <w:tc>
          <w:tcPr>
            <w:tcW w:w="805" w:type="dxa"/>
            <w:tcBorders>
              <w:top w:val="nil"/>
              <w:left w:val="nil"/>
              <w:bottom w:val="nil"/>
              <w:right w:val="nil"/>
            </w:tcBorders>
            <w:shd w:val="clear" w:color="auto" w:fill="auto"/>
            <w:vAlign w:val="center"/>
            <w:hideMark/>
          </w:tcPr>
          <w:p w14:paraId="56A7755C"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r w:rsidR="001554C3" w:rsidRPr="00AB315F" w14:paraId="2D660279" w14:textId="77777777" w:rsidTr="00F439E9">
        <w:trPr>
          <w:trHeight w:val="290"/>
          <w:jc w:val="center"/>
        </w:trPr>
        <w:tc>
          <w:tcPr>
            <w:tcW w:w="764" w:type="dxa"/>
            <w:tcBorders>
              <w:top w:val="nil"/>
              <w:left w:val="nil"/>
              <w:bottom w:val="nil"/>
              <w:right w:val="nil"/>
            </w:tcBorders>
            <w:shd w:val="clear" w:color="auto" w:fill="auto"/>
            <w:noWrap/>
            <w:vAlign w:val="center"/>
            <w:hideMark/>
          </w:tcPr>
          <w:p w14:paraId="616F865E"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0E82AD47" w14:textId="77777777" w:rsidR="001554C3" w:rsidRPr="00AB315F" w:rsidRDefault="001554C3" w:rsidP="00F439E9">
            <w:pPr>
              <w:jc w:val="center"/>
              <w:rPr>
                <w:sz w:val="20"/>
                <w:szCs w:val="20"/>
              </w:rPr>
            </w:pPr>
          </w:p>
        </w:tc>
        <w:tc>
          <w:tcPr>
            <w:tcW w:w="2105" w:type="dxa"/>
            <w:tcBorders>
              <w:top w:val="nil"/>
              <w:left w:val="single" w:sz="4" w:space="0" w:color="auto"/>
              <w:bottom w:val="nil"/>
              <w:right w:val="nil"/>
            </w:tcBorders>
            <w:shd w:val="clear" w:color="auto" w:fill="auto"/>
            <w:noWrap/>
            <w:vAlign w:val="center"/>
            <w:hideMark/>
          </w:tcPr>
          <w:p w14:paraId="463E2A33" w14:textId="77777777" w:rsidR="001554C3" w:rsidRPr="00AB315F" w:rsidRDefault="001554C3" w:rsidP="00F439E9">
            <w:pPr>
              <w:jc w:val="center"/>
              <w:rPr>
                <w:rFonts w:ascii="Calibri" w:hAnsi="Calibri"/>
                <w:sz w:val="22"/>
                <w:szCs w:val="22"/>
              </w:rPr>
            </w:pPr>
            <w:r w:rsidRPr="00AB315F">
              <w:rPr>
                <w:rFonts w:ascii="Calibri" w:hAnsi="Calibri"/>
                <w:sz w:val="22"/>
                <w:szCs w:val="22"/>
              </w:rPr>
              <w:t>5</w:t>
            </w:r>
          </w:p>
        </w:tc>
        <w:tc>
          <w:tcPr>
            <w:tcW w:w="685" w:type="dxa"/>
            <w:tcBorders>
              <w:top w:val="nil"/>
              <w:left w:val="nil"/>
              <w:bottom w:val="nil"/>
              <w:right w:val="nil"/>
            </w:tcBorders>
            <w:shd w:val="clear" w:color="auto" w:fill="auto"/>
            <w:vAlign w:val="center"/>
            <w:hideMark/>
          </w:tcPr>
          <w:p w14:paraId="59E5C336" w14:textId="77777777" w:rsidR="001554C3" w:rsidRPr="00AB315F" w:rsidRDefault="001554C3" w:rsidP="00F439E9">
            <w:pPr>
              <w:jc w:val="center"/>
              <w:rPr>
                <w:rFonts w:ascii="Calibri" w:hAnsi="Calibri"/>
                <w:sz w:val="22"/>
                <w:szCs w:val="22"/>
              </w:rPr>
            </w:pPr>
            <w:r w:rsidRPr="00AB315F">
              <w:rPr>
                <w:rFonts w:ascii="Calibri" w:hAnsi="Calibri"/>
                <w:sz w:val="22"/>
                <w:szCs w:val="22"/>
              </w:rPr>
              <w:t>4%</w:t>
            </w:r>
          </w:p>
        </w:tc>
        <w:tc>
          <w:tcPr>
            <w:tcW w:w="751" w:type="dxa"/>
            <w:tcBorders>
              <w:top w:val="nil"/>
              <w:left w:val="single" w:sz="4" w:space="0" w:color="auto"/>
              <w:bottom w:val="nil"/>
              <w:right w:val="nil"/>
            </w:tcBorders>
            <w:shd w:val="clear" w:color="auto" w:fill="auto"/>
            <w:noWrap/>
            <w:vAlign w:val="center"/>
            <w:hideMark/>
          </w:tcPr>
          <w:p w14:paraId="5E7EE2E8"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44D3B486"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08C15525" w14:textId="77777777" w:rsidR="001554C3" w:rsidRPr="00AB315F" w:rsidRDefault="001554C3" w:rsidP="00F439E9">
            <w:pPr>
              <w:jc w:val="center"/>
              <w:rPr>
                <w:rFonts w:ascii="Calibri" w:hAnsi="Calibri"/>
                <w:sz w:val="22"/>
                <w:szCs w:val="22"/>
              </w:rPr>
            </w:pPr>
            <w:r w:rsidRPr="00AB315F">
              <w:rPr>
                <w:rFonts w:ascii="Calibri" w:hAnsi="Calibri"/>
                <w:sz w:val="22"/>
                <w:szCs w:val="22"/>
              </w:rPr>
              <w:t>5</w:t>
            </w:r>
          </w:p>
        </w:tc>
        <w:tc>
          <w:tcPr>
            <w:tcW w:w="805" w:type="dxa"/>
            <w:tcBorders>
              <w:top w:val="nil"/>
              <w:left w:val="nil"/>
              <w:bottom w:val="nil"/>
              <w:right w:val="nil"/>
            </w:tcBorders>
            <w:shd w:val="clear" w:color="auto" w:fill="auto"/>
            <w:vAlign w:val="center"/>
            <w:hideMark/>
          </w:tcPr>
          <w:p w14:paraId="7BEC2575" w14:textId="77777777" w:rsidR="001554C3" w:rsidRPr="00AB315F" w:rsidRDefault="001554C3" w:rsidP="00F439E9">
            <w:pPr>
              <w:jc w:val="center"/>
              <w:rPr>
                <w:rFonts w:ascii="Calibri" w:hAnsi="Calibri"/>
                <w:sz w:val="22"/>
                <w:szCs w:val="22"/>
              </w:rPr>
            </w:pPr>
            <w:r w:rsidRPr="00AB315F">
              <w:rPr>
                <w:rFonts w:ascii="Calibri" w:hAnsi="Calibri"/>
                <w:sz w:val="22"/>
                <w:szCs w:val="22"/>
              </w:rPr>
              <w:t>0%</w:t>
            </w:r>
          </w:p>
        </w:tc>
      </w:tr>
      <w:tr w:rsidR="001554C3" w:rsidRPr="00AB315F" w14:paraId="533F78EB" w14:textId="77777777" w:rsidTr="00F439E9">
        <w:trPr>
          <w:trHeight w:val="290"/>
          <w:jc w:val="center"/>
        </w:trPr>
        <w:tc>
          <w:tcPr>
            <w:tcW w:w="764" w:type="dxa"/>
            <w:tcBorders>
              <w:top w:val="nil"/>
              <w:left w:val="nil"/>
              <w:bottom w:val="nil"/>
              <w:right w:val="nil"/>
            </w:tcBorders>
            <w:shd w:val="clear" w:color="auto" w:fill="auto"/>
            <w:noWrap/>
            <w:vAlign w:val="center"/>
            <w:hideMark/>
          </w:tcPr>
          <w:p w14:paraId="3D79B74C"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0179A233" w14:textId="77777777" w:rsidR="001554C3" w:rsidRPr="00AB315F" w:rsidRDefault="001554C3" w:rsidP="00F439E9">
            <w:pPr>
              <w:jc w:val="center"/>
              <w:rPr>
                <w:sz w:val="20"/>
                <w:szCs w:val="20"/>
              </w:rPr>
            </w:pPr>
          </w:p>
        </w:tc>
        <w:tc>
          <w:tcPr>
            <w:tcW w:w="2105" w:type="dxa"/>
            <w:tcBorders>
              <w:top w:val="nil"/>
              <w:left w:val="single" w:sz="4" w:space="0" w:color="auto"/>
              <w:bottom w:val="nil"/>
              <w:right w:val="nil"/>
            </w:tcBorders>
            <w:shd w:val="clear" w:color="auto" w:fill="auto"/>
            <w:noWrap/>
            <w:vAlign w:val="center"/>
            <w:hideMark/>
          </w:tcPr>
          <w:p w14:paraId="32502BDC" w14:textId="77777777" w:rsidR="001554C3" w:rsidRPr="00AB315F" w:rsidRDefault="001554C3" w:rsidP="00F439E9">
            <w:pPr>
              <w:jc w:val="center"/>
              <w:rPr>
                <w:rFonts w:ascii="Calibri" w:hAnsi="Calibri"/>
                <w:sz w:val="22"/>
                <w:szCs w:val="22"/>
              </w:rPr>
            </w:pPr>
            <w:r w:rsidRPr="00AB315F">
              <w:rPr>
                <w:rFonts w:ascii="Calibri" w:hAnsi="Calibri"/>
                <w:sz w:val="22"/>
                <w:szCs w:val="22"/>
              </w:rPr>
              <w:t>6</w:t>
            </w:r>
          </w:p>
        </w:tc>
        <w:tc>
          <w:tcPr>
            <w:tcW w:w="685" w:type="dxa"/>
            <w:tcBorders>
              <w:top w:val="nil"/>
              <w:left w:val="nil"/>
              <w:bottom w:val="nil"/>
              <w:right w:val="nil"/>
            </w:tcBorders>
            <w:shd w:val="clear" w:color="auto" w:fill="auto"/>
            <w:vAlign w:val="center"/>
            <w:hideMark/>
          </w:tcPr>
          <w:p w14:paraId="48AF6CA4"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751" w:type="dxa"/>
            <w:tcBorders>
              <w:top w:val="nil"/>
              <w:left w:val="single" w:sz="4" w:space="0" w:color="auto"/>
              <w:bottom w:val="nil"/>
              <w:right w:val="nil"/>
            </w:tcBorders>
            <w:shd w:val="clear" w:color="auto" w:fill="auto"/>
            <w:noWrap/>
            <w:vAlign w:val="center"/>
            <w:hideMark/>
          </w:tcPr>
          <w:p w14:paraId="0CE7AD21"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2EE9892E"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50407A68" w14:textId="77777777" w:rsidR="001554C3" w:rsidRPr="00AB315F" w:rsidRDefault="001554C3" w:rsidP="00F439E9">
            <w:pPr>
              <w:jc w:val="center"/>
              <w:rPr>
                <w:rFonts w:ascii="Calibri" w:hAnsi="Calibri"/>
                <w:sz w:val="22"/>
                <w:szCs w:val="22"/>
              </w:rPr>
            </w:pPr>
            <w:r w:rsidRPr="00AB315F">
              <w:rPr>
                <w:rFonts w:ascii="Calibri" w:hAnsi="Calibri"/>
                <w:sz w:val="22"/>
                <w:szCs w:val="22"/>
              </w:rPr>
              <w:t>6</w:t>
            </w:r>
          </w:p>
        </w:tc>
        <w:tc>
          <w:tcPr>
            <w:tcW w:w="805" w:type="dxa"/>
            <w:tcBorders>
              <w:top w:val="nil"/>
              <w:left w:val="nil"/>
              <w:bottom w:val="nil"/>
              <w:right w:val="nil"/>
            </w:tcBorders>
            <w:shd w:val="clear" w:color="auto" w:fill="auto"/>
            <w:vAlign w:val="center"/>
            <w:hideMark/>
          </w:tcPr>
          <w:p w14:paraId="54A4D9AC"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r>
      <w:tr w:rsidR="001554C3" w:rsidRPr="00AB315F" w14:paraId="33AA4752" w14:textId="77777777" w:rsidTr="00F439E9">
        <w:trPr>
          <w:trHeight w:val="290"/>
          <w:jc w:val="center"/>
        </w:trPr>
        <w:tc>
          <w:tcPr>
            <w:tcW w:w="764" w:type="dxa"/>
            <w:tcBorders>
              <w:top w:val="nil"/>
              <w:left w:val="nil"/>
              <w:bottom w:val="nil"/>
              <w:right w:val="nil"/>
            </w:tcBorders>
            <w:shd w:val="clear" w:color="auto" w:fill="auto"/>
            <w:noWrap/>
            <w:vAlign w:val="center"/>
            <w:hideMark/>
          </w:tcPr>
          <w:p w14:paraId="450EBC9E"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6166CCCB" w14:textId="77777777" w:rsidR="001554C3" w:rsidRPr="00AB315F" w:rsidRDefault="001554C3" w:rsidP="00F439E9">
            <w:pPr>
              <w:jc w:val="center"/>
              <w:rPr>
                <w:sz w:val="20"/>
                <w:szCs w:val="20"/>
              </w:rPr>
            </w:pPr>
          </w:p>
        </w:tc>
        <w:tc>
          <w:tcPr>
            <w:tcW w:w="2105" w:type="dxa"/>
            <w:tcBorders>
              <w:top w:val="nil"/>
              <w:left w:val="single" w:sz="4" w:space="0" w:color="auto"/>
              <w:bottom w:val="nil"/>
              <w:right w:val="nil"/>
            </w:tcBorders>
            <w:shd w:val="clear" w:color="auto" w:fill="auto"/>
            <w:noWrap/>
            <w:vAlign w:val="center"/>
            <w:hideMark/>
          </w:tcPr>
          <w:p w14:paraId="3FCB67F4" w14:textId="77777777" w:rsidR="001554C3" w:rsidRPr="00AB315F" w:rsidRDefault="001554C3" w:rsidP="00F439E9">
            <w:pPr>
              <w:jc w:val="center"/>
              <w:rPr>
                <w:rFonts w:ascii="Calibri" w:hAnsi="Calibri"/>
                <w:sz w:val="22"/>
                <w:szCs w:val="22"/>
              </w:rPr>
            </w:pPr>
            <w:r w:rsidRPr="00AB315F">
              <w:rPr>
                <w:rFonts w:ascii="Calibri" w:hAnsi="Calibri"/>
                <w:sz w:val="22"/>
                <w:szCs w:val="22"/>
              </w:rPr>
              <w:t>7</w:t>
            </w:r>
          </w:p>
        </w:tc>
        <w:tc>
          <w:tcPr>
            <w:tcW w:w="685" w:type="dxa"/>
            <w:tcBorders>
              <w:top w:val="nil"/>
              <w:left w:val="nil"/>
              <w:bottom w:val="nil"/>
              <w:right w:val="nil"/>
            </w:tcBorders>
            <w:shd w:val="clear" w:color="auto" w:fill="auto"/>
            <w:vAlign w:val="center"/>
            <w:hideMark/>
          </w:tcPr>
          <w:p w14:paraId="795FDE2B"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751" w:type="dxa"/>
            <w:tcBorders>
              <w:top w:val="nil"/>
              <w:left w:val="single" w:sz="4" w:space="0" w:color="auto"/>
              <w:bottom w:val="nil"/>
              <w:right w:val="nil"/>
            </w:tcBorders>
            <w:shd w:val="clear" w:color="auto" w:fill="auto"/>
            <w:noWrap/>
            <w:vAlign w:val="center"/>
            <w:hideMark/>
          </w:tcPr>
          <w:p w14:paraId="6DDB125A"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085BF4EB"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4ACF9657" w14:textId="77777777" w:rsidR="001554C3" w:rsidRPr="00AB315F" w:rsidRDefault="001554C3" w:rsidP="00F439E9">
            <w:pPr>
              <w:jc w:val="center"/>
              <w:rPr>
                <w:rFonts w:ascii="Calibri" w:hAnsi="Calibri"/>
                <w:sz w:val="22"/>
                <w:szCs w:val="22"/>
              </w:rPr>
            </w:pPr>
            <w:r w:rsidRPr="00AB315F">
              <w:rPr>
                <w:rFonts w:ascii="Calibri" w:hAnsi="Calibri"/>
                <w:sz w:val="22"/>
                <w:szCs w:val="22"/>
              </w:rPr>
              <w:t>7</w:t>
            </w:r>
          </w:p>
        </w:tc>
        <w:tc>
          <w:tcPr>
            <w:tcW w:w="805" w:type="dxa"/>
            <w:tcBorders>
              <w:top w:val="nil"/>
              <w:left w:val="nil"/>
              <w:bottom w:val="nil"/>
              <w:right w:val="nil"/>
            </w:tcBorders>
            <w:shd w:val="clear" w:color="auto" w:fill="auto"/>
            <w:vAlign w:val="center"/>
            <w:hideMark/>
          </w:tcPr>
          <w:p w14:paraId="18C75F93"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r w:rsidR="001554C3" w:rsidRPr="00AB315F" w14:paraId="5E624D41" w14:textId="77777777" w:rsidTr="00F439E9">
        <w:trPr>
          <w:trHeight w:val="290"/>
          <w:jc w:val="center"/>
        </w:trPr>
        <w:tc>
          <w:tcPr>
            <w:tcW w:w="764" w:type="dxa"/>
            <w:tcBorders>
              <w:top w:val="nil"/>
              <w:left w:val="nil"/>
              <w:bottom w:val="nil"/>
              <w:right w:val="nil"/>
            </w:tcBorders>
            <w:shd w:val="clear" w:color="auto" w:fill="auto"/>
            <w:noWrap/>
            <w:vAlign w:val="center"/>
            <w:hideMark/>
          </w:tcPr>
          <w:p w14:paraId="267EE21E"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6CB55DC1" w14:textId="77777777" w:rsidR="001554C3" w:rsidRPr="00AB315F" w:rsidRDefault="001554C3" w:rsidP="00F439E9">
            <w:pPr>
              <w:jc w:val="center"/>
              <w:rPr>
                <w:sz w:val="20"/>
                <w:szCs w:val="20"/>
              </w:rPr>
            </w:pPr>
          </w:p>
        </w:tc>
        <w:tc>
          <w:tcPr>
            <w:tcW w:w="2105" w:type="dxa"/>
            <w:tcBorders>
              <w:top w:val="nil"/>
              <w:left w:val="single" w:sz="4" w:space="0" w:color="auto"/>
              <w:bottom w:val="nil"/>
              <w:right w:val="nil"/>
            </w:tcBorders>
            <w:shd w:val="clear" w:color="auto" w:fill="auto"/>
            <w:noWrap/>
            <w:vAlign w:val="center"/>
            <w:hideMark/>
          </w:tcPr>
          <w:p w14:paraId="04DAB28C" w14:textId="77777777" w:rsidR="001554C3" w:rsidRPr="00AB315F" w:rsidRDefault="001554C3" w:rsidP="00F439E9">
            <w:pPr>
              <w:jc w:val="center"/>
              <w:rPr>
                <w:rFonts w:ascii="Calibri" w:hAnsi="Calibri"/>
                <w:sz w:val="22"/>
                <w:szCs w:val="22"/>
              </w:rPr>
            </w:pPr>
            <w:r w:rsidRPr="00AB315F">
              <w:rPr>
                <w:rFonts w:ascii="Calibri" w:hAnsi="Calibri"/>
                <w:sz w:val="22"/>
                <w:szCs w:val="22"/>
              </w:rPr>
              <w:t>8</w:t>
            </w:r>
          </w:p>
        </w:tc>
        <w:tc>
          <w:tcPr>
            <w:tcW w:w="685" w:type="dxa"/>
            <w:tcBorders>
              <w:top w:val="nil"/>
              <w:left w:val="nil"/>
              <w:bottom w:val="nil"/>
              <w:right w:val="nil"/>
            </w:tcBorders>
            <w:shd w:val="clear" w:color="auto" w:fill="auto"/>
            <w:vAlign w:val="center"/>
            <w:hideMark/>
          </w:tcPr>
          <w:p w14:paraId="55005B08"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751" w:type="dxa"/>
            <w:tcBorders>
              <w:top w:val="nil"/>
              <w:left w:val="single" w:sz="4" w:space="0" w:color="auto"/>
              <w:bottom w:val="nil"/>
              <w:right w:val="nil"/>
            </w:tcBorders>
            <w:shd w:val="clear" w:color="auto" w:fill="auto"/>
            <w:noWrap/>
            <w:vAlign w:val="center"/>
            <w:hideMark/>
          </w:tcPr>
          <w:p w14:paraId="09B12843"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6C624A75"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11CF6C95" w14:textId="77777777" w:rsidR="001554C3" w:rsidRPr="00AB315F" w:rsidRDefault="001554C3" w:rsidP="00F439E9">
            <w:pPr>
              <w:jc w:val="center"/>
              <w:rPr>
                <w:rFonts w:ascii="Calibri" w:hAnsi="Calibri"/>
                <w:sz w:val="22"/>
                <w:szCs w:val="22"/>
              </w:rPr>
            </w:pPr>
            <w:r w:rsidRPr="00AB315F">
              <w:rPr>
                <w:rFonts w:ascii="Calibri" w:hAnsi="Calibri"/>
                <w:sz w:val="22"/>
                <w:szCs w:val="22"/>
              </w:rPr>
              <w:t>8</w:t>
            </w:r>
          </w:p>
        </w:tc>
        <w:tc>
          <w:tcPr>
            <w:tcW w:w="805" w:type="dxa"/>
            <w:tcBorders>
              <w:top w:val="nil"/>
              <w:left w:val="nil"/>
              <w:bottom w:val="nil"/>
              <w:right w:val="nil"/>
            </w:tcBorders>
            <w:shd w:val="clear" w:color="auto" w:fill="auto"/>
            <w:vAlign w:val="center"/>
            <w:hideMark/>
          </w:tcPr>
          <w:p w14:paraId="5D855031"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r w:rsidR="001554C3" w:rsidRPr="00AB315F" w14:paraId="18E21C30" w14:textId="77777777" w:rsidTr="00F439E9">
        <w:trPr>
          <w:trHeight w:val="290"/>
          <w:jc w:val="center"/>
        </w:trPr>
        <w:tc>
          <w:tcPr>
            <w:tcW w:w="764" w:type="dxa"/>
            <w:tcBorders>
              <w:top w:val="nil"/>
              <w:left w:val="nil"/>
              <w:bottom w:val="nil"/>
              <w:right w:val="nil"/>
            </w:tcBorders>
            <w:shd w:val="clear" w:color="auto" w:fill="auto"/>
            <w:noWrap/>
            <w:vAlign w:val="center"/>
            <w:hideMark/>
          </w:tcPr>
          <w:p w14:paraId="7C3A8E33"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6D6E47B1" w14:textId="77777777" w:rsidR="001554C3" w:rsidRPr="00AB315F" w:rsidRDefault="001554C3" w:rsidP="00F439E9">
            <w:pPr>
              <w:jc w:val="center"/>
              <w:rPr>
                <w:sz w:val="20"/>
                <w:szCs w:val="20"/>
              </w:rPr>
            </w:pPr>
          </w:p>
        </w:tc>
        <w:tc>
          <w:tcPr>
            <w:tcW w:w="2105" w:type="dxa"/>
            <w:tcBorders>
              <w:top w:val="nil"/>
              <w:left w:val="single" w:sz="4" w:space="0" w:color="auto"/>
              <w:bottom w:val="nil"/>
              <w:right w:val="nil"/>
            </w:tcBorders>
            <w:shd w:val="clear" w:color="auto" w:fill="auto"/>
            <w:noWrap/>
            <w:vAlign w:val="center"/>
            <w:hideMark/>
          </w:tcPr>
          <w:p w14:paraId="3AC1333C" w14:textId="77777777" w:rsidR="001554C3" w:rsidRPr="00AB315F" w:rsidRDefault="001554C3" w:rsidP="00F439E9">
            <w:pPr>
              <w:jc w:val="center"/>
              <w:rPr>
                <w:rFonts w:ascii="Calibri" w:hAnsi="Calibri"/>
                <w:sz w:val="22"/>
                <w:szCs w:val="22"/>
              </w:rPr>
            </w:pPr>
            <w:r w:rsidRPr="00AB315F">
              <w:rPr>
                <w:rFonts w:ascii="Calibri" w:hAnsi="Calibri"/>
                <w:sz w:val="22"/>
                <w:szCs w:val="22"/>
              </w:rPr>
              <w:t>9</w:t>
            </w:r>
          </w:p>
        </w:tc>
        <w:tc>
          <w:tcPr>
            <w:tcW w:w="685" w:type="dxa"/>
            <w:tcBorders>
              <w:top w:val="nil"/>
              <w:left w:val="nil"/>
              <w:bottom w:val="nil"/>
              <w:right w:val="nil"/>
            </w:tcBorders>
            <w:shd w:val="clear" w:color="auto" w:fill="auto"/>
            <w:vAlign w:val="center"/>
            <w:hideMark/>
          </w:tcPr>
          <w:p w14:paraId="20D747DC" w14:textId="77777777" w:rsidR="001554C3" w:rsidRPr="00AB315F" w:rsidRDefault="001554C3" w:rsidP="00F439E9">
            <w:pPr>
              <w:jc w:val="center"/>
              <w:rPr>
                <w:rFonts w:ascii="Calibri" w:hAnsi="Calibri"/>
                <w:sz w:val="22"/>
                <w:szCs w:val="22"/>
              </w:rPr>
            </w:pPr>
            <w:r w:rsidRPr="00AB315F">
              <w:rPr>
                <w:rFonts w:ascii="Calibri" w:hAnsi="Calibri"/>
                <w:sz w:val="22"/>
                <w:szCs w:val="22"/>
              </w:rPr>
              <w:t>0%</w:t>
            </w:r>
          </w:p>
        </w:tc>
        <w:tc>
          <w:tcPr>
            <w:tcW w:w="751" w:type="dxa"/>
            <w:tcBorders>
              <w:top w:val="nil"/>
              <w:left w:val="single" w:sz="4" w:space="0" w:color="auto"/>
              <w:bottom w:val="nil"/>
              <w:right w:val="nil"/>
            </w:tcBorders>
            <w:shd w:val="clear" w:color="auto" w:fill="auto"/>
            <w:noWrap/>
            <w:vAlign w:val="center"/>
            <w:hideMark/>
          </w:tcPr>
          <w:p w14:paraId="7DEC8C33"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76CB7317"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760B2F37" w14:textId="77777777" w:rsidR="001554C3" w:rsidRPr="00AB315F" w:rsidRDefault="001554C3" w:rsidP="00F439E9">
            <w:pPr>
              <w:jc w:val="center"/>
              <w:rPr>
                <w:rFonts w:ascii="Calibri" w:hAnsi="Calibri"/>
                <w:sz w:val="22"/>
                <w:szCs w:val="22"/>
              </w:rPr>
            </w:pPr>
            <w:r w:rsidRPr="00AB315F">
              <w:rPr>
                <w:rFonts w:ascii="Calibri" w:hAnsi="Calibri"/>
                <w:sz w:val="22"/>
                <w:szCs w:val="22"/>
              </w:rPr>
              <w:t>9</w:t>
            </w:r>
          </w:p>
        </w:tc>
        <w:tc>
          <w:tcPr>
            <w:tcW w:w="805" w:type="dxa"/>
            <w:tcBorders>
              <w:top w:val="nil"/>
              <w:left w:val="nil"/>
              <w:bottom w:val="nil"/>
              <w:right w:val="nil"/>
            </w:tcBorders>
            <w:shd w:val="clear" w:color="auto" w:fill="auto"/>
            <w:vAlign w:val="center"/>
            <w:hideMark/>
          </w:tcPr>
          <w:p w14:paraId="261F468B"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r w:rsidR="001554C3" w:rsidRPr="00AB315F" w14:paraId="5A1A0B9B" w14:textId="77777777" w:rsidTr="00F439E9">
        <w:trPr>
          <w:trHeight w:val="290"/>
          <w:jc w:val="center"/>
        </w:trPr>
        <w:tc>
          <w:tcPr>
            <w:tcW w:w="764" w:type="dxa"/>
            <w:tcBorders>
              <w:top w:val="nil"/>
              <w:left w:val="nil"/>
              <w:bottom w:val="nil"/>
              <w:right w:val="nil"/>
            </w:tcBorders>
            <w:shd w:val="clear" w:color="auto" w:fill="auto"/>
            <w:noWrap/>
            <w:vAlign w:val="center"/>
            <w:hideMark/>
          </w:tcPr>
          <w:p w14:paraId="3560212C"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43E5769E" w14:textId="77777777" w:rsidR="001554C3" w:rsidRPr="00AB315F" w:rsidRDefault="001554C3" w:rsidP="00F439E9">
            <w:pPr>
              <w:jc w:val="center"/>
              <w:rPr>
                <w:sz w:val="20"/>
                <w:szCs w:val="20"/>
              </w:rPr>
            </w:pPr>
          </w:p>
        </w:tc>
        <w:tc>
          <w:tcPr>
            <w:tcW w:w="2105" w:type="dxa"/>
            <w:tcBorders>
              <w:top w:val="nil"/>
              <w:left w:val="single" w:sz="4" w:space="0" w:color="auto"/>
              <w:bottom w:val="nil"/>
              <w:right w:val="nil"/>
            </w:tcBorders>
            <w:shd w:val="clear" w:color="auto" w:fill="auto"/>
            <w:noWrap/>
            <w:vAlign w:val="center"/>
            <w:hideMark/>
          </w:tcPr>
          <w:p w14:paraId="550458E0" w14:textId="77777777" w:rsidR="001554C3" w:rsidRPr="00AB315F" w:rsidRDefault="001554C3" w:rsidP="00F439E9">
            <w:pPr>
              <w:jc w:val="center"/>
              <w:rPr>
                <w:rFonts w:ascii="Calibri" w:hAnsi="Calibri"/>
                <w:sz w:val="22"/>
                <w:szCs w:val="22"/>
              </w:rPr>
            </w:pPr>
            <w:r w:rsidRPr="00AB315F">
              <w:rPr>
                <w:rFonts w:ascii="Calibri" w:hAnsi="Calibri"/>
                <w:sz w:val="22"/>
                <w:szCs w:val="22"/>
              </w:rPr>
              <w:t>Sempre se justifica</w:t>
            </w:r>
          </w:p>
        </w:tc>
        <w:tc>
          <w:tcPr>
            <w:tcW w:w="685" w:type="dxa"/>
            <w:tcBorders>
              <w:top w:val="nil"/>
              <w:left w:val="nil"/>
              <w:bottom w:val="nil"/>
              <w:right w:val="nil"/>
            </w:tcBorders>
            <w:shd w:val="clear" w:color="auto" w:fill="auto"/>
            <w:vAlign w:val="center"/>
            <w:hideMark/>
          </w:tcPr>
          <w:p w14:paraId="22D25C2C"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c>
          <w:tcPr>
            <w:tcW w:w="751" w:type="dxa"/>
            <w:tcBorders>
              <w:top w:val="nil"/>
              <w:left w:val="single" w:sz="4" w:space="0" w:color="auto"/>
              <w:bottom w:val="nil"/>
              <w:right w:val="nil"/>
            </w:tcBorders>
            <w:shd w:val="clear" w:color="auto" w:fill="auto"/>
            <w:noWrap/>
            <w:vAlign w:val="center"/>
            <w:hideMark/>
          </w:tcPr>
          <w:p w14:paraId="7B26D2CE"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1B722C56"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061BB0B1" w14:textId="77777777" w:rsidR="001554C3" w:rsidRPr="00AB315F" w:rsidRDefault="001554C3" w:rsidP="00F439E9">
            <w:pPr>
              <w:jc w:val="center"/>
              <w:rPr>
                <w:rFonts w:ascii="Calibri" w:hAnsi="Calibri"/>
                <w:sz w:val="22"/>
                <w:szCs w:val="22"/>
              </w:rPr>
            </w:pPr>
            <w:r w:rsidRPr="00AB315F">
              <w:rPr>
                <w:rFonts w:ascii="Calibri" w:hAnsi="Calibri"/>
                <w:sz w:val="22"/>
                <w:szCs w:val="22"/>
              </w:rPr>
              <w:t>Sempre se justifica</w:t>
            </w:r>
          </w:p>
        </w:tc>
        <w:tc>
          <w:tcPr>
            <w:tcW w:w="805" w:type="dxa"/>
            <w:tcBorders>
              <w:top w:val="nil"/>
              <w:left w:val="nil"/>
              <w:bottom w:val="nil"/>
              <w:right w:val="nil"/>
            </w:tcBorders>
            <w:shd w:val="clear" w:color="auto" w:fill="auto"/>
            <w:vAlign w:val="center"/>
            <w:hideMark/>
          </w:tcPr>
          <w:p w14:paraId="6F563AC8"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r w:rsidR="001554C3" w:rsidRPr="00AB315F" w14:paraId="1BD7D4D3" w14:textId="77777777" w:rsidTr="00F439E9">
        <w:trPr>
          <w:trHeight w:val="290"/>
          <w:jc w:val="center"/>
        </w:trPr>
        <w:tc>
          <w:tcPr>
            <w:tcW w:w="764" w:type="dxa"/>
            <w:tcBorders>
              <w:top w:val="nil"/>
              <w:left w:val="nil"/>
              <w:bottom w:val="single" w:sz="4" w:space="0" w:color="auto"/>
              <w:right w:val="nil"/>
            </w:tcBorders>
            <w:shd w:val="clear" w:color="auto" w:fill="auto"/>
            <w:noWrap/>
            <w:vAlign w:val="center"/>
            <w:hideMark/>
          </w:tcPr>
          <w:p w14:paraId="343C2A60" w14:textId="77777777" w:rsidR="001554C3" w:rsidRPr="00AB315F" w:rsidRDefault="001554C3" w:rsidP="00F439E9">
            <w:pPr>
              <w:jc w:val="center"/>
              <w:rPr>
                <w:rFonts w:ascii="Calibri" w:hAnsi="Calibri"/>
                <w:sz w:val="22"/>
                <w:szCs w:val="22"/>
              </w:rPr>
            </w:pPr>
          </w:p>
        </w:tc>
        <w:tc>
          <w:tcPr>
            <w:tcW w:w="521" w:type="dxa"/>
            <w:tcBorders>
              <w:top w:val="nil"/>
              <w:left w:val="nil"/>
              <w:bottom w:val="single" w:sz="4" w:space="0" w:color="auto"/>
              <w:right w:val="nil"/>
            </w:tcBorders>
            <w:shd w:val="clear" w:color="auto" w:fill="auto"/>
            <w:noWrap/>
            <w:vAlign w:val="center"/>
            <w:hideMark/>
          </w:tcPr>
          <w:p w14:paraId="03328264" w14:textId="77777777" w:rsidR="001554C3" w:rsidRPr="00AB315F" w:rsidRDefault="001554C3" w:rsidP="00F439E9">
            <w:pPr>
              <w:jc w:val="center"/>
              <w:rPr>
                <w:rFonts w:ascii="Calibri" w:hAnsi="Calibri"/>
                <w:sz w:val="22"/>
                <w:szCs w:val="22"/>
              </w:rPr>
            </w:pPr>
          </w:p>
        </w:tc>
        <w:tc>
          <w:tcPr>
            <w:tcW w:w="2105" w:type="dxa"/>
            <w:tcBorders>
              <w:top w:val="nil"/>
              <w:left w:val="single" w:sz="4" w:space="0" w:color="auto"/>
              <w:bottom w:val="single" w:sz="4" w:space="0" w:color="auto"/>
              <w:right w:val="nil"/>
            </w:tcBorders>
            <w:shd w:val="clear" w:color="auto" w:fill="auto"/>
            <w:noWrap/>
            <w:vAlign w:val="center"/>
            <w:hideMark/>
          </w:tcPr>
          <w:p w14:paraId="43C0DDD1" w14:textId="77777777" w:rsidR="001554C3" w:rsidRPr="00AB315F" w:rsidRDefault="001554C3" w:rsidP="00F439E9">
            <w:pPr>
              <w:jc w:val="center"/>
              <w:rPr>
                <w:rFonts w:ascii="Calibri" w:hAnsi="Calibri"/>
                <w:sz w:val="22"/>
                <w:szCs w:val="22"/>
              </w:rPr>
            </w:pPr>
            <w:r w:rsidRPr="00AB315F">
              <w:rPr>
                <w:rFonts w:ascii="Calibri" w:hAnsi="Calibri"/>
                <w:sz w:val="22"/>
                <w:szCs w:val="22"/>
              </w:rPr>
              <w:t>NS/NR</w:t>
            </w:r>
          </w:p>
        </w:tc>
        <w:tc>
          <w:tcPr>
            <w:tcW w:w="685" w:type="dxa"/>
            <w:tcBorders>
              <w:top w:val="nil"/>
              <w:left w:val="nil"/>
              <w:bottom w:val="single" w:sz="4" w:space="0" w:color="auto"/>
              <w:right w:val="nil"/>
            </w:tcBorders>
            <w:shd w:val="clear" w:color="auto" w:fill="auto"/>
            <w:vAlign w:val="center"/>
            <w:hideMark/>
          </w:tcPr>
          <w:p w14:paraId="590A6A33"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c>
          <w:tcPr>
            <w:tcW w:w="751" w:type="dxa"/>
            <w:tcBorders>
              <w:top w:val="nil"/>
              <w:left w:val="single" w:sz="4" w:space="0" w:color="auto"/>
              <w:bottom w:val="single" w:sz="4" w:space="0" w:color="auto"/>
              <w:right w:val="nil"/>
            </w:tcBorders>
            <w:shd w:val="clear" w:color="auto" w:fill="auto"/>
            <w:noWrap/>
            <w:vAlign w:val="center"/>
            <w:hideMark/>
          </w:tcPr>
          <w:p w14:paraId="7F991E1C" w14:textId="77777777" w:rsidR="001554C3" w:rsidRPr="00AB315F" w:rsidRDefault="001554C3" w:rsidP="00F439E9">
            <w:pPr>
              <w:jc w:val="center"/>
              <w:rPr>
                <w:rFonts w:ascii="Calibri" w:hAnsi="Calibri"/>
                <w:sz w:val="22"/>
                <w:szCs w:val="22"/>
              </w:rPr>
            </w:pPr>
          </w:p>
        </w:tc>
        <w:tc>
          <w:tcPr>
            <w:tcW w:w="521" w:type="dxa"/>
            <w:tcBorders>
              <w:top w:val="nil"/>
              <w:left w:val="nil"/>
              <w:bottom w:val="single" w:sz="4" w:space="0" w:color="auto"/>
              <w:right w:val="nil"/>
            </w:tcBorders>
            <w:shd w:val="clear" w:color="auto" w:fill="auto"/>
            <w:noWrap/>
            <w:vAlign w:val="center"/>
            <w:hideMark/>
          </w:tcPr>
          <w:p w14:paraId="3025147B"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single" w:sz="4" w:space="0" w:color="auto"/>
              <w:right w:val="nil"/>
            </w:tcBorders>
            <w:shd w:val="clear" w:color="auto" w:fill="auto"/>
            <w:noWrap/>
            <w:vAlign w:val="center"/>
            <w:hideMark/>
          </w:tcPr>
          <w:p w14:paraId="198F7359" w14:textId="77777777" w:rsidR="001554C3" w:rsidRPr="00AB315F" w:rsidRDefault="001554C3" w:rsidP="00F439E9">
            <w:pPr>
              <w:jc w:val="center"/>
              <w:rPr>
                <w:rFonts w:ascii="Calibri" w:hAnsi="Calibri"/>
                <w:sz w:val="22"/>
                <w:szCs w:val="22"/>
              </w:rPr>
            </w:pPr>
            <w:r w:rsidRPr="00AB315F">
              <w:rPr>
                <w:rFonts w:ascii="Calibri" w:hAnsi="Calibri"/>
                <w:sz w:val="22"/>
                <w:szCs w:val="22"/>
              </w:rPr>
              <w:t>NS/NR</w:t>
            </w:r>
          </w:p>
        </w:tc>
        <w:tc>
          <w:tcPr>
            <w:tcW w:w="805" w:type="dxa"/>
            <w:tcBorders>
              <w:top w:val="nil"/>
              <w:left w:val="nil"/>
              <w:bottom w:val="single" w:sz="4" w:space="0" w:color="auto"/>
              <w:right w:val="nil"/>
            </w:tcBorders>
            <w:shd w:val="clear" w:color="auto" w:fill="auto"/>
            <w:vAlign w:val="center"/>
            <w:hideMark/>
          </w:tcPr>
          <w:p w14:paraId="2F48EDCE"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r>
      <w:tr w:rsidR="001554C3" w:rsidRPr="00AB315F" w14:paraId="29F44591" w14:textId="77777777" w:rsidTr="00F439E9">
        <w:trPr>
          <w:trHeight w:val="300"/>
          <w:jc w:val="center"/>
        </w:trPr>
        <w:tc>
          <w:tcPr>
            <w:tcW w:w="4075" w:type="dxa"/>
            <w:gridSpan w:val="4"/>
            <w:tcBorders>
              <w:top w:val="single" w:sz="4" w:space="0" w:color="auto"/>
              <w:bottom w:val="single" w:sz="4" w:space="0" w:color="auto"/>
              <w:right w:val="single" w:sz="4" w:space="0" w:color="auto"/>
            </w:tcBorders>
            <w:shd w:val="clear" w:color="auto" w:fill="auto"/>
            <w:noWrap/>
            <w:vAlign w:val="center"/>
            <w:hideMark/>
          </w:tcPr>
          <w:p w14:paraId="786DF9EB"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Chile</w:t>
            </w:r>
          </w:p>
        </w:tc>
        <w:tc>
          <w:tcPr>
            <w:tcW w:w="4144" w:type="dxa"/>
            <w:gridSpan w:val="4"/>
            <w:tcBorders>
              <w:top w:val="single" w:sz="4" w:space="0" w:color="auto"/>
              <w:left w:val="single" w:sz="4" w:space="0" w:color="auto"/>
              <w:bottom w:val="single" w:sz="4" w:space="0" w:color="auto"/>
            </w:tcBorders>
            <w:shd w:val="clear" w:color="auto" w:fill="auto"/>
            <w:noWrap/>
            <w:vAlign w:val="center"/>
            <w:hideMark/>
          </w:tcPr>
          <w:p w14:paraId="2E19AC50"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México</w:t>
            </w:r>
          </w:p>
        </w:tc>
      </w:tr>
      <w:tr w:rsidR="001554C3" w:rsidRPr="00AB315F" w14:paraId="4A55D383" w14:textId="77777777" w:rsidTr="00F439E9">
        <w:trPr>
          <w:trHeight w:val="290"/>
          <w:jc w:val="center"/>
        </w:trPr>
        <w:tc>
          <w:tcPr>
            <w:tcW w:w="1285" w:type="dxa"/>
            <w:gridSpan w:val="2"/>
            <w:tcBorders>
              <w:top w:val="single" w:sz="4" w:space="0" w:color="auto"/>
              <w:bottom w:val="single" w:sz="4" w:space="0" w:color="auto"/>
              <w:right w:val="nil"/>
            </w:tcBorders>
            <w:shd w:val="clear" w:color="auto" w:fill="auto"/>
            <w:noWrap/>
            <w:vAlign w:val="center"/>
            <w:hideMark/>
          </w:tcPr>
          <w:p w14:paraId="1B1D909D"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LAPOP 2006</w:t>
            </w:r>
          </w:p>
        </w:tc>
        <w:tc>
          <w:tcPr>
            <w:tcW w:w="2790" w:type="dxa"/>
            <w:gridSpan w:val="2"/>
            <w:tcBorders>
              <w:top w:val="single" w:sz="4" w:space="0" w:color="auto"/>
              <w:left w:val="nil"/>
              <w:bottom w:val="single" w:sz="4" w:space="0" w:color="auto"/>
              <w:right w:val="nil"/>
            </w:tcBorders>
            <w:shd w:val="clear" w:color="auto" w:fill="auto"/>
            <w:noWrap/>
            <w:vAlign w:val="center"/>
            <w:hideMark/>
          </w:tcPr>
          <w:p w14:paraId="58418EB5"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WVS 2006</w:t>
            </w:r>
          </w:p>
        </w:tc>
        <w:tc>
          <w:tcPr>
            <w:tcW w:w="1272" w:type="dxa"/>
            <w:gridSpan w:val="2"/>
            <w:tcBorders>
              <w:top w:val="single" w:sz="4" w:space="0" w:color="auto"/>
              <w:left w:val="single" w:sz="4" w:space="0" w:color="auto"/>
              <w:bottom w:val="single" w:sz="4" w:space="0" w:color="auto"/>
              <w:right w:val="nil"/>
            </w:tcBorders>
            <w:shd w:val="clear" w:color="auto" w:fill="auto"/>
            <w:noWrap/>
            <w:vAlign w:val="center"/>
            <w:hideMark/>
          </w:tcPr>
          <w:p w14:paraId="660C8E04"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LAPOP 2006</w:t>
            </w:r>
          </w:p>
        </w:tc>
        <w:tc>
          <w:tcPr>
            <w:tcW w:w="2872" w:type="dxa"/>
            <w:gridSpan w:val="2"/>
            <w:tcBorders>
              <w:top w:val="single" w:sz="4" w:space="0" w:color="auto"/>
              <w:left w:val="nil"/>
              <w:bottom w:val="single" w:sz="4" w:space="0" w:color="auto"/>
            </w:tcBorders>
            <w:shd w:val="clear" w:color="auto" w:fill="auto"/>
            <w:noWrap/>
            <w:vAlign w:val="center"/>
            <w:hideMark/>
          </w:tcPr>
          <w:p w14:paraId="0AB12E9C" w14:textId="77777777" w:rsidR="001554C3" w:rsidRPr="00AB315F" w:rsidRDefault="001554C3" w:rsidP="00F439E9">
            <w:pPr>
              <w:jc w:val="center"/>
              <w:rPr>
                <w:rFonts w:ascii="Calibri" w:hAnsi="Calibri"/>
                <w:b/>
                <w:bCs/>
                <w:sz w:val="22"/>
                <w:szCs w:val="22"/>
              </w:rPr>
            </w:pPr>
            <w:r w:rsidRPr="00AB315F">
              <w:rPr>
                <w:rFonts w:ascii="Calibri" w:hAnsi="Calibri"/>
                <w:b/>
                <w:bCs/>
                <w:sz w:val="22"/>
                <w:szCs w:val="22"/>
              </w:rPr>
              <w:t>WVS 2006</w:t>
            </w:r>
          </w:p>
        </w:tc>
      </w:tr>
      <w:tr w:rsidR="001554C3" w:rsidRPr="00AB315F" w14:paraId="76E9734D" w14:textId="77777777" w:rsidTr="008947A7">
        <w:trPr>
          <w:trHeight w:val="290"/>
          <w:jc w:val="center"/>
        </w:trPr>
        <w:tc>
          <w:tcPr>
            <w:tcW w:w="764" w:type="dxa"/>
            <w:tcBorders>
              <w:top w:val="single" w:sz="4" w:space="0" w:color="auto"/>
              <w:bottom w:val="nil"/>
              <w:right w:val="nil"/>
            </w:tcBorders>
            <w:shd w:val="clear" w:color="auto" w:fill="auto"/>
            <w:noWrap/>
            <w:vAlign w:val="center"/>
            <w:hideMark/>
          </w:tcPr>
          <w:p w14:paraId="59A0354F" w14:textId="77777777" w:rsidR="001554C3" w:rsidRPr="00AB315F" w:rsidRDefault="001554C3" w:rsidP="00F439E9">
            <w:pPr>
              <w:jc w:val="center"/>
              <w:rPr>
                <w:rFonts w:ascii="Calibri" w:hAnsi="Calibri"/>
                <w:sz w:val="22"/>
                <w:szCs w:val="22"/>
              </w:rPr>
            </w:pPr>
            <w:r w:rsidRPr="00AB315F">
              <w:rPr>
                <w:rFonts w:ascii="Calibri" w:hAnsi="Calibri"/>
                <w:sz w:val="22"/>
                <w:szCs w:val="22"/>
              </w:rPr>
              <w:t>Não</w:t>
            </w:r>
          </w:p>
        </w:tc>
        <w:tc>
          <w:tcPr>
            <w:tcW w:w="521" w:type="dxa"/>
            <w:tcBorders>
              <w:top w:val="single" w:sz="4" w:space="0" w:color="auto"/>
              <w:left w:val="nil"/>
              <w:bottom w:val="nil"/>
              <w:right w:val="nil"/>
            </w:tcBorders>
            <w:shd w:val="clear" w:color="auto" w:fill="auto"/>
            <w:noWrap/>
            <w:vAlign w:val="center"/>
            <w:hideMark/>
          </w:tcPr>
          <w:p w14:paraId="722A070A" w14:textId="77777777" w:rsidR="001554C3" w:rsidRPr="00AB315F" w:rsidRDefault="001554C3" w:rsidP="00F439E9">
            <w:pPr>
              <w:jc w:val="center"/>
              <w:rPr>
                <w:rFonts w:ascii="Calibri" w:hAnsi="Calibri"/>
                <w:sz w:val="22"/>
                <w:szCs w:val="22"/>
              </w:rPr>
            </w:pPr>
            <w:r w:rsidRPr="00AB315F">
              <w:rPr>
                <w:rFonts w:ascii="Calibri" w:hAnsi="Calibri"/>
                <w:sz w:val="22"/>
                <w:szCs w:val="22"/>
              </w:rPr>
              <w:t>84%</w:t>
            </w:r>
          </w:p>
        </w:tc>
        <w:tc>
          <w:tcPr>
            <w:tcW w:w="2105" w:type="dxa"/>
            <w:tcBorders>
              <w:top w:val="single" w:sz="4" w:space="0" w:color="auto"/>
              <w:left w:val="single" w:sz="4" w:space="0" w:color="auto"/>
              <w:bottom w:val="nil"/>
              <w:right w:val="nil"/>
            </w:tcBorders>
            <w:shd w:val="clear" w:color="auto" w:fill="auto"/>
            <w:noWrap/>
            <w:vAlign w:val="center"/>
            <w:hideMark/>
          </w:tcPr>
          <w:p w14:paraId="515D07B0" w14:textId="77777777" w:rsidR="001554C3" w:rsidRPr="00AB315F" w:rsidRDefault="001554C3" w:rsidP="00F439E9">
            <w:pPr>
              <w:jc w:val="center"/>
              <w:rPr>
                <w:rFonts w:ascii="Calibri" w:hAnsi="Calibri"/>
                <w:sz w:val="22"/>
                <w:szCs w:val="22"/>
              </w:rPr>
            </w:pPr>
            <w:r w:rsidRPr="00AB315F">
              <w:rPr>
                <w:rFonts w:ascii="Calibri" w:hAnsi="Calibri"/>
                <w:sz w:val="22"/>
                <w:szCs w:val="22"/>
              </w:rPr>
              <w:t>Nunca se justifica</w:t>
            </w:r>
          </w:p>
        </w:tc>
        <w:tc>
          <w:tcPr>
            <w:tcW w:w="685" w:type="dxa"/>
            <w:tcBorders>
              <w:top w:val="single" w:sz="4" w:space="0" w:color="auto"/>
              <w:left w:val="nil"/>
              <w:bottom w:val="nil"/>
              <w:right w:val="nil"/>
            </w:tcBorders>
            <w:shd w:val="clear" w:color="auto" w:fill="auto"/>
            <w:noWrap/>
            <w:vAlign w:val="center"/>
            <w:hideMark/>
          </w:tcPr>
          <w:p w14:paraId="78FCCAEB" w14:textId="77777777" w:rsidR="001554C3" w:rsidRPr="00AB315F" w:rsidRDefault="001554C3" w:rsidP="00F439E9">
            <w:pPr>
              <w:jc w:val="center"/>
              <w:rPr>
                <w:rFonts w:ascii="Calibri" w:hAnsi="Calibri"/>
                <w:sz w:val="22"/>
                <w:szCs w:val="22"/>
              </w:rPr>
            </w:pPr>
            <w:r w:rsidRPr="00AB315F">
              <w:rPr>
                <w:rFonts w:ascii="Calibri" w:hAnsi="Calibri"/>
                <w:sz w:val="22"/>
                <w:szCs w:val="22"/>
              </w:rPr>
              <w:t>70%</w:t>
            </w:r>
          </w:p>
        </w:tc>
        <w:tc>
          <w:tcPr>
            <w:tcW w:w="751" w:type="dxa"/>
            <w:tcBorders>
              <w:top w:val="single" w:sz="4" w:space="0" w:color="auto"/>
              <w:left w:val="single" w:sz="4" w:space="0" w:color="auto"/>
              <w:bottom w:val="nil"/>
              <w:right w:val="nil"/>
            </w:tcBorders>
            <w:shd w:val="clear" w:color="auto" w:fill="auto"/>
            <w:noWrap/>
            <w:vAlign w:val="center"/>
            <w:hideMark/>
          </w:tcPr>
          <w:p w14:paraId="15018D5D" w14:textId="77777777" w:rsidR="001554C3" w:rsidRPr="00AB315F" w:rsidRDefault="001554C3" w:rsidP="00F439E9">
            <w:pPr>
              <w:jc w:val="center"/>
              <w:rPr>
                <w:rFonts w:ascii="Calibri" w:hAnsi="Calibri"/>
                <w:sz w:val="22"/>
                <w:szCs w:val="22"/>
              </w:rPr>
            </w:pPr>
            <w:r w:rsidRPr="00AB315F">
              <w:rPr>
                <w:rFonts w:ascii="Calibri" w:hAnsi="Calibri"/>
                <w:sz w:val="22"/>
                <w:szCs w:val="22"/>
              </w:rPr>
              <w:t>Não</w:t>
            </w:r>
          </w:p>
        </w:tc>
        <w:tc>
          <w:tcPr>
            <w:tcW w:w="521" w:type="dxa"/>
            <w:tcBorders>
              <w:top w:val="single" w:sz="4" w:space="0" w:color="auto"/>
              <w:left w:val="nil"/>
              <w:bottom w:val="nil"/>
              <w:right w:val="nil"/>
            </w:tcBorders>
            <w:shd w:val="clear" w:color="auto" w:fill="auto"/>
            <w:noWrap/>
            <w:vAlign w:val="center"/>
            <w:hideMark/>
          </w:tcPr>
          <w:p w14:paraId="7798E327" w14:textId="77777777" w:rsidR="001554C3" w:rsidRPr="00AB315F" w:rsidRDefault="001554C3" w:rsidP="00F439E9">
            <w:pPr>
              <w:jc w:val="center"/>
              <w:rPr>
                <w:rFonts w:ascii="Calibri" w:hAnsi="Calibri"/>
                <w:sz w:val="22"/>
                <w:szCs w:val="22"/>
              </w:rPr>
            </w:pPr>
            <w:r w:rsidRPr="00AB315F">
              <w:rPr>
                <w:rFonts w:ascii="Calibri" w:hAnsi="Calibri"/>
                <w:sz w:val="22"/>
                <w:szCs w:val="22"/>
              </w:rPr>
              <w:t>71%</w:t>
            </w:r>
          </w:p>
        </w:tc>
        <w:tc>
          <w:tcPr>
            <w:tcW w:w="2067" w:type="dxa"/>
            <w:tcBorders>
              <w:top w:val="single" w:sz="4" w:space="0" w:color="auto"/>
              <w:left w:val="single" w:sz="4" w:space="0" w:color="auto"/>
              <w:bottom w:val="nil"/>
              <w:right w:val="nil"/>
            </w:tcBorders>
            <w:shd w:val="clear" w:color="auto" w:fill="auto"/>
            <w:noWrap/>
            <w:vAlign w:val="center"/>
            <w:hideMark/>
          </w:tcPr>
          <w:p w14:paraId="3F4F3C1D" w14:textId="77777777" w:rsidR="001554C3" w:rsidRPr="00AB315F" w:rsidRDefault="001554C3" w:rsidP="00F439E9">
            <w:pPr>
              <w:jc w:val="center"/>
              <w:rPr>
                <w:rFonts w:ascii="Calibri" w:hAnsi="Calibri"/>
                <w:sz w:val="22"/>
                <w:szCs w:val="22"/>
              </w:rPr>
            </w:pPr>
            <w:r w:rsidRPr="00AB315F">
              <w:rPr>
                <w:rFonts w:ascii="Calibri" w:hAnsi="Calibri"/>
                <w:sz w:val="22"/>
                <w:szCs w:val="22"/>
              </w:rPr>
              <w:t>Nunca se justifica</w:t>
            </w:r>
          </w:p>
        </w:tc>
        <w:tc>
          <w:tcPr>
            <w:tcW w:w="805" w:type="dxa"/>
            <w:tcBorders>
              <w:top w:val="single" w:sz="4" w:space="0" w:color="auto"/>
              <w:left w:val="nil"/>
              <w:bottom w:val="nil"/>
              <w:right w:val="nil"/>
            </w:tcBorders>
            <w:shd w:val="clear" w:color="auto" w:fill="auto"/>
            <w:vAlign w:val="center"/>
            <w:hideMark/>
          </w:tcPr>
          <w:p w14:paraId="5DC20292" w14:textId="77777777" w:rsidR="001554C3" w:rsidRPr="00AB315F" w:rsidRDefault="001554C3" w:rsidP="00F439E9">
            <w:pPr>
              <w:jc w:val="center"/>
              <w:rPr>
                <w:rFonts w:ascii="Calibri" w:hAnsi="Calibri"/>
                <w:sz w:val="22"/>
                <w:szCs w:val="22"/>
              </w:rPr>
            </w:pPr>
            <w:r w:rsidRPr="00AB315F">
              <w:rPr>
                <w:rFonts w:ascii="Calibri" w:hAnsi="Calibri"/>
                <w:sz w:val="22"/>
                <w:szCs w:val="22"/>
              </w:rPr>
              <w:t>62%</w:t>
            </w:r>
          </w:p>
        </w:tc>
      </w:tr>
      <w:tr w:rsidR="001554C3" w:rsidRPr="00AB315F" w14:paraId="54995949" w14:textId="77777777" w:rsidTr="008947A7">
        <w:trPr>
          <w:trHeight w:val="290"/>
          <w:jc w:val="center"/>
        </w:trPr>
        <w:tc>
          <w:tcPr>
            <w:tcW w:w="764" w:type="dxa"/>
            <w:tcBorders>
              <w:top w:val="nil"/>
              <w:bottom w:val="nil"/>
              <w:right w:val="nil"/>
            </w:tcBorders>
            <w:shd w:val="clear" w:color="auto" w:fill="auto"/>
            <w:noWrap/>
            <w:vAlign w:val="center"/>
            <w:hideMark/>
          </w:tcPr>
          <w:p w14:paraId="74F95020" w14:textId="77777777" w:rsidR="001554C3" w:rsidRPr="00AB315F" w:rsidRDefault="001554C3" w:rsidP="00F439E9">
            <w:pPr>
              <w:jc w:val="center"/>
              <w:rPr>
                <w:rFonts w:ascii="Calibri" w:hAnsi="Calibri"/>
                <w:sz w:val="22"/>
                <w:szCs w:val="22"/>
              </w:rPr>
            </w:pPr>
            <w:r w:rsidRPr="00AB315F">
              <w:rPr>
                <w:rFonts w:ascii="Calibri" w:hAnsi="Calibri"/>
                <w:sz w:val="22"/>
                <w:szCs w:val="22"/>
              </w:rPr>
              <w:t>Sim</w:t>
            </w:r>
          </w:p>
        </w:tc>
        <w:tc>
          <w:tcPr>
            <w:tcW w:w="521" w:type="dxa"/>
            <w:tcBorders>
              <w:top w:val="nil"/>
              <w:left w:val="nil"/>
              <w:bottom w:val="nil"/>
              <w:right w:val="nil"/>
            </w:tcBorders>
            <w:shd w:val="clear" w:color="auto" w:fill="auto"/>
            <w:noWrap/>
            <w:vAlign w:val="center"/>
            <w:hideMark/>
          </w:tcPr>
          <w:p w14:paraId="1B83BEE8" w14:textId="77777777" w:rsidR="001554C3" w:rsidRPr="00AB315F" w:rsidRDefault="001554C3" w:rsidP="00F439E9">
            <w:pPr>
              <w:jc w:val="center"/>
              <w:rPr>
                <w:rFonts w:ascii="Calibri" w:hAnsi="Calibri"/>
                <w:sz w:val="22"/>
                <w:szCs w:val="22"/>
              </w:rPr>
            </w:pPr>
            <w:r w:rsidRPr="00AB315F">
              <w:rPr>
                <w:rFonts w:ascii="Calibri" w:hAnsi="Calibri"/>
                <w:sz w:val="22"/>
                <w:szCs w:val="22"/>
              </w:rPr>
              <w:t>15%</w:t>
            </w:r>
          </w:p>
        </w:tc>
        <w:tc>
          <w:tcPr>
            <w:tcW w:w="2105" w:type="dxa"/>
            <w:tcBorders>
              <w:top w:val="nil"/>
              <w:left w:val="single" w:sz="4" w:space="0" w:color="auto"/>
              <w:bottom w:val="nil"/>
              <w:right w:val="nil"/>
            </w:tcBorders>
            <w:shd w:val="clear" w:color="auto" w:fill="auto"/>
            <w:noWrap/>
            <w:vAlign w:val="center"/>
            <w:hideMark/>
          </w:tcPr>
          <w:p w14:paraId="283F97AF"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c>
          <w:tcPr>
            <w:tcW w:w="685" w:type="dxa"/>
            <w:tcBorders>
              <w:top w:val="nil"/>
              <w:left w:val="nil"/>
              <w:bottom w:val="nil"/>
              <w:right w:val="nil"/>
            </w:tcBorders>
            <w:shd w:val="clear" w:color="auto" w:fill="auto"/>
            <w:noWrap/>
            <w:vAlign w:val="center"/>
            <w:hideMark/>
          </w:tcPr>
          <w:p w14:paraId="2AAAE067" w14:textId="77777777" w:rsidR="001554C3" w:rsidRPr="00AB315F" w:rsidRDefault="001554C3" w:rsidP="00F439E9">
            <w:pPr>
              <w:jc w:val="center"/>
              <w:rPr>
                <w:rFonts w:ascii="Calibri" w:hAnsi="Calibri"/>
                <w:sz w:val="22"/>
                <w:szCs w:val="22"/>
              </w:rPr>
            </w:pPr>
            <w:r w:rsidRPr="00AB315F">
              <w:rPr>
                <w:rFonts w:ascii="Calibri" w:hAnsi="Calibri"/>
                <w:sz w:val="22"/>
                <w:szCs w:val="22"/>
              </w:rPr>
              <w:t>11%</w:t>
            </w:r>
          </w:p>
        </w:tc>
        <w:tc>
          <w:tcPr>
            <w:tcW w:w="751" w:type="dxa"/>
            <w:tcBorders>
              <w:top w:val="nil"/>
              <w:left w:val="single" w:sz="4" w:space="0" w:color="auto"/>
              <w:bottom w:val="nil"/>
              <w:right w:val="nil"/>
            </w:tcBorders>
            <w:shd w:val="clear" w:color="auto" w:fill="auto"/>
            <w:noWrap/>
            <w:vAlign w:val="center"/>
            <w:hideMark/>
          </w:tcPr>
          <w:p w14:paraId="786FA25C" w14:textId="77777777" w:rsidR="001554C3" w:rsidRPr="00AB315F" w:rsidRDefault="001554C3" w:rsidP="00F439E9">
            <w:pPr>
              <w:jc w:val="center"/>
              <w:rPr>
                <w:rFonts w:ascii="Calibri" w:hAnsi="Calibri"/>
                <w:sz w:val="22"/>
                <w:szCs w:val="22"/>
              </w:rPr>
            </w:pPr>
            <w:r w:rsidRPr="00AB315F">
              <w:rPr>
                <w:rFonts w:ascii="Calibri" w:hAnsi="Calibri"/>
                <w:sz w:val="22"/>
                <w:szCs w:val="22"/>
              </w:rPr>
              <w:t>Sim</w:t>
            </w:r>
          </w:p>
        </w:tc>
        <w:tc>
          <w:tcPr>
            <w:tcW w:w="521" w:type="dxa"/>
            <w:tcBorders>
              <w:top w:val="nil"/>
              <w:left w:val="nil"/>
              <w:bottom w:val="nil"/>
              <w:right w:val="nil"/>
            </w:tcBorders>
            <w:shd w:val="clear" w:color="auto" w:fill="auto"/>
            <w:noWrap/>
            <w:vAlign w:val="center"/>
            <w:hideMark/>
          </w:tcPr>
          <w:p w14:paraId="6DB4A68B" w14:textId="77777777" w:rsidR="001554C3" w:rsidRPr="00AB315F" w:rsidRDefault="001554C3" w:rsidP="00F439E9">
            <w:pPr>
              <w:jc w:val="center"/>
              <w:rPr>
                <w:rFonts w:ascii="Calibri" w:hAnsi="Calibri"/>
                <w:sz w:val="22"/>
                <w:szCs w:val="22"/>
              </w:rPr>
            </w:pPr>
            <w:r w:rsidRPr="00AB315F">
              <w:rPr>
                <w:rFonts w:ascii="Calibri" w:hAnsi="Calibri"/>
                <w:sz w:val="22"/>
                <w:szCs w:val="22"/>
              </w:rPr>
              <w:t>26%</w:t>
            </w:r>
          </w:p>
        </w:tc>
        <w:tc>
          <w:tcPr>
            <w:tcW w:w="2067" w:type="dxa"/>
            <w:tcBorders>
              <w:top w:val="nil"/>
              <w:left w:val="single" w:sz="4" w:space="0" w:color="auto"/>
              <w:bottom w:val="nil"/>
              <w:right w:val="nil"/>
            </w:tcBorders>
            <w:shd w:val="clear" w:color="auto" w:fill="auto"/>
            <w:noWrap/>
            <w:vAlign w:val="center"/>
            <w:hideMark/>
          </w:tcPr>
          <w:p w14:paraId="46661DE7"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c>
          <w:tcPr>
            <w:tcW w:w="805" w:type="dxa"/>
            <w:tcBorders>
              <w:top w:val="nil"/>
              <w:left w:val="nil"/>
              <w:bottom w:val="nil"/>
              <w:right w:val="nil"/>
            </w:tcBorders>
            <w:shd w:val="clear" w:color="auto" w:fill="auto"/>
            <w:vAlign w:val="center"/>
            <w:hideMark/>
          </w:tcPr>
          <w:p w14:paraId="5696070D" w14:textId="77777777" w:rsidR="001554C3" w:rsidRPr="00AB315F" w:rsidRDefault="001554C3" w:rsidP="00F439E9">
            <w:pPr>
              <w:jc w:val="center"/>
              <w:rPr>
                <w:rFonts w:ascii="Calibri" w:hAnsi="Calibri"/>
                <w:sz w:val="22"/>
                <w:szCs w:val="22"/>
              </w:rPr>
            </w:pPr>
            <w:r w:rsidRPr="00AB315F">
              <w:rPr>
                <w:rFonts w:ascii="Calibri" w:hAnsi="Calibri"/>
                <w:sz w:val="22"/>
                <w:szCs w:val="22"/>
              </w:rPr>
              <w:t>8%</w:t>
            </w:r>
          </w:p>
        </w:tc>
      </w:tr>
      <w:tr w:rsidR="001554C3" w:rsidRPr="00AB315F" w14:paraId="3986E3F2" w14:textId="77777777" w:rsidTr="008947A7">
        <w:trPr>
          <w:trHeight w:val="290"/>
          <w:jc w:val="center"/>
        </w:trPr>
        <w:tc>
          <w:tcPr>
            <w:tcW w:w="764" w:type="dxa"/>
            <w:tcBorders>
              <w:top w:val="nil"/>
              <w:bottom w:val="nil"/>
              <w:right w:val="nil"/>
            </w:tcBorders>
            <w:shd w:val="clear" w:color="auto" w:fill="auto"/>
            <w:noWrap/>
            <w:vAlign w:val="center"/>
            <w:hideMark/>
          </w:tcPr>
          <w:p w14:paraId="1A031E03" w14:textId="77777777" w:rsidR="001554C3" w:rsidRPr="00AB315F" w:rsidRDefault="001554C3" w:rsidP="00F439E9">
            <w:pPr>
              <w:jc w:val="center"/>
              <w:rPr>
                <w:rFonts w:ascii="Calibri" w:hAnsi="Calibri"/>
                <w:sz w:val="22"/>
                <w:szCs w:val="22"/>
              </w:rPr>
            </w:pPr>
            <w:r w:rsidRPr="00AB315F">
              <w:rPr>
                <w:rFonts w:ascii="Calibri" w:hAnsi="Calibri"/>
                <w:sz w:val="22"/>
                <w:szCs w:val="22"/>
              </w:rPr>
              <w:t>NS/NR</w:t>
            </w:r>
          </w:p>
        </w:tc>
        <w:tc>
          <w:tcPr>
            <w:tcW w:w="521" w:type="dxa"/>
            <w:tcBorders>
              <w:top w:val="nil"/>
              <w:left w:val="nil"/>
              <w:bottom w:val="nil"/>
              <w:right w:val="nil"/>
            </w:tcBorders>
            <w:shd w:val="clear" w:color="auto" w:fill="auto"/>
            <w:noWrap/>
            <w:vAlign w:val="center"/>
            <w:hideMark/>
          </w:tcPr>
          <w:p w14:paraId="04A3206D"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c>
          <w:tcPr>
            <w:tcW w:w="2105" w:type="dxa"/>
            <w:tcBorders>
              <w:top w:val="nil"/>
              <w:left w:val="single" w:sz="4" w:space="0" w:color="auto"/>
              <w:bottom w:val="nil"/>
              <w:right w:val="nil"/>
            </w:tcBorders>
            <w:shd w:val="clear" w:color="auto" w:fill="auto"/>
            <w:noWrap/>
            <w:vAlign w:val="center"/>
            <w:hideMark/>
          </w:tcPr>
          <w:p w14:paraId="011FA615"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c>
          <w:tcPr>
            <w:tcW w:w="685" w:type="dxa"/>
            <w:tcBorders>
              <w:top w:val="nil"/>
              <w:left w:val="nil"/>
              <w:bottom w:val="nil"/>
              <w:right w:val="nil"/>
            </w:tcBorders>
            <w:shd w:val="clear" w:color="auto" w:fill="auto"/>
            <w:noWrap/>
            <w:vAlign w:val="center"/>
            <w:hideMark/>
          </w:tcPr>
          <w:p w14:paraId="363314C0" w14:textId="77777777" w:rsidR="001554C3" w:rsidRPr="00AB315F" w:rsidRDefault="001554C3" w:rsidP="00F439E9">
            <w:pPr>
              <w:jc w:val="center"/>
              <w:rPr>
                <w:rFonts w:ascii="Calibri" w:hAnsi="Calibri"/>
                <w:sz w:val="22"/>
                <w:szCs w:val="22"/>
              </w:rPr>
            </w:pPr>
            <w:r w:rsidRPr="00AB315F">
              <w:rPr>
                <w:rFonts w:ascii="Calibri" w:hAnsi="Calibri"/>
                <w:sz w:val="22"/>
                <w:szCs w:val="22"/>
              </w:rPr>
              <w:t>7%</w:t>
            </w:r>
          </w:p>
        </w:tc>
        <w:tc>
          <w:tcPr>
            <w:tcW w:w="751" w:type="dxa"/>
            <w:tcBorders>
              <w:top w:val="nil"/>
              <w:left w:val="single" w:sz="4" w:space="0" w:color="auto"/>
              <w:bottom w:val="nil"/>
              <w:right w:val="nil"/>
            </w:tcBorders>
            <w:shd w:val="clear" w:color="auto" w:fill="auto"/>
            <w:noWrap/>
            <w:vAlign w:val="center"/>
            <w:hideMark/>
          </w:tcPr>
          <w:p w14:paraId="60AFC82A" w14:textId="77777777" w:rsidR="001554C3" w:rsidRPr="00AB315F" w:rsidRDefault="001554C3" w:rsidP="00F439E9">
            <w:pPr>
              <w:jc w:val="center"/>
              <w:rPr>
                <w:rFonts w:ascii="Calibri" w:hAnsi="Calibri"/>
                <w:sz w:val="22"/>
                <w:szCs w:val="22"/>
              </w:rPr>
            </w:pPr>
            <w:r w:rsidRPr="00AB315F">
              <w:rPr>
                <w:rFonts w:ascii="Calibri" w:hAnsi="Calibri"/>
                <w:sz w:val="22"/>
                <w:szCs w:val="22"/>
              </w:rPr>
              <w:t>NS/NR</w:t>
            </w:r>
          </w:p>
        </w:tc>
        <w:tc>
          <w:tcPr>
            <w:tcW w:w="521" w:type="dxa"/>
            <w:tcBorders>
              <w:top w:val="nil"/>
              <w:left w:val="nil"/>
              <w:bottom w:val="nil"/>
              <w:right w:val="nil"/>
            </w:tcBorders>
            <w:shd w:val="clear" w:color="auto" w:fill="auto"/>
            <w:noWrap/>
            <w:vAlign w:val="center"/>
            <w:hideMark/>
          </w:tcPr>
          <w:p w14:paraId="529EE453"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c>
          <w:tcPr>
            <w:tcW w:w="2067" w:type="dxa"/>
            <w:tcBorders>
              <w:top w:val="nil"/>
              <w:left w:val="single" w:sz="4" w:space="0" w:color="auto"/>
              <w:bottom w:val="nil"/>
              <w:right w:val="nil"/>
            </w:tcBorders>
            <w:shd w:val="clear" w:color="auto" w:fill="auto"/>
            <w:noWrap/>
            <w:vAlign w:val="center"/>
            <w:hideMark/>
          </w:tcPr>
          <w:p w14:paraId="34AA21AA"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c>
          <w:tcPr>
            <w:tcW w:w="805" w:type="dxa"/>
            <w:tcBorders>
              <w:top w:val="nil"/>
              <w:left w:val="nil"/>
              <w:bottom w:val="nil"/>
              <w:right w:val="nil"/>
            </w:tcBorders>
            <w:shd w:val="clear" w:color="auto" w:fill="auto"/>
            <w:vAlign w:val="center"/>
            <w:hideMark/>
          </w:tcPr>
          <w:p w14:paraId="7DDA449B" w14:textId="77777777" w:rsidR="001554C3" w:rsidRPr="00AB315F" w:rsidRDefault="001554C3" w:rsidP="00F439E9">
            <w:pPr>
              <w:jc w:val="center"/>
              <w:rPr>
                <w:rFonts w:ascii="Calibri" w:hAnsi="Calibri"/>
                <w:sz w:val="22"/>
                <w:szCs w:val="22"/>
              </w:rPr>
            </w:pPr>
            <w:r w:rsidRPr="00AB315F">
              <w:rPr>
                <w:rFonts w:ascii="Calibri" w:hAnsi="Calibri"/>
                <w:sz w:val="22"/>
                <w:szCs w:val="22"/>
              </w:rPr>
              <w:t>5%</w:t>
            </w:r>
          </w:p>
        </w:tc>
      </w:tr>
      <w:tr w:rsidR="001554C3" w:rsidRPr="00AB315F" w14:paraId="2029CD93" w14:textId="77777777" w:rsidTr="008947A7">
        <w:trPr>
          <w:trHeight w:val="290"/>
          <w:jc w:val="center"/>
        </w:trPr>
        <w:tc>
          <w:tcPr>
            <w:tcW w:w="764" w:type="dxa"/>
            <w:tcBorders>
              <w:top w:val="nil"/>
              <w:bottom w:val="nil"/>
              <w:right w:val="nil"/>
            </w:tcBorders>
            <w:shd w:val="clear" w:color="auto" w:fill="auto"/>
            <w:noWrap/>
            <w:vAlign w:val="center"/>
            <w:hideMark/>
          </w:tcPr>
          <w:p w14:paraId="06E39BA6"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64D6F5E3" w14:textId="77777777" w:rsidR="001554C3" w:rsidRPr="00AB315F" w:rsidRDefault="001554C3" w:rsidP="00F439E9">
            <w:pPr>
              <w:jc w:val="center"/>
              <w:rPr>
                <w:rFonts w:ascii="Calibri" w:hAnsi="Calibri"/>
                <w:sz w:val="22"/>
                <w:szCs w:val="22"/>
              </w:rPr>
            </w:pPr>
          </w:p>
        </w:tc>
        <w:tc>
          <w:tcPr>
            <w:tcW w:w="2105" w:type="dxa"/>
            <w:tcBorders>
              <w:top w:val="nil"/>
              <w:left w:val="single" w:sz="4" w:space="0" w:color="auto"/>
              <w:bottom w:val="nil"/>
              <w:right w:val="nil"/>
            </w:tcBorders>
            <w:shd w:val="clear" w:color="auto" w:fill="auto"/>
            <w:noWrap/>
            <w:vAlign w:val="center"/>
            <w:hideMark/>
          </w:tcPr>
          <w:p w14:paraId="25A3E35A" w14:textId="77777777" w:rsidR="001554C3" w:rsidRPr="00AB315F" w:rsidRDefault="001554C3" w:rsidP="00F439E9">
            <w:pPr>
              <w:jc w:val="center"/>
              <w:rPr>
                <w:rFonts w:ascii="Calibri" w:hAnsi="Calibri"/>
                <w:sz w:val="22"/>
                <w:szCs w:val="22"/>
              </w:rPr>
            </w:pPr>
            <w:r w:rsidRPr="00AB315F">
              <w:rPr>
                <w:rFonts w:ascii="Calibri" w:hAnsi="Calibri"/>
                <w:sz w:val="22"/>
                <w:szCs w:val="22"/>
              </w:rPr>
              <w:t>4</w:t>
            </w:r>
          </w:p>
        </w:tc>
        <w:tc>
          <w:tcPr>
            <w:tcW w:w="685" w:type="dxa"/>
            <w:tcBorders>
              <w:top w:val="nil"/>
              <w:left w:val="nil"/>
              <w:bottom w:val="nil"/>
              <w:right w:val="nil"/>
            </w:tcBorders>
            <w:shd w:val="clear" w:color="auto" w:fill="auto"/>
            <w:noWrap/>
            <w:vAlign w:val="center"/>
            <w:hideMark/>
          </w:tcPr>
          <w:p w14:paraId="1B55BE07"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c>
          <w:tcPr>
            <w:tcW w:w="751" w:type="dxa"/>
            <w:tcBorders>
              <w:top w:val="nil"/>
              <w:left w:val="single" w:sz="4" w:space="0" w:color="auto"/>
              <w:bottom w:val="nil"/>
              <w:right w:val="nil"/>
            </w:tcBorders>
            <w:shd w:val="clear" w:color="auto" w:fill="auto"/>
            <w:noWrap/>
            <w:vAlign w:val="center"/>
            <w:hideMark/>
          </w:tcPr>
          <w:p w14:paraId="4367CD36"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00387314"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10A36D4E" w14:textId="77777777" w:rsidR="001554C3" w:rsidRPr="00AB315F" w:rsidRDefault="001554C3" w:rsidP="00F439E9">
            <w:pPr>
              <w:jc w:val="center"/>
              <w:rPr>
                <w:rFonts w:ascii="Calibri" w:hAnsi="Calibri"/>
                <w:sz w:val="22"/>
                <w:szCs w:val="22"/>
              </w:rPr>
            </w:pPr>
            <w:r w:rsidRPr="00AB315F">
              <w:rPr>
                <w:rFonts w:ascii="Calibri" w:hAnsi="Calibri"/>
                <w:sz w:val="22"/>
                <w:szCs w:val="22"/>
              </w:rPr>
              <w:t>4</w:t>
            </w:r>
          </w:p>
        </w:tc>
        <w:tc>
          <w:tcPr>
            <w:tcW w:w="805" w:type="dxa"/>
            <w:tcBorders>
              <w:top w:val="nil"/>
              <w:left w:val="nil"/>
              <w:bottom w:val="nil"/>
              <w:right w:val="nil"/>
            </w:tcBorders>
            <w:shd w:val="clear" w:color="auto" w:fill="auto"/>
            <w:vAlign w:val="center"/>
            <w:hideMark/>
          </w:tcPr>
          <w:p w14:paraId="68A5152A" w14:textId="77777777" w:rsidR="001554C3" w:rsidRPr="00AB315F" w:rsidRDefault="001554C3" w:rsidP="00F439E9">
            <w:pPr>
              <w:jc w:val="center"/>
              <w:rPr>
                <w:rFonts w:ascii="Calibri" w:hAnsi="Calibri"/>
                <w:sz w:val="22"/>
                <w:szCs w:val="22"/>
              </w:rPr>
            </w:pPr>
            <w:r w:rsidRPr="00AB315F">
              <w:rPr>
                <w:rFonts w:ascii="Calibri" w:hAnsi="Calibri"/>
                <w:sz w:val="22"/>
                <w:szCs w:val="22"/>
              </w:rPr>
              <w:t>4%</w:t>
            </w:r>
          </w:p>
        </w:tc>
      </w:tr>
      <w:tr w:rsidR="001554C3" w:rsidRPr="00AB315F" w14:paraId="2C1B8D37" w14:textId="77777777" w:rsidTr="008947A7">
        <w:trPr>
          <w:trHeight w:val="290"/>
          <w:jc w:val="center"/>
        </w:trPr>
        <w:tc>
          <w:tcPr>
            <w:tcW w:w="764" w:type="dxa"/>
            <w:tcBorders>
              <w:top w:val="nil"/>
              <w:bottom w:val="nil"/>
              <w:right w:val="nil"/>
            </w:tcBorders>
            <w:shd w:val="clear" w:color="auto" w:fill="auto"/>
            <w:noWrap/>
            <w:vAlign w:val="center"/>
            <w:hideMark/>
          </w:tcPr>
          <w:p w14:paraId="7EC039DE"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2F790611" w14:textId="77777777" w:rsidR="001554C3" w:rsidRPr="00AB315F" w:rsidRDefault="001554C3" w:rsidP="00F439E9">
            <w:pPr>
              <w:jc w:val="center"/>
              <w:rPr>
                <w:rFonts w:ascii="Calibri" w:hAnsi="Calibri"/>
                <w:sz w:val="22"/>
                <w:szCs w:val="22"/>
              </w:rPr>
            </w:pPr>
          </w:p>
        </w:tc>
        <w:tc>
          <w:tcPr>
            <w:tcW w:w="2105" w:type="dxa"/>
            <w:tcBorders>
              <w:top w:val="nil"/>
              <w:left w:val="single" w:sz="4" w:space="0" w:color="auto"/>
              <w:bottom w:val="nil"/>
              <w:right w:val="nil"/>
            </w:tcBorders>
            <w:shd w:val="clear" w:color="auto" w:fill="auto"/>
            <w:noWrap/>
            <w:vAlign w:val="center"/>
            <w:hideMark/>
          </w:tcPr>
          <w:p w14:paraId="50EA7CF0" w14:textId="77777777" w:rsidR="001554C3" w:rsidRPr="00AB315F" w:rsidRDefault="001554C3" w:rsidP="00F439E9">
            <w:pPr>
              <w:jc w:val="center"/>
              <w:rPr>
                <w:rFonts w:ascii="Calibri" w:hAnsi="Calibri"/>
                <w:sz w:val="22"/>
                <w:szCs w:val="22"/>
              </w:rPr>
            </w:pPr>
            <w:r w:rsidRPr="00AB315F">
              <w:rPr>
                <w:rFonts w:ascii="Calibri" w:hAnsi="Calibri"/>
                <w:sz w:val="22"/>
                <w:szCs w:val="22"/>
              </w:rPr>
              <w:t>5</w:t>
            </w:r>
          </w:p>
        </w:tc>
        <w:tc>
          <w:tcPr>
            <w:tcW w:w="685" w:type="dxa"/>
            <w:tcBorders>
              <w:top w:val="nil"/>
              <w:left w:val="nil"/>
              <w:bottom w:val="nil"/>
              <w:right w:val="nil"/>
            </w:tcBorders>
            <w:shd w:val="clear" w:color="auto" w:fill="auto"/>
            <w:noWrap/>
            <w:vAlign w:val="center"/>
            <w:hideMark/>
          </w:tcPr>
          <w:p w14:paraId="4EC7D6F5"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c>
          <w:tcPr>
            <w:tcW w:w="751" w:type="dxa"/>
            <w:tcBorders>
              <w:top w:val="nil"/>
              <w:left w:val="single" w:sz="4" w:space="0" w:color="auto"/>
              <w:bottom w:val="nil"/>
              <w:right w:val="nil"/>
            </w:tcBorders>
            <w:shd w:val="clear" w:color="auto" w:fill="auto"/>
            <w:noWrap/>
            <w:vAlign w:val="center"/>
            <w:hideMark/>
          </w:tcPr>
          <w:p w14:paraId="638E51B0"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65E0C139"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7A61A44F" w14:textId="77777777" w:rsidR="001554C3" w:rsidRPr="00AB315F" w:rsidRDefault="001554C3" w:rsidP="00F439E9">
            <w:pPr>
              <w:jc w:val="center"/>
              <w:rPr>
                <w:rFonts w:ascii="Calibri" w:hAnsi="Calibri"/>
                <w:sz w:val="22"/>
                <w:szCs w:val="22"/>
              </w:rPr>
            </w:pPr>
            <w:r w:rsidRPr="00AB315F">
              <w:rPr>
                <w:rFonts w:ascii="Calibri" w:hAnsi="Calibri"/>
                <w:sz w:val="22"/>
                <w:szCs w:val="22"/>
              </w:rPr>
              <w:t>5</w:t>
            </w:r>
          </w:p>
        </w:tc>
        <w:tc>
          <w:tcPr>
            <w:tcW w:w="805" w:type="dxa"/>
            <w:tcBorders>
              <w:top w:val="nil"/>
              <w:left w:val="nil"/>
              <w:bottom w:val="nil"/>
              <w:right w:val="nil"/>
            </w:tcBorders>
            <w:shd w:val="clear" w:color="auto" w:fill="auto"/>
            <w:vAlign w:val="center"/>
            <w:hideMark/>
          </w:tcPr>
          <w:p w14:paraId="0EE96D87" w14:textId="77777777" w:rsidR="001554C3" w:rsidRPr="00AB315F" w:rsidRDefault="001554C3" w:rsidP="00F439E9">
            <w:pPr>
              <w:jc w:val="center"/>
              <w:rPr>
                <w:rFonts w:ascii="Calibri" w:hAnsi="Calibri"/>
                <w:sz w:val="22"/>
                <w:szCs w:val="22"/>
              </w:rPr>
            </w:pPr>
            <w:r w:rsidRPr="00AB315F">
              <w:rPr>
                <w:rFonts w:ascii="Calibri" w:hAnsi="Calibri"/>
                <w:sz w:val="22"/>
                <w:szCs w:val="22"/>
              </w:rPr>
              <w:t>5%</w:t>
            </w:r>
          </w:p>
        </w:tc>
      </w:tr>
      <w:tr w:rsidR="001554C3" w:rsidRPr="00AB315F" w14:paraId="48BE2CC0" w14:textId="77777777" w:rsidTr="008947A7">
        <w:trPr>
          <w:trHeight w:val="290"/>
          <w:jc w:val="center"/>
        </w:trPr>
        <w:tc>
          <w:tcPr>
            <w:tcW w:w="764" w:type="dxa"/>
            <w:tcBorders>
              <w:top w:val="nil"/>
              <w:bottom w:val="nil"/>
              <w:right w:val="nil"/>
            </w:tcBorders>
            <w:shd w:val="clear" w:color="auto" w:fill="auto"/>
            <w:noWrap/>
            <w:vAlign w:val="center"/>
            <w:hideMark/>
          </w:tcPr>
          <w:p w14:paraId="38054129"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3CA194FE" w14:textId="77777777" w:rsidR="001554C3" w:rsidRPr="00AB315F" w:rsidRDefault="001554C3" w:rsidP="00F439E9">
            <w:pPr>
              <w:jc w:val="center"/>
              <w:rPr>
                <w:rFonts w:ascii="Calibri" w:hAnsi="Calibri"/>
                <w:sz w:val="22"/>
                <w:szCs w:val="22"/>
              </w:rPr>
            </w:pPr>
          </w:p>
        </w:tc>
        <w:tc>
          <w:tcPr>
            <w:tcW w:w="2105" w:type="dxa"/>
            <w:tcBorders>
              <w:top w:val="nil"/>
              <w:left w:val="single" w:sz="4" w:space="0" w:color="auto"/>
              <w:bottom w:val="nil"/>
              <w:right w:val="nil"/>
            </w:tcBorders>
            <w:shd w:val="clear" w:color="auto" w:fill="auto"/>
            <w:noWrap/>
            <w:vAlign w:val="center"/>
            <w:hideMark/>
          </w:tcPr>
          <w:p w14:paraId="1DDD989C" w14:textId="77777777" w:rsidR="001554C3" w:rsidRPr="00AB315F" w:rsidRDefault="001554C3" w:rsidP="00F439E9">
            <w:pPr>
              <w:jc w:val="center"/>
              <w:rPr>
                <w:rFonts w:ascii="Calibri" w:hAnsi="Calibri"/>
                <w:sz w:val="22"/>
                <w:szCs w:val="22"/>
              </w:rPr>
            </w:pPr>
            <w:r w:rsidRPr="00AB315F">
              <w:rPr>
                <w:rFonts w:ascii="Calibri" w:hAnsi="Calibri"/>
                <w:sz w:val="22"/>
                <w:szCs w:val="22"/>
              </w:rPr>
              <w:t>6</w:t>
            </w:r>
          </w:p>
        </w:tc>
        <w:tc>
          <w:tcPr>
            <w:tcW w:w="685" w:type="dxa"/>
            <w:tcBorders>
              <w:top w:val="nil"/>
              <w:left w:val="nil"/>
              <w:bottom w:val="nil"/>
              <w:right w:val="nil"/>
            </w:tcBorders>
            <w:shd w:val="clear" w:color="auto" w:fill="auto"/>
            <w:noWrap/>
            <w:vAlign w:val="center"/>
            <w:hideMark/>
          </w:tcPr>
          <w:p w14:paraId="59346553" w14:textId="77777777" w:rsidR="001554C3" w:rsidRPr="00AB315F" w:rsidRDefault="001554C3" w:rsidP="00F439E9">
            <w:pPr>
              <w:jc w:val="center"/>
              <w:rPr>
                <w:rFonts w:ascii="Calibri" w:hAnsi="Calibri"/>
                <w:sz w:val="22"/>
                <w:szCs w:val="22"/>
              </w:rPr>
            </w:pPr>
            <w:r w:rsidRPr="00AB315F">
              <w:rPr>
                <w:rFonts w:ascii="Calibri" w:hAnsi="Calibri"/>
                <w:sz w:val="22"/>
                <w:szCs w:val="22"/>
              </w:rPr>
              <w:t>8%</w:t>
            </w:r>
          </w:p>
        </w:tc>
        <w:tc>
          <w:tcPr>
            <w:tcW w:w="751" w:type="dxa"/>
            <w:tcBorders>
              <w:top w:val="nil"/>
              <w:left w:val="single" w:sz="4" w:space="0" w:color="auto"/>
              <w:bottom w:val="nil"/>
              <w:right w:val="nil"/>
            </w:tcBorders>
            <w:shd w:val="clear" w:color="auto" w:fill="auto"/>
            <w:noWrap/>
            <w:vAlign w:val="center"/>
            <w:hideMark/>
          </w:tcPr>
          <w:p w14:paraId="4A1FF406"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46E15FF9"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4F2BAC79" w14:textId="77777777" w:rsidR="001554C3" w:rsidRPr="00AB315F" w:rsidRDefault="001554C3" w:rsidP="00F439E9">
            <w:pPr>
              <w:jc w:val="center"/>
              <w:rPr>
                <w:rFonts w:ascii="Calibri" w:hAnsi="Calibri"/>
                <w:sz w:val="22"/>
                <w:szCs w:val="22"/>
              </w:rPr>
            </w:pPr>
            <w:r w:rsidRPr="00AB315F">
              <w:rPr>
                <w:rFonts w:ascii="Calibri" w:hAnsi="Calibri"/>
                <w:sz w:val="22"/>
                <w:szCs w:val="22"/>
              </w:rPr>
              <w:t>6</w:t>
            </w:r>
          </w:p>
        </w:tc>
        <w:tc>
          <w:tcPr>
            <w:tcW w:w="805" w:type="dxa"/>
            <w:tcBorders>
              <w:top w:val="nil"/>
              <w:left w:val="nil"/>
              <w:bottom w:val="nil"/>
              <w:right w:val="nil"/>
            </w:tcBorders>
            <w:shd w:val="clear" w:color="auto" w:fill="auto"/>
            <w:vAlign w:val="center"/>
            <w:hideMark/>
          </w:tcPr>
          <w:p w14:paraId="59846FB4"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r>
      <w:tr w:rsidR="001554C3" w:rsidRPr="00AB315F" w14:paraId="73D231A4" w14:textId="77777777" w:rsidTr="008947A7">
        <w:trPr>
          <w:trHeight w:val="290"/>
          <w:jc w:val="center"/>
        </w:trPr>
        <w:tc>
          <w:tcPr>
            <w:tcW w:w="764" w:type="dxa"/>
            <w:tcBorders>
              <w:top w:val="nil"/>
              <w:bottom w:val="nil"/>
              <w:right w:val="nil"/>
            </w:tcBorders>
            <w:shd w:val="clear" w:color="auto" w:fill="auto"/>
            <w:noWrap/>
            <w:vAlign w:val="center"/>
            <w:hideMark/>
          </w:tcPr>
          <w:p w14:paraId="42C78BDB"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7C4D1CAF" w14:textId="77777777" w:rsidR="001554C3" w:rsidRPr="00AB315F" w:rsidRDefault="001554C3" w:rsidP="00F439E9">
            <w:pPr>
              <w:jc w:val="center"/>
              <w:rPr>
                <w:rFonts w:ascii="Calibri" w:hAnsi="Calibri"/>
                <w:sz w:val="22"/>
                <w:szCs w:val="22"/>
              </w:rPr>
            </w:pPr>
          </w:p>
        </w:tc>
        <w:tc>
          <w:tcPr>
            <w:tcW w:w="2105" w:type="dxa"/>
            <w:tcBorders>
              <w:top w:val="nil"/>
              <w:left w:val="single" w:sz="4" w:space="0" w:color="auto"/>
              <w:bottom w:val="nil"/>
              <w:right w:val="nil"/>
            </w:tcBorders>
            <w:shd w:val="clear" w:color="auto" w:fill="auto"/>
            <w:noWrap/>
            <w:vAlign w:val="center"/>
            <w:hideMark/>
          </w:tcPr>
          <w:p w14:paraId="35525465" w14:textId="77777777" w:rsidR="001554C3" w:rsidRPr="00AB315F" w:rsidRDefault="001554C3" w:rsidP="00F439E9">
            <w:pPr>
              <w:jc w:val="center"/>
              <w:rPr>
                <w:rFonts w:ascii="Calibri" w:hAnsi="Calibri"/>
                <w:sz w:val="22"/>
                <w:szCs w:val="22"/>
              </w:rPr>
            </w:pPr>
            <w:r w:rsidRPr="00AB315F">
              <w:rPr>
                <w:rFonts w:ascii="Calibri" w:hAnsi="Calibri"/>
                <w:sz w:val="22"/>
                <w:szCs w:val="22"/>
              </w:rPr>
              <w:t>7</w:t>
            </w:r>
          </w:p>
        </w:tc>
        <w:tc>
          <w:tcPr>
            <w:tcW w:w="685" w:type="dxa"/>
            <w:tcBorders>
              <w:top w:val="nil"/>
              <w:left w:val="nil"/>
              <w:bottom w:val="nil"/>
              <w:right w:val="nil"/>
            </w:tcBorders>
            <w:shd w:val="clear" w:color="auto" w:fill="auto"/>
            <w:noWrap/>
            <w:vAlign w:val="center"/>
            <w:hideMark/>
          </w:tcPr>
          <w:p w14:paraId="327C730B" w14:textId="77777777" w:rsidR="001554C3" w:rsidRPr="00AB315F" w:rsidRDefault="001554C3" w:rsidP="00F439E9">
            <w:pPr>
              <w:jc w:val="center"/>
              <w:rPr>
                <w:rFonts w:ascii="Calibri" w:hAnsi="Calibri"/>
                <w:sz w:val="22"/>
                <w:szCs w:val="22"/>
              </w:rPr>
            </w:pPr>
            <w:r w:rsidRPr="00AB315F">
              <w:rPr>
                <w:rFonts w:ascii="Calibri" w:hAnsi="Calibri"/>
                <w:sz w:val="22"/>
                <w:szCs w:val="22"/>
              </w:rPr>
              <w:t>6%</w:t>
            </w:r>
          </w:p>
        </w:tc>
        <w:tc>
          <w:tcPr>
            <w:tcW w:w="751" w:type="dxa"/>
            <w:tcBorders>
              <w:top w:val="nil"/>
              <w:left w:val="single" w:sz="4" w:space="0" w:color="auto"/>
              <w:bottom w:val="nil"/>
              <w:right w:val="nil"/>
            </w:tcBorders>
            <w:shd w:val="clear" w:color="auto" w:fill="auto"/>
            <w:noWrap/>
            <w:vAlign w:val="center"/>
            <w:hideMark/>
          </w:tcPr>
          <w:p w14:paraId="6B564A5B"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686F6B55"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157599D6" w14:textId="77777777" w:rsidR="001554C3" w:rsidRPr="00AB315F" w:rsidRDefault="001554C3" w:rsidP="00F439E9">
            <w:pPr>
              <w:jc w:val="center"/>
              <w:rPr>
                <w:rFonts w:ascii="Calibri" w:hAnsi="Calibri"/>
                <w:sz w:val="22"/>
                <w:szCs w:val="22"/>
              </w:rPr>
            </w:pPr>
            <w:r w:rsidRPr="00AB315F">
              <w:rPr>
                <w:rFonts w:ascii="Calibri" w:hAnsi="Calibri"/>
                <w:sz w:val="22"/>
                <w:szCs w:val="22"/>
              </w:rPr>
              <w:t>7</w:t>
            </w:r>
          </w:p>
        </w:tc>
        <w:tc>
          <w:tcPr>
            <w:tcW w:w="805" w:type="dxa"/>
            <w:tcBorders>
              <w:top w:val="nil"/>
              <w:left w:val="nil"/>
              <w:bottom w:val="nil"/>
              <w:right w:val="nil"/>
            </w:tcBorders>
            <w:shd w:val="clear" w:color="auto" w:fill="auto"/>
            <w:vAlign w:val="center"/>
            <w:hideMark/>
          </w:tcPr>
          <w:p w14:paraId="5B9B672E"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r>
      <w:tr w:rsidR="001554C3" w:rsidRPr="00AB315F" w14:paraId="1310F3B8" w14:textId="77777777" w:rsidTr="008947A7">
        <w:trPr>
          <w:trHeight w:val="290"/>
          <w:jc w:val="center"/>
        </w:trPr>
        <w:tc>
          <w:tcPr>
            <w:tcW w:w="764" w:type="dxa"/>
            <w:tcBorders>
              <w:top w:val="nil"/>
              <w:bottom w:val="nil"/>
              <w:right w:val="nil"/>
            </w:tcBorders>
            <w:shd w:val="clear" w:color="auto" w:fill="auto"/>
            <w:noWrap/>
            <w:vAlign w:val="center"/>
            <w:hideMark/>
          </w:tcPr>
          <w:p w14:paraId="61C749ED"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356BF1EC" w14:textId="77777777" w:rsidR="001554C3" w:rsidRPr="00AB315F" w:rsidRDefault="001554C3" w:rsidP="00F439E9">
            <w:pPr>
              <w:jc w:val="center"/>
              <w:rPr>
                <w:rFonts w:ascii="Calibri" w:hAnsi="Calibri"/>
                <w:sz w:val="22"/>
                <w:szCs w:val="22"/>
              </w:rPr>
            </w:pPr>
          </w:p>
        </w:tc>
        <w:tc>
          <w:tcPr>
            <w:tcW w:w="2105" w:type="dxa"/>
            <w:tcBorders>
              <w:top w:val="nil"/>
              <w:left w:val="single" w:sz="4" w:space="0" w:color="auto"/>
              <w:bottom w:val="nil"/>
              <w:right w:val="nil"/>
            </w:tcBorders>
            <w:shd w:val="clear" w:color="auto" w:fill="auto"/>
            <w:noWrap/>
            <w:vAlign w:val="center"/>
            <w:hideMark/>
          </w:tcPr>
          <w:p w14:paraId="092CC8FF" w14:textId="77777777" w:rsidR="001554C3" w:rsidRPr="00AB315F" w:rsidRDefault="001554C3" w:rsidP="00F439E9">
            <w:pPr>
              <w:jc w:val="center"/>
              <w:rPr>
                <w:rFonts w:ascii="Calibri" w:hAnsi="Calibri"/>
                <w:sz w:val="22"/>
                <w:szCs w:val="22"/>
              </w:rPr>
            </w:pPr>
            <w:r w:rsidRPr="00AB315F">
              <w:rPr>
                <w:rFonts w:ascii="Calibri" w:hAnsi="Calibri"/>
                <w:sz w:val="22"/>
                <w:szCs w:val="22"/>
              </w:rPr>
              <w:t>8</w:t>
            </w:r>
          </w:p>
        </w:tc>
        <w:tc>
          <w:tcPr>
            <w:tcW w:w="685" w:type="dxa"/>
            <w:tcBorders>
              <w:top w:val="nil"/>
              <w:left w:val="nil"/>
              <w:bottom w:val="nil"/>
              <w:right w:val="nil"/>
            </w:tcBorders>
            <w:shd w:val="clear" w:color="auto" w:fill="auto"/>
            <w:noWrap/>
            <w:vAlign w:val="center"/>
            <w:hideMark/>
          </w:tcPr>
          <w:p w14:paraId="1627A572" w14:textId="77777777" w:rsidR="001554C3" w:rsidRPr="00AB315F" w:rsidRDefault="001554C3" w:rsidP="00F439E9">
            <w:pPr>
              <w:jc w:val="center"/>
              <w:rPr>
                <w:rFonts w:ascii="Calibri" w:hAnsi="Calibri"/>
                <w:sz w:val="22"/>
                <w:szCs w:val="22"/>
              </w:rPr>
            </w:pPr>
            <w:r w:rsidRPr="00AB315F">
              <w:rPr>
                <w:rFonts w:ascii="Calibri" w:hAnsi="Calibri"/>
                <w:sz w:val="22"/>
                <w:szCs w:val="22"/>
              </w:rPr>
              <w:t>5%</w:t>
            </w:r>
          </w:p>
        </w:tc>
        <w:tc>
          <w:tcPr>
            <w:tcW w:w="751" w:type="dxa"/>
            <w:tcBorders>
              <w:top w:val="nil"/>
              <w:left w:val="single" w:sz="4" w:space="0" w:color="auto"/>
              <w:bottom w:val="nil"/>
              <w:right w:val="nil"/>
            </w:tcBorders>
            <w:shd w:val="clear" w:color="auto" w:fill="auto"/>
            <w:noWrap/>
            <w:vAlign w:val="center"/>
            <w:hideMark/>
          </w:tcPr>
          <w:p w14:paraId="0A02D2D8"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295F6670"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4BE9927B" w14:textId="77777777" w:rsidR="001554C3" w:rsidRPr="00AB315F" w:rsidRDefault="001554C3" w:rsidP="00F439E9">
            <w:pPr>
              <w:jc w:val="center"/>
              <w:rPr>
                <w:rFonts w:ascii="Calibri" w:hAnsi="Calibri"/>
                <w:sz w:val="22"/>
                <w:szCs w:val="22"/>
              </w:rPr>
            </w:pPr>
            <w:r w:rsidRPr="00AB315F">
              <w:rPr>
                <w:rFonts w:ascii="Calibri" w:hAnsi="Calibri"/>
                <w:sz w:val="22"/>
                <w:szCs w:val="22"/>
              </w:rPr>
              <w:t>8</w:t>
            </w:r>
          </w:p>
        </w:tc>
        <w:tc>
          <w:tcPr>
            <w:tcW w:w="805" w:type="dxa"/>
            <w:tcBorders>
              <w:top w:val="nil"/>
              <w:left w:val="nil"/>
              <w:bottom w:val="nil"/>
              <w:right w:val="nil"/>
            </w:tcBorders>
            <w:shd w:val="clear" w:color="auto" w:fill="auto"/>
            <w:vAlign w:val="center"/>
            <w:hideMark/>
          </w:tcPr>
          <w:p w14:paraId="5AA55093" w14:textId="77777777" w:rsidR="001554C3" w:rsidRPr="00AB315F" w:rsidRDefault="001554C3" w:rsidP="00F439E9">
            <w:pPr>
              <w:jc w:val="center"/>
              <w:rPr>
                <w:rFonts w:ascii="Calibri" w:hAnsi="Calibri"/>
                <w:sz w:val="22"/>
                <w:szCs w:val="22"/>
              </w:rPr>
            </w:pPr>
            <w:r w:rsidRPr="00AB315F">
              <w:rPr>
                <w:rFonts w:ascii="Calibri" w:hAnsi="Calibri"/>
                <w:sz w:val="22"/>
                <w:szCs w:val="22"/>
              </w:rPr>
              <w:t>2%</w:t>
            </w:r>
          </w:p>
        </w:tc>
      </w:tr>
      <w:tr w:rsidR="001554C3" w:rsidRPr="00AB315F" w14:paraId="4B24680E" w14:textId="77777777" w:rsidTr="008947A7">
        <w:trPr>
          <w:trHeight w:val="290"/>
          <w:jc w:val="center"/>
        </w:trPr>
        <w:tc>
          <w:tcPr>
            <w:tcW w:w="764" w:type="dxa"/>
            <w:tcBorders>
              <w:top w:val="nil"/>
              <w:bottom w:val="nil"/>
              <w:right w:val="nil"/>
            </w:tcBorders>
            <w:shd w:val="clear" w:color="auto" w:fill="auto"/>
            <w:noWrap/>
            <w:vAlign w:val="center"/>
            <w:hideMark/>
          </w:tcPr>
          <w:p w14:paraId="0C6284EE"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3A9262F2" w14:textId="77777777" w:rsidR="001554C3" w:rsidRPr="00AB315F" w:rsidRDefault="001554C3" w:rsidP="00F439E9">
            <w:pPr>
              <w:jc w:val="center"/>
              <w:rPr>
                <w:rFonts w:ascii="Calibri" w:hAnsi="Calibri"/>
                <w:sz w:val="22"/>
                <w:szCs w:val="22"/>
              </w:rPr>
            </w:pPr>
          </w:p>
        </w:tc>
        <w:tc>
          <w:tcPr>
            <w:tcW w:w="2105" w:type="dxa"/>
            <w:tcBorders>
              <w:top w:val="nil"/>
              <w:left w:val="single" w:sz="4" w:space="0" w:color="auto"/>
              <w:bottom w:val="nil"/>
              <w:right w:val="nil"/>
            </w:tcBorders>
            <w:shd w:val="clear" w:color="auto" w:fill="auto"/>
            <w:noWrap/>
            <w:vAlign w:val="center"/>
            <w:hideMark/>
          </w:tcPr>
          <w:p w14:paraId="1CEAB881" w14:textId="77777777" w:rsidR="001554C3" w:rsidRPr="00AB315F" w:rsidRDefault="001554C3" w:rsidP="00F439E9">
            <w:pPr>
              <w:jc w:val="center"/>
              <w:rPr>
                <w:rFonts w:ascii="Calibri" w:hAnsi="Calibri"/>
                <w:sz w:val="22"/>
                <w:szCs w:val="22"/>
              </w:rPr>
            </w:pPr>
            <w:r w:rsidRPr="00AB315F">
              <w:rPr>
                <w:rFonts w:ascii="Calibri" w:hAnsi="Calibri"/>
                <w:sz w:val="22"/>
                <w:szCs w:val="22"/>
              </w:rPr>
              <w:t>9</w:t>
            </w:r>
          </w:p>
        </w:tc>
        <w:tc>
          <w:tcPr>
            <w:tcW w:w="685" w:type="dxa"/>
            <w:tcBorders>
              <w:top w:val="nil"/>
              <w:left w:val="nil"/>
              <w:bottom w:val="nil"/>
              <w:right w:val="nil"/>
            </w:tcBorders>
            <w:shd w:val="clear" w:color="auto" w:fill="auto"/>
            <w:noWrap/>
            <w:vAlign w:val="center"/>
            <w:hideMark/>
          </w:tcPr>
          <w:p w14:paraId="73B4F77D" w14:textId="77777777" w:rsidR="001554C3" w:rsidRPr="00AB315F" w:rsidRDefault="001554C3" w:rsidP="00F439E9">
            <w:pPr>
              <w:jc w:val="center"/>
              <w:rPr>
                <w:rFonts w:ascii="Calibri" w:hAnsi="Calibri"/>
                <w:sz w:val="22"/>
                <w:szCs w:val="22"/>
              </w:rPr>
            </w:pPr>
            <w:r w:rsidRPr="00AB315F">
              <w:rPr>
                <w:rFonts w:ascii="Calibri" w:hAnsi="Calibri"/>
                <w:sz w:val="22"/>
                <w:szCs w:val="22"/>
              </w:rPr>
              <w:t>7%</w:t>
            </w:r>
          </w:p>
        </w:tc>
        <w:tc>
          <w:tcPr>
            <w:tcW w:w="751" w:type="dxa"/>
            <w:tcBorders>
              <w:top w:val="nil"/>
              <w:left w:val="single" w:sz="4" w:space="0" w:color="auto"/>
              <w:bottom w:val="nil"/>
              <w:right w:val="nil"/>
            </w:tcBorders>
            <w:shd w:val="clear" w:color="auto" w:fill="auto"/>
            <w:noWrap/>
            <w:vAlign w:val="center"/>
            <w:hideMark/>
          </w:tcPr>
          <w:p w14:paraId="00877352"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675FBC78"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5ECE43D3" w14:textId="77777777" w:rsidR="001554C3" w:rsidRPr="00AB315F" w:rsidRDefault="001554C3" w:rsidP="00F439E9">
            <w:pPr>
              <w:jc w:val="center"/>
              <w:rPr>
                <w:rFonts w:ascii="Calibri" w:hAnsi="Calibri"/>
                <w:sz w:val="22"/>
                <w:szCs w:val="22"/>
              </w:rPr>
            </w:pPr>
            <w:r w:rsidRPr="00AB315F">
              <w:rPr>
                <w:rFonts w:ascii="Calibri" w:hAnsi="Calibri"/>
                <w:sz w:val="22"/>
                <w:szCs w:val="22"/>
              </w:rPr>
              <w:t>9</w:t>
            </w:r>
          </w:p>
        </w:tc>
        <w:tc>
          <w:tcPr>
            <w:tcW w:w="805" w:type="dxa"/>
            <w:tcBorders>
              <w:top w:val="nil"/>
              <w:left w:val="nil"/>
              <w:bottom w:val="nil"/>
              <w:right w:val="nil"/>
            </w:tcBorders>
            <w:shd w:val="clear" w:color="auto" w:fill="auto"/>
            <w:vAlign w:val="center"/>
            <w:hideMark/>
          </w:tcPr>
          <w:p w14:paraId="2A0CE11A" w14:textId="77777777" w:rsidR="001554C3" w:rsidRPr="00AB315F" w:rsidRDefault="001554C3" w:rsidP="00F439E9">
            <w:pPr>
              <w:jc w:val="center"/>
              <w:rPr>
                <w:rFonts w:ascii="Calibri" w:hAnsi="Calibri"/>
                <w:sz w:val="22"/>
                <w:szCs w:val="22"/>
              </w:rPr>
            </w:pPr>
            <w:r w:rsidRPr="00AB315F">
              <w:rPr>
                <w:rFonts w:ascii="Calibri" w:hAnsi="Calibri"/>
                <w:sz w:val="22"/>
                <w:szCs w:val="22"/>
              </w:rPr>
              <w:t>1%</w:t>
            </w:r>
          </w:p>
        </w:tc>
      </w:tr>
      <w:tr w:rsidR="001554C3" w:rsidRPr="00AB315F" w14:paraId="05CBB40A" w14:textId="77777777" w:rsidTr="008947A7">
        <w:trPr>
          <w:trHeight w:val="290"/>
          <w:jc w:val="center"/>
        </w:trPr>
        <w:tc>
          <w:tcPr>
            <w:tcW w:w="764" w:type="dxa"/>
            <w:tcBorders>
              <w:top w:val="nil"/>
              <w:bottom w:val="nil"/>
              <w:right w:val="nil"/>
            </w:tcBorders>
            <w:shd w:val="clear" w:color="auto" w:fill="auto"/>
            <w:noWrap/>
            <w:vAlign w:val="center"/>
            <w:hideMark/>
          </w:tcPr>
          <w:p w14:paraId="4EB8B11C"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1E6F58B7" w14:textId="77777777" w:rsidR="001554C3" w:rsidRPr="00AB315F" w:rsidRDefault="001554C3" w:rsidP="00F439E9">
            <w:pPr>
              <w:jc w:val="center"/>
              <w:rPr>
                <w:rFonts w:ascii="Calibri" w:hAnsi="Calibri"/>
                <w:sz w:val="22"/>
                <w:szCs w:val="22"/>
              </w:rPr>
            </w:pPr>
          </w:p>
        </w:tc>
        <w:tc>
          <w:tcPr>
            <w:tcW w:w="2105" w:type="dxa"/>
            <w:tcBorders>
              <w:top w:val="nil"/>
              <w:left w:val="single" w:sz="4" w:space="0" w:color="auto"/>
              <w:bottom w:val="nil"/>
              <w:right w:val="nil"/>
            </w:tcBorders>
            <w:shd w:val="clear" w:color="auto" w:fill="auto"/>
            <w:noWrap/>
            <w:vAlign w:val="center"/>
            <w:hideMark/>
          </w:tcPr>
          <w:p w14:paraId="30AB1A48" w14:textId="77777777" w:rsidR="001554C3" w:rsidRPr="00AB315F" w:rsidRDefault="001554C3" w:rsidP="00F439E9">
            <w:pPr>
              <w:jc w:val="center"/>
              <w:rPr>
                <w:rFonts w:ascii="Calibri" w:hAnsi="Calibri"/>
                <w:sz w:val="22"/>
                <w:szCs w:val="22"/>
              </w:rPr>
            </w:pPr>
            <w:r w:rsidRPr="00AB315F">
              <w:rPr>
                <w:rFonts w:ascii="Calibri" w:hAnsi="Calibri"/>
                <w:sz w:val="22"/>
                <w:szCs w:val="22"/>
              </w:rPr>
              <w:t>Sempre se justifica</w:t>
            </w:r>
          </w:p>
        </w:tc>
        <w:tc>
          <w:tcPr>
            <w:tcW w:w="685" w:type="dxa"/>
            <w:tcBorders>
              <w:top w:val="nil"/>
              <w:left w:val="nil"/>
              <w:bottom w:val="nil"/>
              <w:right w:val="nil"/>
            </w:tcBorders>
            <w:shd w:val="clear" w:color="auto" w:fill="auto"/>
            <w:noWrap/>
            <w:vAlign w:val="center"/>
            <w:hideMark/>
          </w:tcPr>
          <w:p w14:paraId="2F1BFFAB" w14:textId="77777777" w:rsidR="001554C3" w:rsidRPr="00AB315F" w:rsidRDefault="001554C3" w:rsidP="00F439E9">
            <w:pPr>
              <w:jc w:val="center"/>
              <w:rPr>
                <w:rFonts w:ascii="Calibri" w:hAnsi="Calibri"/>
                <w:sz w:val="22"/>
                <w:szCs w:val="22"/>
              </w:rPr>
            </w:pPr>
            <w:r w:rsidRPr="00AB315F">
              <w:rPr>
                <w:rFonts w:ascii="Calibri" w:hAnsi="Calibri"/>
                <w:sz w:val="22"/>
                <w:szCs w:val="22"/>
              </w:rPr>
              <w:t>8%</w:t>
            </w:r>
          </w:p>
        </w:tc>
        <w:tc>
          <w:tcPr>
            <w:tcW w:w="751" w:type="dxa"/>
            <w:tcBorders>
              <w:top w:val="nil"/>
              <w:left w:val="single" w:sz="4" w:space="0" w:color="auto"/>
              <w:bottom w:val="nil"/>
              <w:right w:val="nil"/>
            </w:tcBorders>
            <w:shd w:val="clear" w:color="auto" w:fill="auto"/>
            <w:noWrap/>
            <w:vAlign w:val="center"/>
            <w:hideMark/>
          </w:tcPr>
          <w:p w14:paraId="602C0FD9" w14:textId="77777777" w:rsidR="001554C3" w:rsidRPr="00AB315F" w:rsidRDefault="001554C3" w:rsidP="00F439E9">
            <w:pPr>
              <w:jc w:val="center"/>
              <w:rPr>
                <w:rFonts w:ascii="Calibri" w:hAnsi="Calibri"/>
                <w:sz w:val="22"/>
                <w:szCs w:val="22"/>
              </w:rPr>
            </w:pPr>
          </w:p>
        </w:tc>
        <w:tc>
          <w:tcPr>
            <w:tcW w:w="521" w:type="dxa"/>
            <w:tcBorders>
              <w:top w:val="nil"/>
              <w:left w:val="nil"/>
              <w:bottom w:val="nil"/>
              <w:right w:val="nil"/>
            </w:tcBorders>
            <w:shd w:val="clear" w:color="auto" w:fill="auto"/>
            <w:noWrap/>
            <w:vAlign w:val="center"/>
            <w:hideMark/>
          </w:tcPr>
          <w:p w14:paraId="1568D1AD"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nil"/>
              <w:right w:val="nil"/>
            </w:tcBorders>
            <w:shd w:val="clear" w:color="auto" w:fill="auto"/>
            <w:noWrap/>
            <w:vAlign w:val="center"/>
            <w:hideMark/>
          </w:tcPr>
          <w:p w14:paraId="71408527" w14:textId="77777777" w:rsidR="001554C3" w:rsidRPr="00AB315F" w:rsidRDefault="001554C3" w:rsidP="00F439E9">
            <w:pPr>
              <w:jc w:val="center"/>
              <w:rPr>
                <w:rFonts w:ascii="Calibri" w:hAnsi="Calibri"/>
                <w:sz w:val="22"/>
                <w:szCs w:val="22"/>
              </w:rPr>
            </w:pPr>
            <w:r w:rsidRPr="00AB315F">
              <w:rPr>
                <w:rFonts w:ascii="Calibri" w:hAnsi="Calibri"/>
                <w:sz w:val="22"/>
                <w:szCs w:val="22"/>
              </w:rPr>
              <w:t>Sempre se justifica</w:t>
            </w:r>
          </w:p>
        </w:tc>
        <w:tc>
          <w:tcPr>
            <w:tcW w:w="805" w:type="dxa"/>
            <w:tcBorders>
              <w:top w:val="nil"/>
              <w:left w:val="nil"/>
              <w:bottom w:val="nil"/>
              <w:right w:val="nil"/>
            </w:tcBorders>
            <w:shd w:val="clear" w:color="auto" w:fill="auto"/>
            <w:vAlign w:val="center"/>
            <w:hideMark/>
          </w:tcPr>
          <w:p w14:paraId="534128EB" w14:textId="77777777" w:rsidR="001554C3" w:rsidRPr="00AB315F" w:rsidRDefault="001554C3" w:rsidP="00F439E9">
            <w:pPr>
              <w:jc w:val="center"/>
              <w:rPr>
                <w:rFonts w:ascii="Calibri" w:hAnsi="Calibri"/>
                <w:sz w:val="22"/>
                <w:szCs w:val="22"/>
              </w:rPr>
            </w:pPr>
            <w:r w:rsidRPr="00AB315F">
              <w:rPr>
                <w:rFonts w:ascii="Calibri" w:hAnsi="Calibri"/>
                <w:sz w:val="22"/>
                <w:szCs w:val="22"/>
              </w:rPr>
              <w:t>5%</w:t>
            </w:r>
          </w:p>
        </w:tc>
      </w:tr>
      <w:tr w:rsidR="001554C3" w:rsidRPr="00AB315F" w14:paraId="170B7502" w14:textId="77777777" w:rsidTr="008947A7">
        <w:trPr>
          <w:trHeight w:val="290"/>
          <w:jc w:val="center"/>
        </w:trPr>
        <w:tc>
          <w:tcPr>
            <w:tcW w:w="764" w:type="dxa"/>
            <w:tcBorders>
              <w:top w:val="nil"/>
              <w:bottom w:val="single" w:sz="4" w:space="0" w:color="auto"/>
              <w:right w:val="nil"/>
            </w:tcBorders>
            <w:shd w:val="clear" w:color="auto" w:fill="auto"/>
            <w:noWrap/>
            <w:vAlign w:val="center"/>
            <w:hideMark/>
          </w:tcPr>
          <w:p w14:paraId="72C68FFD" w14:textId="77777777" w:rsidR="001554C3" w:rsidRPr="00AB315F" w:rsidRDefault="001554C3" w:rsidP="00F439E9">
            <w:pPr>
              <w:jc w:val="center"/>
              <w:rPr>
                <w:rFonts w:ascii="Calibri" w:hAnsi="Calibri"/>
                <w:sz w:val="22"/>
                <w:szCs w:val="22"/>
              </w:rPr>
            </w:pPr>
          </w:p>
        </w:tc>
        <w:tc>
          <w:tcPr>
            <w:tcW w:w="521" w:type="dxa"/>
            <w:tcBorders>
              <w:top w:val="nil"/>
              <w:left w:val="nil"/>
              <w:bottom w:val="single" w:sz="4" w:space="0" w:color="auto"/>
              <w:right w:val="nil"/>
            </w:tcBorders>
            <w:shd w:val="clear" w:color="auto" w:fill="auto"/>
            <w:noWrap/>
            <w:vAlign w:val="center"/>
            <w:hideMark/>
          </w:tcPr>
          <w:p w14:paraId="468ECB21" w14:textId="77777777" w:rsidR="001554C3" w:rsidRPr="00AB315F" w:rsidRDefault="001554C3" w:rsidP="00F439E9">
            <w:pPr>
              <w:jc w:val="center"/>
              <w:rPr>
                <w:rFonts w:ascii="Calibri" w:hAnsi="Calibri"/>
                <w:sz w:val="22"/>
                <w:szCs w:val="22"/>
              </w:rPr>
            </w:pPr>
          </w:p>
        </w:tc>
        <w:tc>
          <w:tcPr>
            <w:tcW w:w="2105" w:type="dxa"/>
            <w:tcBorders>
              <w:top w:val="nil"/>
              <w:left w:val="single" w:sz="4" w:space="0" w:color="auto"/>
              <w:bottom w:val="single" w:sz="4" w:space="0" w:color="auto"/>
              <w:right w:val="nil"/>
            </w:tcBorders>
            <w:shd w:val="clear" w:color="auto" w:fill="auto"/>
            <w:noWrap/>
            <w:vAlign w:val="center"/>
            <w:hideMark/>
          </w:tcPr>
          <w:p w14:paraId="6F139251" w14:textId="77777777" w:rsidR="001554C3" w:rsidRPr="00AB315F" w:rsidRDefault="001554C3" w:rsidP="00F439E9">
            <w:pPr>
              <w:jc w:val="center"/>
              <w:rPr>
                <w:rFonts w:ascii="Calibri" w:hAnsi="Calibri"/>
                <w:sz w:val="22"/>
                <w:szCs w:val="22"/>
              </w:rPr>
            </w:pPr>
            <w:r w:rsidRPr="00AB315F">
              <w:rPr>
                <w:rFonts w:ascii="Calibri" w:hAnsi="Calibri"/>
                <w:sz w:val="22"/>
                <w:szCs w:val="22"/>
              </w:rPr>
              <w:t>NS/NR</w:t>
            </w:r>
          </w:p>
        </w:tc>
        <w:tc>
          <w:tcPr>
            <w:tcW w:w="685" w:type="dxa"/>
            <w:tcBorders>
              <w:top w:val="nil"/>
              <w:left w:val="nil"/>
              <w:bottom w:val="single" w:sz="4" w:space="0" w:color="auto"/>
              <w:right w:val="nil"/>
            </w:tcBorders>
            <w:shd w:val="clear" w:color="auto" w:fill="auto"/>
            <w:noWrap/>
            <w:vAlign w:val="center"/>
            <w:hideMark/>
          </w:tcPr>
          <w:p w14:paraId="5CE12BC1" w14:textId="77777777" w:rsidR="001554C3" w:rsidRPr="00AB315F" w:rsidRDefault="001554C3" w:rsidP="00F439E9">
            <w:pPr>
              <w:jc w:val="center"/>
              <w:rPr>
                <w:rFonts w:ascii="Calibri" w:hAnsi="Calibri"/>
                <w:sz w:val="22"/>
                <w:szCs w:val="22"/>
              </w:rPr>
            </w:pPr>
            <w:r w:rsidRPr="00AB315F">
              <w:rPr>
                <w:rFonts w:ascii="Calibri" w:hAnsi="Calibri"/>
                <w:sz w:val="22"/>
                <w:szCs w:val="22"/>
              </w:rPr>
              <w:t>3%</w:t>
            </w:r>
          </w:p>
        </w:tc>
        <w:tc>
          <w:tcPr>
            <w:tcW w:w="751" w:type="dxa"/>
            <w:tcBorders>
              <w:top w:val="nil"/>
              <w:left w:val="single" w:sz="4" w:space="0" w:color="auto"/>
              <w:bottom w:val="single" w:sz="4" w:space="0" w:color="auto"/>
              <w:right w:val="nil"/>
            </w:tcBorders>
            <w:shd w:val="clear" w:color="auto" w:fill="auto"/>
            <w:noWrap/>
            <w:vAlign w:val="center"/>
            <w:hideMark/>
          </w:tcPr>
          <w:p w14:paraId="45586E8B" w14:textId="77777777" w:rsidR="001554C3" w:rsidRPr="00AB315F" w:rsidRDefault="001554C3" w:rsidP="00F439E9">
            <w:pPr>
              <w:jc w:val="center"/>
              <w:rPr>
                <w:rFonts w:ascii="Calibri" w:hAnsi="Calibri"/>
                <w:sz w:val="22"/>
                <w:szCs w:val="22"/>
              </w:rPr>
            </w:pPr>
          </w:p>
        </w:tc>
        <w:tc>
          <w:tcPr>
            <w:tcW w:w="521" w:type="dxa"/>
            <w:tcBorders>
              <w:top w:val="nil"/>
              <w:left w:val="nil"/>
              <w:bottom w:val="single" w:sz="4" w:space="0" w:color="auto"/>
              <w:right w:val="nil"/>
            </w:tcBorders>
            <w:shd w:val="clear" w:color="auto" w:fill="auto"/>
            <w:noWrap/>
            <w:vAlign w:val="center"/>
            <w:hideMark/>
          </w:tcPr>
          <w:p w14:paraId="6C95A5C2" w14:textId="77777777" w:rsidR="001554C3" w:rsidRPr="00AB315F" w:rsidRDefault="001554C3" w:rsidP="00F439E9">
            <w:pPr>
              <w:jc w:val="center"/>
              <w:rPr>
                <w:rFonts w:ascii="Calibri" w:hAnsi="Calibri"/>
                <w:sz w:val="22"/>
                <w:szCs w:val="22"/>
              </w:rPr>
            </w:pPr>
          </w:p>
        </w:tc>
        <w:tc>
          <w:tcPr>
            <w:tcW w:w="2067" w:type="dxa"/>
            <w:tcBorders>
              <w:top w:val="nil"/>
              <w:left w:val="single" w:sz="4" w:space="0" w:color="auto"/>
              <w:bottom w:val="single" w:sz="4" w:space="0" w:color="auto"/>
              <w:right w:val="nil"/>
            </w:tcBorders>
            <w:shd w:val="clear" w:color="auto" w:fill="auto"/>
            <w:noWrap/>
            <w:vAlign w:val="center"/>
            <w:hideMark/>
          </w:tcPr>
          <w:p w14:paraId="4404E675" w14:textId="77777777" w:rsidR="001554C3" w:rsidRPr="00AB315F" w:rsidRDefault="001554C3" w:rsidP="00F439E9">
            <w:pPr>
              <w:jc w:val="center"/>
              <w:rPr>
                <w:rFonts w:ascii="Calibri" w:hAnsi="Calibri"/>
                <w:sz w:val="22"/>
                <w:szCs w:val="22"/>
              </w:rPr>
            </w:pPr>
            <w:r w:rsidRPr="00AB315F">
              <w:rPr>
                <w:rFonts w:ascii="Calibri" w:hAnsi="Calibri"/>
                <w:sz w:val="22"/>
                <w:szCs w:val="22"/>
              </w:rPr>
              <w:t>NS/NR</w:t>
            </w:r>
          </w:p>
        </w:tc>
        <w:tc>
          <w:tcPr>
            <w:tcW w:w="805" w:type="dxa"/>
            <w:tcBorders>
              <w:top w:val="nil"/>
              <w:left w:val="nil"/>
              <w:bottom w:val="single" w:sz="4" w:space="0" w:color="auto"/>
              <w:right w:val="nil"/>
            </w:tcBorders>
            <w:shd w:val="clear" w:color="auto" w:fill="auto"/>
            <w:vAlign w:val="center"/>
            <w:hideMark/>
          </w:tcPr>
          <w:p w14:paraId="0B09EE66" w14:textId="77777777" w:rsidR="001554C3" w:rsidRPr="00AB315F" w:rsidRDefault="001554C3" w:rsidP="00F439E9">
            <w:pPr>
              <w:jc w:val="center"/>
              <w:rPr>
                <w:rFonts w:ascii="Calibri" w:hAnsi="Calibri"/>
                <w:sz w:val="22"/>
                <w:szCs w:val="22"/>
              </w:rPr>
            </w:pPr>
            <w:r w:rsidRPr="00AB315F">
              <w:rPr>
                <w:rFonts w:ascii="Calibri" w:hAnsi="Calibri"/>
                <w:sz w:val="22"/>
                <w:szCs w:val="22"/>
              </w:rPr>
              <w:t>4%</w:t>
            </w:r>
          </w:p>
        </w:tc>
      </w:tr>
    </w:tbl>
    <w:p w14:paraId="268AF544" w14:textId="1CDE36DA"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WVS e LAPOP 2008 - </w:t>
      </w:r>
      <w:r>
        <w:rPr>
          <w:rFonts w:ascii="Calibri" w:hAnsi="Calibri"/>
          <w:sz w:val="20"/>
          <w:szCs w:val="22"/>
        </w:rPr>
        <w:t>elaboração própria</w:t>
      </w:r>
    </w:p>
    <w:p w14:paraId="2D9478D0" w14:textId="77777777" w:rsidR="001554C3" w:rsidRPr="00AB315F" w:rsidRDefault="001554C3" w:rsidP="001554C3">
      <w:pPr>
        <w:spacing w:line="360" w:lineRule="auto"/>
        <w:ind w:firstLine="708"/>
        <w:jc w:val="both"/>
        <w:rPr>
          <w:rFonts w:asciiTheme="minorHAnsi" w:hAnsiTheme="minorHAnsi"/>
        </w:rPr>
      </w:pPr>
    </w:p>
    <w:p w14:paraId="33EB880C"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Se recodificarmos a escala de 1 a 10 para a opção de resposta “sim, as vezes se justifica” para respostas de 2 a 9 e “não, nunca se justifica” o score 1, observa-se que na escala dicotômica a porcentagem de intolerantes é maior, exceto para Argentina, na qual a porcentagem observada é menor. </w:t>
      </w:r>
    </w:p>
    <w:p w14:paraId="6DCF0EF2"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Neste caso considera-se a escala de 1 a 10 mais adequada do que a dicotômica, pois, considerando o possível viés de desejabilidade social, a escala permite uma tentativa de acessar alguma situação de necessidade onde as práticas podem ser toleradas. </w:t>
      </w:r>
    </w:p>
    <w:p w14:paraId="3B7D4AE8"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A análise não compara um conjunto de dados pertencentes a uma mesma rodada de pesquisa, mas ambas bases de dados possuem representatividade nacional, </w:t>
      </w:r>
      <w:r w:rsidRPr="00AB315F">
        <w:rPr>
          <w:rFonts w:asciiTheme="minorHAnsi" w:hAnsiTheme="minorHAnsi"/>
        </w:rPr>
        <w:lastRenderedPageBreak/>
        <w:t>logo, amostras similares e a diferença dos resultados nas escalas dicotômicas e contínuas são superiores à margem de erro das pesquisas.</w:t>
      </w:r>
    </w:p>
    <w:p w14:paraId="50AF7CD3"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A associação do processo de resposta aos possíveis erros de medidas, dado a coleta de dados por entrevista face a face, é uma tentativa de elucidar as possíveis fontes de erro associadas à pesquisa da aceitação da corrupção. Após descrever a capacidade dos erros em distorcer ou subestimar scores, podemos também defini-los em termos da sistematicidade ou aleatoriedade dos seus efeitos.</w:t>
      </w:r>
    </w:p>
    <w:p w14:paraId="77547C9F"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 xml:space="preserve">Erros de medida provenientes de uma possível desejabilidade social ou escalas de respostas enviesadas parecem ser sistemáticos. O viés pode causar distorção nos scores dos itens. No caso da aceitação da corrupção é possível que a intolerância às práticas corruptas esteja sobrestimada pelo efeito do desejo social. </w:t>
      </w:r>
    </w:p>
    <w:p w14:paraId="7F3DD505"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Já possíveis erros de “não-atitude” e “não-respostas” parecem ser aleatórios, isto é, podem afetar a consistência da medida, seja por considerar a congruência interna dos indicadores observáveis da medida ou sua regularidade ao longo do tempo.</w:t>
      </w:r>
    </w:p>
    <w:p w14:paraId="02222B5D"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Outro aspecto que pode afetar a qualidade da medida é a sua sensibilidade à contextos diferentes. O efeito da desejabilidade social e o conceito que os entrevistados tem sobre a corrupção podem variar conforme transita-se por contextos distintos, logo é possível que os resultados da mensuração não reflitam o mesmo significado para contextos diferentes.</w:t>
      </w:r>
    </w:p>
    <w:p w14:paraId="73E63CB7" w14:textId="33EF0066" w:rsidR="001554C3" w:rsidRPr="00AB315F" w:rsidRDefault="007F2C6A" w:rsidP="001554C3">
      <w:pPr>
        <w:spacing w:after="240" w:line="360" w:lineRule="auto"/>
        <w:ind w:firstLine="708"/>
        <w:jc w:val="both"/>
        <w:rPr>
          <w:rFonts w:asciiTheme="minorHAnsi" w:hAnsiTheme="minorHAnsi"/>
        </w:rPr>
      </w:pPr>
      <w:r w:rsidRPr="00AB315F">
        <w:rPr>
          <w:rFonts w:asciiTheme="minorHAnsi" w:hAnsiTheme="minorHAnsi"/>
        </w:rPr>
        <w:t>Diante dos expostos</w:t>
      </w:r>
      <w:r w:rsidR="001554C3" w:rsidRPr="00AB315F">
        <w:rPr>
          <w:rFonts w:asciiTheme="minorHAnsi" w:hAnsiTheme="minorHAnsi"/>
        </w:rPr>
        <w:t xml:space="preserve">, prossegue-se para a busca de evidências de validade e </w:t>
      </w:r>
      <w:r w:rsidRPr="00AB315F">
        <w:rPr>
          <w:rFonts w:asciiTheme="minorHAnsi" w:hAnsiTheme="minorHAnsi"/>
        </w:rPr>
        <w:t>confiabilidade</w:t>
      </w:r>
      <w:r w:rsidR="001554C3" w:rsidRPr="00AB315F">
        <w:rPr>
          <w:rFonts w:asciiTheme="minorHAnsi" w:hAnsiTheme="minorHAnsi"/>
        </w:rPr>
        <w:t xml:space="preserve"> seguindo as orientações de Carmines e Zaller (1979) e Adcock e Collier (2001). </w:t>
      </w:r>
    </w:p>
    <w:p w14:paraId="62B41F95" w14:textId="77777777" w:rsidR="001554C3" w:rsidRPr="00AB315F" w:rsidRDefault="001554C3" w:rsidP="001554C3">
      <w:pPr>
        <w:spacing w:after="240" w:line="360" w:lineRule="auto"/>
        <w:ind w:firstLine="708"/>
        <w:jc w:val="both"/>
        <w:rPr>
          <w:rFonts w:asciiTheme="minorHAnsi" w:hAnsiTheme="minorHAnsi"/>
        </w:rPr>
      </w:pPr>
      <w:r w:rsidRPr="00AB315F">
        <w:rPr>
          <w:rFonts w:asciiTheme="minorHAnsi" w:hAnsiTheme="minorHAnsi"/>
        </w:rPr>
        <w:t>De acordo com a pergunta central deste trabalho, formula-se as seguintes hipóteses:</w:t>
      </w:r>
    </w:p>
    <w:p w14:paraId="6287B32B" w14:textId="3D948073" w:rsidR="00E2540A" w:rsidRPr="00AA0849" w:rsidRDefault="00E2540A" w:rsidP="00E2540A">
      <w:pPr>
        <w:spacing w:after="240" w:line="360" w:lineRule="auto"/>
        <w:ind w:firstLine="708"/>
        <w:jc w:val="both"/>
        <w:rPr>
          <w:rFonts w:asciiTheme="minorHAnsi" w:hAnsiTheme="minorHAnsi"/>
        </w:rPr>
      </w:pPr>
      <w:r>
        <w:rPr>
          <w:rFonts w:asciiTheme="minorHAnsi" w:hAnsiTheme="minorHAnsi"/>
          <w:i/>
        </w:rPr>
        <w:t>“Existem evidências</w:t>
      </w:r>
      <w:r w:rsidRPr="00AA0849">
        <w:rPr>
          <w:rFonts w:asciiTheme="minorHAnsi" w:hAnsiTheme="minorHAnsi"/>
          <w:i/>
        </w:rPr>
        <w:t xml:space="preserve"> </w:t>
      </w:r>
      <w:r>
        <w:rPr>
          <w:rFonts w:asciiTheme="minorHAnsi" w:hAnsiTheme="minorHAnsi"/>
          <w:i/>
        </w:rPr>
        <w:t xml:space="preserve">de </w:t>
      </w:r>
      <w:r w:rsidRPr="00AA0849">
        <w:rPr>
          <w:rFonts w:asciiTheme="minorHAnsi" w:hAnsiTheme="minorHAnsi"/>
          <w:i/>
        </w:rPr>
        <w:t xml:space="preserve">sensibilidade contextual, validade e confiabilidade da medida de aceitação da </w:t>
      </w:r>
      <w:r w:rsidR="007F2C6A" w:rsidRPr="00AA0849">
        <w:rPr>
          <w:rFonts w:asciiTheme="minorHAnsi" w:hAnsiTheme="minorHAnsi"/>
          <w:i/>
        </w:rPr>
        <w:t>corrupção?</w:t>
      </w:r>
      <w:r w:rsidR="007F2C6A">
        <w:rPr>
          <w:rFonts w:asciiTheme="minorHAnsi" w:hAnsiTheme="minorHAnsi"/>
          <w:i/>
        </w:rPr>
        <w:t xml:space="preserve"> ”</w:t>
      </w:r>
    </w:p>
    <w:p w14:paraId="4E100812" w14:textId="77777777" w:rsidR="001554C3" w:rsidRPr="00AB315F" w:rsidRDefault="001554C3" w:rsidP="001554C3">
      <w:pPr>
        <w:spacing w:line="360" w:lineRule="auto"/>
        <w:jc w:val="both"/>
        <w:rPr>
          <w:rFonts w:asciiTheme="minorHAnsi" w:hAnsiTheme="minorHAnsi"/>
          <w:i/>
        </w:rPr>
      </w:pPr>
    </w:p>
    <w:p w14:paraId="5812816A" w14:textId="77777777" w:rsidR="001554C3" w:rsidRPr="00AB315F" w:rsidRDefault="001554C3" w:rsidP="001554C3">
      <w:pPr>
        <w:spacing w:after="240" w:line="360" w:lineRule="auto"/>
        <w:jc w:val="both"/>
        <w:rPr>
          <w:rFonts w:asciiTheme="minorHAnsi" w:hAnsiTheme="minorHAnsi"/>
          <w:i/>
          <w:u w:val="single"/>
        </w:rPr>
      </w:pPr>
      <w:r w:rsidRPr="00AB315F">
        <w:rPr>
          <w:rFonts w:asciiTheme="minorHAnsi" w:hAnsiTheme="minorHAnsi"/>
          <w:i/>
          <w:u w:val="single"/>
        </w:rPr>
        <w:lastRenderedPageBreak/>
        <w:t>Validação de conteúdo:</w:t>
      </w:r>
    </w:p>
    <w:p w14:paraId="58FBA868" w14:textId="77777777" w:rsidR="001554C3" w:rsidRPr="00AB315F" w:rsidRDefault="001554C3" w:rsidP="001554C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240" w:line="360" w:lineRule="auto"/>
        <w:rPr>
          <w:rFonts w:asciiTheme="minorHAnsi" w:eastAsiaTheme="minorHAnsi" w:hAnsiTheme="minorHAnsi" w:cs="System"/>
          <w:bCs/>
          <w:lang w:eastAsia="en-US"/>
        </w:rPr>
      </w:pPr>
      <w:r w:rsidRPr="00AB315F">
        <w:rPr>
          <w:rFonts w:asciiTheme="minorHAnsi" w:eastAsiaTheme="minorHAnsi" w:hAnsiTheme="minorHAnsi" w:cs="System"/>
          <w:bCs/>
          <w:lang w:eastAsia="en-US"/>
        </w:rPr>
        <w:t>H1: O constructo de aceitação da corrupção capta o conteúdo sistemático do conceito que pretende mensurar.</w:t>
      </w:r>
    </w:p>
    <w:p w14:paraId="49788302" w14:textId="77777777" w:rsidR="001554C3" w:rsidRPr="00AB315F" w:rsidRDefault="001554C3" w:rsidP="001554C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240" w:line="360" w:lineRule="auto"/>
        <w:rPr>
          <w:rFonts w:asciiTheme="minorHAnsi" w:eastAsiaTheme="minorHAnsi" w:hAnsiTheme="minorHAnsi" w:cs="System"/>
          <w:bCs/>
          <w:lang w:eastAsia="en-US"/>
        </w:rPr>
      </w:pPr>
      <w:r w:rsidRPr="00AB315F">
        <w:rPr>
          <w:rFonts w:asciiTheme="minorHAnsi" w:eastAsiaTheme="minorHAnsi" w:hAnsiTheme="minorHAnsi" w:cs="System"/>
          <w:bCs/>
          <w:lang w:eastAsia="en-US"/>
        </w:rPr>
        <w:t>H2: Existem elementos chaves omitidos ou inclusos de forma inapropriada ao indicador.</w:t>
      </w:r>
    </w:p>
    <w:p w14:paraId="2F46CCC7" w14:textId="6951142C" w:rsidR="001554C3" w:rsidRPr="00AB315F" w:rsidRDefault="001554C3" w:rsidP="001554C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240" w:line="360" w:lineRule="auto"/>
        <w:rPr>
          <w:rFonts w:asciiTheme="minorHAnsi" w:eastAsiaTheme="minorHAnsi" w:hAnsiTheme="minorHAnsi" w:cs="System"/>
          <w:bCs/>
          <w:i/>
          <w:u w:val="single"/>
          <w:lang w:eastAsia="en-US"/>
        </w:rPr>
      </w:pPr>
      <w:r w:rsidRPr="00AB315F">
        <w:rPr>
          <w:rFonts w:asciiTheme="minorHAnsi" w:eastAsiaTheme="minorHAnsi" w:hAnsiTheme="minorHAnsi" w:cs="System"/>
          <w:bCs/>
          <w:i/>
          <w:u w:val="single"/>
          <w:lang w:eastAsia="en-US"/>
        </w:rPr>
        <w:t xml:space="preserve">Validação </w:t>
      </w:r>
      <w:r w:rsidR="007F2C6A" w:rsidRPr="00AB315F">
        <w:rPr>
          <w:rFonts w:asciiTheme="minorHAnsi" w:eastAsiaTheme="minorHAnsi" w:hAnsiTheme="minorHAnsi" w:cs="System"/>
          <w:bCs/>
          <w:i/>
          <w:u w:val="single"/>
          <w:lang w:eastAsia="en-US"/>
        </w:rPr>
        <w:t>convergente /</w:t>
      </w:r>
      <w:r w:rsidRPr="00AB315F">
        <w:rPr>
          <w:rFonts w:asciiTheme="minorHAnsi" w:eastAsiaTheme="minorHAnsi" w:hAnsiTheme="minorHAnsi" w:cs="System"/>
          <w:bCs/>
          <w:i/>
          <w:u w:val="single"/>
          <w:lang w:eastAsia="en-US"/>
        </w:rPr>
        <w:t xml:space="preserve"> discriminante</w:t>
      </w:r>
    </w:p>
    <w:p w14:paraId="4A2ABB18" w14:textId="77777777" w:rsidR="001554C3" w:rsidRPr="00AB315F" w:rsidRDefault="001554C3" w:rsidP="001554C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240" w:line="360" w:lineRule="auto"/>
        <w:rPr>
          <w:rFonts w:asciiTheme="minorHAnsi" w:eastAsiaTheme="minorHAnsi" w:hAnsiTheme="minorHAnsi" w:cs="System"/>
          <w:bCs/>
          <w:lang w:eastAsia="en-US"/>
        </w:rPr>
      </w:pPr>
      <w:r w:rsidRPr="00AB315F">
        <w:rPr>
          <w:rFonts w:asciiTheme="minorHAnsi" w:eastAsiaTheme="minorHAnsi" w:hAnsiTheme="minorHAnsi" w:cs="System"/>
          <w:bCs/>
          <w:lang w:eastAsia="en-US"/>
        </w:rPr>
        <w:t xml:space="preserve">H3: indicadores observáveis alternativos e teoricamente convergentes captam uma mesma dimensão do fenômeno </w:t>
      </w:r>
    </w:p>
    <w:p w14:paraId="64586886" w14:textId="77777777" w:rsidR="001554C3" w:rsidRPr="00AB315F" w:rsidRDefault="001554C3" w:rsidP="001554C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240" w:line="360" w:lineRule="auto"/>
        <w:rPr>
          <w:rFonts w:asciiTheme="minorHAnsi" w:eastAsiaTheme="minorHAnsi" w:hAnsiTheme="minorHAnsi" w:cs="System"/>
          <w:bCs/>
          <w:lang w:eastAsia="en-US"/>
        </w:rPr>
      </w:pPr>
      <w:r w:rsidRPr="00AB315F">
        <w:rPr>
          <w:rFonts w:asciiTheme="minorHAnsi" w:eastAsiaTheme="minorHAnsi" w:hAnsiTheme="minorHAnsi" w:cs="System"/>
          <w:bCs/>
          <w:lang w:eastAsia="en-US"/>
        </w:rPr>
        <w:t xml:space="preserve">H4: indicadores observáveis alternativos e teoricamente divergentes captam dimensões diferentes do fenômeno </w:t>
      </w:r>
    </w:p>
    <w:p w14:paraId="2EAED098" w14:textId="77777777" w:rsidR="001554C3" w:rsidRPr="00AB315F" w:rsidRDefault="001554C3" w:rsidP="001554C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240" w:line="360" w:lineRule="auto"/>
        <w:rPr>
          <w:rFonts w:asciiTheme="minorHAnsi" w:eastAsiaTheme="minorHAnsi" w:hAnsiTheme="minorHAnsi" w:cs="System"/>
          <w:bCs/>
          <w:i/>
          <w:u w:val="single"/>
          <w:lang w:eastAsia="en-US"/>
        </w:rPr>
      </w:pPr>
      <w:r w:rsidRPr="00AB315F">
        <w:rPr>
          <w:rFonts w:asciiTheme="minorHAnsi" w:eastAsiaTheme="minorHAnsi" w:hAnsiTheme="minorHAnsi" w:cs="System"/>
          <w:bCs/>
          <w:lang w:eastAsia="en-US"/>
        </w:rPr>
        <w:t xml:space="preserve">  </w:t>
      </w:r>
      <w:r w:rsidRPr="00AB315F">
        <w:rPr>
          <w:rFonts w:asciiTheme="minorHAnsi" w:eastAsiaTheme="minorHAnsi" w:hAnsiTheme="minorHAnsi" w:cs="System"/>
          <w:bCs/>
          <w:i/>
          <w:u w:val="single"/>
          <w:lang w:eastAsia="en-US"/>
        </w:rPr>
        <w:t>Validação nomológica</w:t>
      </w:r>
    </w:p>
    <w:p w14:paraId="038530FD" w14:textId="239E6CA4" w:rsidR="001554C3" w:rsidRPr="00AB315F" w:rsidRDefault="001554C3" w:rsidP="001554C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240" w:line="360" w:lineRule="auto"/>
        <w:rPr>
          <w:rFonts w:asciiTheme="minorHAnsi" w:eastAsiaTheme="minorHAnsi" w:hAnsiTheme="minorHAnsi" w:cs="System"/>
          <w:bCs/>
          <w:lang w:eastAsia="en-US"/>
        </w:rPr>
      </w:pPr>
      <w:r w:rsidRPr="00AB315F">
        <w:rPr>
          <w:rFonts w:asciiTheme="minorHAnsi" w:eastAsiaTheme="minorHAnsi" w:hAnsiTheme="minorHAnsi" w:cs="System"/>
          <w:bCs/>
          <w:lang w:eastAsia="en-US"/>
        </w:rPr>
        <w:t xml:space="preserve">H5: nexos causais da literatura são também estabelecidos </w:t>
      </w:r>
      <w:r w:rsidR="007F2C6A" w:rsidRPr="00AB315F">
        <w:rPr>
          <w:rFonts w:asciiTheme="minorHAnsi" w:eastAsiaTheme="minorHAnsi" w:hAnsiTheme="minorHAnsi" w:cs="System"/>
          <w:bCs/>
          <w:lang w:eastAsia="en-US"/>
        </w:rPr>
        <w:t>pelos indicadores</w:t>
      </w:r>
      <w:r w:rsidRPr="00AB315F">
        <w:rPr>
          <w:rFonts w:asciiTheme="minorHAnsi" w:eastAsiaTheme="minorHAnsi" w:hAnsiTheme="minorHAnsi" w:cs="System"/>
          <w:bCs/>
          <w:lang w:eastAsia="en-US"/>
        </w:rPr>
        <w:t xml:space="preserve">. </w:t>
      </w:r>
    </w:p>
    <w:p w14:paraId="27B4FE41" w14:textId="77777777" w:rsidR="001554C3" w:rsidRPr="00AB315F" w:rsidRDefault="001554C3" w:rsidP="001554C3">
      <w:pPr>
        <w:spacing w:after="240" w:line="360" w:lineRule="auto"/>
        <w:jc w:val="both"/>
        <w:rPr>
          <w:rFonts w:asciiTheme="minorHAnsi" w:eastAsiaTheme="minorHAnsi" w:hAnsiTheme="minorHAnsi" w:cs="System"/>
          <w:bCs/>
          <w:lang w:eastAsia="en-US"/>
        </w:rPr>
      </w:pPr>
      <w:r w:rsidRPr="00AB315F">
        <w:rPr>
          <w:rFonts w:asciiTheme="minorHAnsi" w:eastAsiaTheme="minorHAnsi" w:hAnsiTheme="minorHAnsi" w:cs="System"/>
          <w:bCs/>
          <w:lang w:eastAsia="en-US"/>
        </w:rPr>
        <w:t xml:space="preserve">Para a análise de </w:t>
      </w:r>
      <w:r w:rsidRPr="00BB655D">
        <w:rPr>
          <w:rFonts w:asciiTheme="minorHAnsi" w:eastAsiaTheme="minorHAnsi" w:hAnsiTheme="minorHAnsi" w:cs="System"/>
          <w:bCs/>
          <w:u w:val="single"/>
          <w:lang w:eastAsia="en-US"/>
        </w:rPr>
        <w:t xml:space="preserve">confiabilidade </w:t>
      </w:r>
      <w:r w:rsidRPr="00AB315F">
        <w:rPr>
          <w:rFonts w:asciiTheme="minorHAnsi" w:eastAsiaTheme="minorHAnsi" w:hAnsiTheme="minorHAnsi" w:cs="System"/>
          <w:bCs/>
          <w:lang w:eastAsia="en-US"/>
        </w:rPr>
        <w:t>formula-se as seguintes hipóteses:</w:t>
      </w:r>
    </w:p>
    <w:p w14:paraId="658ABAC2" w14:textId="77777777" w:rsidR="001554C3" w:rsidRPr="00AB315F" w:rsidRDefault="001554C3" w:rsidP="001554C3">
      <w:pPr>
        <w:spacing w:after="240" w:line="360" w:lineRule="auto"/>
        <w:jc w:val="both"/>
        <w:rPr>
          <w:rFonts w:asciiTheme="minorHAnsi" w:eastAsiaTheme="minorHAnsi" w:hAnsiTheme="minorHAnsi" w:cs="System"/>
          <w:bCs/>
          <w:lang w:eastAsia="en-US"/>
        </w:rPr>
      </w:pPr>
      <w:r w:rsidRPr="00AB315F">
        <w:rPr>
          <w:rFonts w:asciiTheme="minorHAnsi" w:eastAsiaTheme="minorHAnsi" w:hAnsiTheme="minorHAnsi" w:cs="System"/>
          <w:bCs/>
          <w:lang w:eastAsia="en-US"/>
        </w:rPr>
        <w:t xml:space="preserve">H6: Os indicadores observáveis captam uma mesma dimensão </w:t>
      </w:r>
    </w:p>
    <w:p w14:paraId="162B98B1" w14:textId="77777777" w:rsidR="001554C3" w:rsidRPr="00AB315F" w:rsidRDefault="001554C3" w:rsidP="001554C3">
      <w:pPr>
        <w:spacing w:after="240" w:line="360" w:lineRule="auto"/>
        <w:jc w:val="both"/>
        <w:rPr>
          <w:rFonts w:asciiTheme="minorHAnsi" w:eastAsiaTheme="minorHAnsi" w:hAnsiTheme="minorHAnsi" w:cs="System"/>
          <w:bCs/>
          <w:lang w:eastAsia="en-US"/>
        </w:rPr>
      </w:pPr>
      <w:r w:rsidRPr="00AB315F">
        <w:rPr>
          <w:rFonts w:asciiTheme="minorHAnsi" w:eastAsiaTheme="minorHAnsi" w:hAnsiTheme="minorHAnsi" w:cs="System"/>
          <w:bCs/>
          <w:lang w:eastAsia="en-US"/>
        </w:rPr>
        <w:t>H7: Existe consistência interna significativa</w:t>
      </w:r>
      <w:r>
        <w:rPr>
          <w:rFonts w:asciiTheme="minorHAnsi" w:eastAsiaTheme="minorHAnsi" w:hAnsiTheme="minorHAnsi" w:cs="System"/>
          <w:bCs/>
          <w:lang w:eastAsia="en-US"/>
        </w:rPr>
        <w:t xml:space="preserve"> entre os indicadores observáveis</w:t>
      </w:r>
      <w:r w:rsidRPr="00AB315F">
        <w:rPr>
          <w:rFonts w:asciiTheme="minorHAnsi" w:eastAsiaTheme="minorHAnsi" w:hAnsiTheme="minorHAnsi" w:cs="System"/>
          <w:bCs/>
          <w:lang w:eastAsia="en-US"/>
        </w:rPr>
        <w:t>.</w:t>
      </w:r>
    </w:p>
    <w:p w14:paraId="218D8D94" w14:textId="77777777" w:rsidR="001554C3" w:rsidRDefault="001554C3" w:rsidP="001554C3">
      <w:pPr>
        <w:spacing w:after="240" w:line="360" w:lineRule="auto"/>
        <w:ind w:firstLine="708"/>
        <w:jc w:val="both"/>
        <w:rPr>
          <w:rFonts w:asciiTheme="minorHAnsi" w:hAnsiTheme="minorHAnsi"/>
        </w:rPr>
      </w:pPr>
      <w:r w:rsidRPr="00AB315F">
        <w:rPr>
          <w:rFonts w:asciiTheme="minorHAnsi" w:hAnsiTheme="minorHAnsi"/>
        </w:rPr>
        <w:t>O capítulo da análise inicia-se com a avaliação da validade uma vez que aspectos de confiabilidade dependem do grau em que a medida capta o conceito de aceitação da corrupção. Na sequência, avalia a consistência interna das medidas e julga-se sua a sensibilidade a contextos diferentes.</w:t>
      </w:r>
    </w:p>
    <w:p w14:paraId="211B9BF7" w14:textId="1FFC60D2" w:rsidR="0072120D" w:rsidRPr="00AB315F" w:rsidRDefault="0072120D" w:rsidP="0072120D">
      <w:pPr>
        <w:pStyle w:val="Ttulo2"/>
        <w:rPr>
          <w:color w:val="auto"/>
        </w:rPr>
      </w:pPr>
      <w:bookmarkStart w:id="21" w:name="_Toc456241254"/>
      <w:r w:rsidRPr="00AB315F">
        <w:rPr>
          <w:color w:val="auto"/>
        </w:rPr>
        <w:t>3.1 Metodologia</w:t>
      </w:r>
      <w:bookmarkEnd w:id="21"/>
      <w:r w:rsidRPr="00AB315F">
        <w:rPr>
          <w:color w:val="auto"/>
        </w:rPr>
        <w:t xml:space="preserve"> </w:t>
      </w:r>
    </w:p>
    <w:p w14:paraId="70DB0E4B" w14:textId="77777777" w:rsidR="0072120D" w:rsidRPr="00AB315F" w:rsidRDefault="0072120D" w:rsidP="0072120D">
      <w:pPr>
        <w:spacing w:after="240" w:line="360" w:lineRule="auto"/>
        <w:ind w:firstLine="708"/>
        <w:jc w:val="both"/>
        <w:rPr>
          <w:rFonts w:asciiTheme="minorHAnsi" w:hAnsiTheme="minorHAnsi"/>
        </w:rPr>
      </w:pPr>
    </w:p>
    <w:p w14:paraId="0A47E4C9"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A validação de conteúdo será realizada a partir do resgate das proposições teórico-conceituais da literatura, conforme sugerido por Hair et al (2005).</w:t>
      </w:r>
    </w:p>
    <w:p w14:paraId="0320B782" w14:textId="5DE48CEE"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lastRenderedPageBreak/>
        <w:t>A fim de avaliar outros aspectos da validade e consistência do indicador de Aceitação ou tolerância à corrupção, ira-se aplicar, testes estatísticos como</w:t>
      </w:r>
      <w:r w:rsidR="00F35D09">
        <w:rPr>
          <w:rFonts w:asciiTheme="minorHAnsi" w:hAnsiTheme="minorHAnsi"/>
        </w:rPr>
        <w:t>:</w:t>
      </w:r>
      <w:r w:rsidR="00F35D09" w:rsidRPr="00AB315F">
        <w:rPr>
          <w:rFonts w:asciiTheme="minorHAnsi" w:hAnsiTheme="minorHAnsi"/>
        </w:rPr>
        <w:t xml:space="preserve"> Coeficiente </w:t>
      </w:r>
      <w:r w:rsidR="00F35D09" w:rsidRPr="00AB315F">
        <w:rPr>
          <w:rFonts w:asciiTheme="minorHAnsi" w:hAnsiTheme="minorHAnsi"/>
        </w:rPr>
        <w:sym w:font="Symbol" w:char="F061"/>
      </w:r>
      <w:r w:rsidR="00F35D09" w:rsidRPr="00AB315F">
        <w:rPr>
          <w:rFonts w:asciiTheme="minorHAnsi" w:hAnsiTheme="minorHAnsi"/>
        </w:rPr>
        <w:t xml:space="preserve"> de Cronbach</w:t>
      </w:r>
      <w:r w:rsidR="00F35D09">
        <w:rPr>
          <w:rFonts w:asciiTheme="minorHAnsi" w:hAnsiTheme="minorHAnsi"/>
        </w:rPr>
        <w:t>,</w:t>
      </w:r>
      <w:r w:rsidRPr="00AB315F">
        <w:rPr>
          <w:rFonts w:asciiTheme="minorHAnsi" w:hAnsiTheme="minorHAnsi"/>
        </w:rPr>
        <w:t xml:space="preserve"> Análise Fatorial</w:t>
      </w:r>
      <w:r w:rsidR="00F35D09">
        <w:rPr>
          <w:rFonts w:asciiTheme="minorHAnsi" w:hAnsiTheme="minorHAnsi"/>
        </w:rPr>
        <w:t xml:space="preserve"> Exploratória e Confirmatória. A última parte da abordagem</w:t>
      </w:r>
      <w:r w:rsidRPr="00AB315F">
        <w:rPr>
          <w:rFonts w:asciiTheme="minorHAnsi" w:hAnsiTheme="minorHAnsi"/>
        </w:rPr>
        <w:t xml:space="preserve"> </w:t>
      </w:r>
      <w:r w:rsidR="00F35D09">
        <w:rPr>
          <w:rFonts w:asciiTheme="minorHAnsi" w:hAnsiTheme="minorHAnsi"/>
        </w:rPr>
        <w:t>do</w:t>
      </w:r>
      <w:r w:rsidRPr="00AB315F">
        <w:rPr>
          <w:rFonts w:asciiTheme="minorHAnsi" w:hAnsiTheme="minorHAnsi"/>
        </w:rPr>
        <w:t xml:space="preserve"> Modelo de Equações Estruturais. </w:t>
      </w:r>
    </w:p>
    <w:p w14:paraId="192CAA74" w14:textId="028D12E4"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A Análise fatorial representa um conjunto de métodos, os quais têm o propósito de facilitar o entendimento dos fatores latentes que são subjacentes a um conjunto de variáveis observáveis. Segundo</w:t>
      </w:r>
      <w:r w:rsidR="0073433F">
        <w:rPr>
          <w:rFonts w:asciiTheme="minorHAnsi" w:hAnsiTheme="minorHAnsi"/>
        </w:rPr>
        <w:t xml:space="preserve"> C</w:t>
      </w:r>
      <w:r w:rsidR="0073433F" w:rsidRPr="0073433F">
        <w:rPr>
          <w:rFonts w:asciiTheme="minorHAnsi" w:hAnsiTheme="minorHAnsi"/>
        </w:rPr>
        <w:t>ostell</w:t>
      </w:r>
      <w:r w:rsidR="0073433F">
        <w:rPr>
          <w:rFonts w:asciiTheme="minorHAnsi" w:hAnsiTheme="minorHAnsi"/>
        </w:rPr>
        <w:t>o e O</w:t>
      </w:r>
      <w:r w:rsidR="0073433F" w:rsidRPr="0073433F">
        <w:rPr>
          <w:rFonts w:asciiTheme="minorHAnsi" w:hAnsiTheme="minorHAnsi"/>
        </w:rPr>
        <w:t>sborne</w:t>
      </w:r>
      <w:r w:rsidR="0073433F">
        <w:rPr>
          <w:rFonts w:asciiTheme="minorHAnsi" w:hAnsiTheme="minorHAnsi"/>
        </w:rPr>
        <w:t xml:space="preserve"> (2004)</w:t>
      </w:r>
      <w:r w:rsidRPr="00AB315F">
        <w:rPr>
          <w:rFonts w:asciiTheme="minorHAnsi" w:hAnsiTheme="minorHAnsi"/>
        </w:rPr>
        <w:t xml:space="preserve">, a análise fatorial se propõe a determinar qual conjunto de variáveis observadas compartilha características da variância e </w:t>
      </w:r>
      <w:r w:rsidR="007F2C6A" w:rsidRPr="00AB315F">
        <w:rPr>
          <w:rFonts w:asciiTheme="minorHAnsi" w:hAnsiTheme="minorHAnsi"/>
        </w:rPr>
        <w:t>covariância</w:t>
      </w:r>
      <w:r w:rsidRPr="00AB315F">
        <w:rPr>
          <w:rFonts w:asciiTheme="minorHAnsi" w:hAnsiTheme="minorHAnsi"/>
        </w:rPr>
        <w:t xml:space="preserve"> que definem a construção dos fatores (variáveis latentes). </w:t>
      </w:r>
    </w:p>
    <w:p w14:paraId="6193EEC5" w14:textId="0306C233"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 xml:space="preserve">Em suma, usa-se técnicas analíticas de análise fatorial para confirmar quais variáveis definem construtos ou fatores a partir de variáveis observadas, ou explora-se quais variáveis estão ou não relacionados aos fatores. O processo de análise fatorial pode seguir duas modalidades, com princípios semelhantes, porém, com finalidades distintas: A Análise Fatorial Exploratória (AFE) e Análise Fatorial </w:t>
      </w:r>
      <w:r w:rsidR="007F2C6A" w:rsidRPr="00AB315F">
        <w:rPr>
          <w:rFonts w:asciiTheme="minorHAnsi" w:hAnsiTheme="minorHAnsi"/>
        </w:rPr>
        <w:t>Confirmatória</w:t>
      </w:r>
      <w:r w:rsidRPr="00AB315F">
        <w:rPr>
          <w:rFonts w:asciiTheme="minorHAnsi" w:hAnsiTheme="minorHAnsi"/>
        </w:rPr>
        <w:t xml:space="preserve"> (AFC).</w:t>
      </w:r>
    </w:p>
    <w:p w14:paraId="033BE91E"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Na AFE procura-se definir os fatores, impor vínculos sobre estes, não existindo restrições sobre os padrões de relações entre variáveis observadas e latentes. O objetivo da análise exploratória é descobrir a natureza da estrutura subjacente entre as variáveis indicadoras.</w:t>
      </w:r>
    </w:p>
    <w:p w14:paraId="2C6AC671"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 xml:space="preserve">Várias soluções são estimadas com diferentes números de elementos e diversos tipos de rotações na AFE. O pesquisador escolhe entre as soluções e seleciona a melhor, baseado na teoria. Segundo Brown (2006), o objetivo primordial da análise fatorial exploratória é avaliar a dimensionalidade de um conjunto de múltiplos indicadores (por exemplo, itens de um questionário) para descobrir o menor número de fatores interpretáveis necessários para explicar as correlações entre eles. Isto define a diferença entre AFE e AFC. Na AFE não são impostas restrições a priori nos padrões das relações entre as variáveis enquanto que na AFC o pesquisador deve especificar diversos aspectos do modelo fatorial, tais como, o número de fatores e o padrão das cargas fatoriais, determinando diferentes modelos alternativos para encontrar o que mais se ajusta aos dados, e que tenha suporte teórico. </w:t>
      </w:r>
    </w:p>
    <w:p w14:paraId="174BACC8" w14:textId="640FB850"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lastRenderedPageBreak/>
        <w:t>Já na AFC a teoria vem em primeiro lugar. O modelo é derivado da teoria e por último testado para obter a consistência com os dados observados, usando uma abordagem de Modelos de Equações Estruturais (MEE). Assim, a questão é se o modelo produz uma matriz de covariância populacional consistente com a matriz de covariância amostral (observada). Se o modelo for bom, os parâmetros estimados produzirão uma matriz de covariância populacional estimada próxima à matriz de covariância amostral. Essa “proximidade” é avaliada primeiramente pelo teste qui-quadrado e, posteriormente, pelos índices de ajuste.</w:t>
      </w:r>
    </w:p>
    <w:p w14:paraId="4D3022F6"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A Análise Fatorial Confirmatória (AFC) é um método de análise de dados que pertence à família das técnicas de modelagem de equações estruturais (MEE). Esta técnica permite a verificação de ajustes entre os dados observados e um modelo hipotetizado a priori, o qual é baseado na teoria que especifica as relações causais hipotéticas entre fatores latentes (variáveis não observáveis) e suas variáveis indicadoras (observáveis).</w:t>
      </w:r>
    </w:p>
    <w:p w14:paraId="4ABA1AF2"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Segundo Ullman (2006), os Modelos de Equações Estruturais (SEM) permitem que um conjunto de relações entre uma ou mais variáveis indicadoras e uma ou mais variáveis latentes possam ser descritas por variáveis contínuas e/ou discretas. Além disso, SEM também engloba como modelos causais, análise causal, modelagem de equações simultâneas, análise de estruturas de covariâncias, análises de caminhos ou análise fatorial confirmatória (AFC).</w:t>
      </w:r>
    </w:p>
    <w:p w14:paraId="60A89F1D"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A técnica em questão exige alguns pressupostos para sua aplicação a variáveis contínuas e discretas. Segundo Hair et al (2006) os critérios estão calcados no padrão de correlação, aspectos amostrais e estatísticas de ajuste, são eles:</w:t>
      </w:r>
    </w:p>
    <w:p w14:paraId="3FECF646" w14:textId="77777777" w:rsidR="0072120D" w:rsidRPr="00AB315F" w:rsidRDefault="0072120D" w:rsidP="0072120D">
      <w:pPr>
        <w:pStyle w:val="PargrafodaLista"/>
        <w:numPr>
          <w:ilvl w:val="0"/>
          <w:numId w:val="28"/>
        </w:numPr>
        <w:spacing w:after="240" w:line="360" w:lineRule="auto"/>
        <w:jc w:val="both"/>
        <w:rPr>
          <w:rFonts w:asciiTheme="minorHAnsi" w:hAnsiTheme="minorHAnsi"/>
        </w:rPr>
      </w:pPr>
      <w:r w:rsidRPr="00AB315F">
        <w:rPr>
          <w:rFonts w:asciiTheme="minorHAnsi" w:hAnsiTheme="minorHAnsi"/>
        </w:rPr>
        <w:t>Amostras mínimas entre 50 e 100 casos</w:t>
      </w:r>
    </w:p>
    <w:p w14:paraId="00B0B400" w14:textId="77777777" w:rsidR="0072120D" w:rsidRPr="00AB315F" w:rsidRDefault="0072120D" w:rsidP="0072120D">
      <w:pPr>
        <w:pStyle w:val="PargrafodaLista"/>
        <w:numPr>
          <w:ilvl w:val="0"/>
          <w:numId w:val="28"/>
        </w:numPr>
        <w:spacing w:after="240" w:line="360" w:lineRule="auto"/>
        <w:jc w:val="both"/>
        <w:rPr>
          <w:rFonts w:asciiTheme="minorHAnsi" w:hAnsiTheme="minorHAnsi"/>
        </w:rPr>
      </w:pPr>
      <w:r w:rsidRPr="00AB315F">
        <w:rPr>
          <w:rFonts w:asciiTheme="minorHAnsi" w:hAnsiTheme="minorHAnsi"/>
        </w:rPr>
        <w:t>Razão entre o número de observações (N) e número de variáveis igual ou superior a cinco.</w:t>
      </w:r>
    </w:p>
    <w:p w14:paraId="15F60BF1" w14:textId="77777777" w:rsidR="0072120D" w:rsidRPr="00AB315F" w:rsidRDefault="0072120D" w:rsidP="0072120D">
      <w:pPr>
        <w:pStyle w:val="PargrafodaLista"/>
        <w:numPr>
          <w:ilvl w:val="0"/>
          <w:numId w:val="28"/>
        </w:numPr>
        <w:spacing w:after="240" w:line="360" w:lineRule="auto"/>
        <w:jc w:val="both"/>
        <w:rPr>
          <w:rFonts w:asciiTheme="minorHAnsi" w:hAnsiTheme="minorHAnsi"/>
        </w:rPr>
      </w:pPr>
      <w:r w:rsidRPr="00AB315F">
        <w:rPr>
          <w:rFonts w:asciiTheme="minorHAnsi" w:hAnsiTheme="minorHAnsi"/>
        </w:rPr>
        <w:t>A maior parte dos coeficientes de correlação devem apresentar valores superiores a 0,30</w:t>
      </w:r>
    </w:p>
    <w:p w14:paraId="1B34C8E9" w14:textId="77777777" w:rsidR="0072120D" w:rsidRPr="00AB315F" w:rsidRDefault="0072120D" w:rsidP="0072120D">
      <w:pPr>
        <w:pStyle w:val="PargrafodaLista"/>
        <w:numPr>
          <w:ilvl w:val="0"/>
          <w:numId w:val="28"/>
        </w:numPr>
        <w:spacing w:after="240" w:line="360" w:lineRule="auto"/>
        <w:jc w:val="both"/>
        <w:rPr>
          <w:rFonts w:asciiTheme="minorHAnsi" w:hAnsiTheme="minorHAnsi"/>
        </w:rPr>
      </w:pPr>
      <w:r w:rsidRPr="00AB315F">
        <w:rPr>
          <w:rFonts w:asciiTheme="minorHAnsi" w:hAnsiTheme="minorHAnsi"/>
        </w:rPr>
        <w:t>Estatística KMO com patamar mínimo de adequabilidade (Hair et all 2006)</w:t>
      </w:r>
    </w:p>
    <w:p w14:paraId="530C6600" w14:textId="77777777" w:rsidR="0072120D" w:rsidRPr="00AB315F" w:rsidRDefault="0072120D" w:rsidP="0072120D">
      <w:pPr>
        <w:pStyle w:val="PargrafodaLista"/>
        <w:numPr>
          <w:ilvl w:val="0"/>
          <w:numId w:val="28"/>
        </w:numPr>
        <w:spacing w:after="240" w:line="360" w:lineRule="auto"/>
        <w:jc w:val="both"/>
        <w:rPr>
          <w:rFonts w:asciiTheme="minorHAnsi" w:hAnsiTheme="minorHAnsi"/>
        </w:rPr>
      </w:pPr>
      <w:r w:rsidRPr="00AB315F">
        <w:rPr>
          <w:rFonts w:asciiTheme="minorHAnsi" w:hAnsiTheme="minorHAnsi"/>
        </w:rPr>
        <w:t>Estatística BTS com significância estatística acima com p&lt;0,05.</w:t>
      </w:r>
    </w:p>
    <w:p w14:paraId="1DB1FDE8"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lastRenderedPageBreak/>
        <w:t>Por sua vez, o coeficiente Alfa Cronbach, proposto por Cronbach (1951), resume a covariação entre diversos itens que devem compor um indicador. O método é adequado para quantificar a confiabilidade de instrumentos de medidas, considera a homogeneidade dos itens da escala e apresenta como vantagem o fato de necessitar de uma única aplicação do instrumento. É o método mais utilizado para medir a confiabilidade, quando esta for entendida como uma consistência interna dos indicadores da escala, ou seja, os indicadores da escala, altamente interrelacionados, devem medir o mesmo construto latente.</w:t>
      </w:r>
    </w:p>
    <w:p w14:paraId="6622C991" w14:textId="2B0A4691" w:rsidR="0072120D" w:rsidRPr="00AB315F" w:rsidRDefault="0072120D" w:rsidP="00686A3D">
      <w:pPr>
        <w:spacing w:after="240" w:line="360" w:lineRule="auto"/>
        <w:ind w:firstLine="708"/>
        <w:jc w:val="both"/>
        <w:rPr>
          <w:rFonts w:asciiTheme="minorHAnsi" w:hAnsiTheme="minorHAnsi"/>
        </w:rPr>
      </w:pPr>
      <w:r w:rsidRPr="00AB315F">
        <w:rPr>
          <w:rFonts w:asciiTheme="minorHAnsi" w:hAnsiTheme="minorHAnsi"/>
        </w:rPr>
        <w:t xml:space="preserve">De uma forma geral, o Coeficiente </w:t>
      </w:r>
      <w:r w:rsidRPr="00AB315F">
        <w:rPr>
          <w:rFonts w:asciiTheme="minorHAnsi" w:hAnsiTheme="minorHAnsi"/>
        </w:rPr>
        <w:sym w:font="Symbol" w:char="F061"/>
      </w:r>
      <w:r w:rsidRPr="00AB315F">
        <w:rPr>
          <w:rFonts w:asciiTheme="minorHAnsi" w:hAnsiTheme="minorHAnsi"/>
        </w:rPr>
        <w:t xml:space="preserve"> de Cronbach mede a correlação entre as respostas em um questionário através da análise do perfil das respostas dadas pelos respondentes (HORA et al., 2010). É calculado a partir do somatório da variância dos itens individuais e da soma da variância de cada avaliador</w:t>
      </w:r>
      <w:r w:rsidR="00686A3D">
        <w:rPr>
          <w:rFonts w:asciiTheme="minorHAnsi" w:hAnsiTheme="minorHAnsi"/>
          <w:noProof/>
        </w:rPr>
        <w:t>.</w:t>
      </w:r>
    </w:p>
    <w:p w14:paraId="5F9BB04B"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 xml:space="preserve">Os valores de </w:t>
      </w:r>
      <w:r w:rsidRPr="00AB315F">
        <w:rPr>
          <w:rFonts w:asciiTheme="minorHAnsi" w:hAnsiTheme="minorHAnsi"/>
        </w:rPr>
        <w:sym w:font="Symbol" w:char="F061"/>
      </w:r>
      <w:r w:rsidRPr="00AB315F">
        <w:rPr>
          <w:rFonts w:asciiTheme="minorHAnsi" w:hAnsiTheme="minorHAnsi"/>
        </w:rPr>
        <w:t xml:space="preserve">variam de 0 a 1,0; quanto mais próximo de 1, maior confiabilidade entre os indicadores. O uso de medidas de confiabilidade, como o </w:t>
      </w:r>
      <w:r w:rsidRPr="00AB315F">
        <w:rPr>
          <w:rFonts w:asciiTheme="minorHAnsi" w:hAnsiTheme="minorHAnsi"/>
        </w:rPr>
        <w:sym w:font="Symbol" w:char="F061"/>
      </w:r>
      <w:r w:rsidRPr="00AB315F">
        <w:rPr>
          <w:rFonts w:asciiTheme="minorHAnsi" w:hAnsiTheme="minorHAnsi"/>
        </w:rPr>
        <w:t>de Cronbach, não garante unidimensionalidade ao questionário, mas assume que ela existe. A unidimensionalidade é uma característica de um conjunto de indicadores que tem apenas um conceito em comum (HAIR JUNIOR et al., 2005).</w:t>
      </w:r>
    </w:p>
    <w:p w14:paraId="72C7074F" w14:textId="0D4CF895"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 xml:space="preserve">De um modo geral, um instrumento ou teste é classificado como tendo fiabilidade apropriada quando o </w:t>
      </w:r>
      <w:r w:rsidRPr="00AB315F">
        <w:rPr>
          <w:rFonts w:asciiTheme="minorHAnsi" w:hAnsiTheme="minorHAnsi" w:cs="Arial"/>
        </w:rPr>
        <w:t xml:space="preserve">α </w:t>
      </w:r>
      <w:r w:rsidRPr="00AB315F">
        <w:rPr>
          <w:rFonts w:asciiTheme="minorHAnsi" w:hAnsiTheme="minorHAnsi"/>
        </w:rPr>
        <w:t>é pelo menos 0.70 (Nunnally, 1994</w:t>
      </w:r>
      <w:r w:rsidR="00CE721F">
        <w:rPr>
          <w:rFonts w:asciiTheme="minorHAnsi" w:hAnsiTheme="minorHAnsi"/>
        </w:rPr>
        <w:t>,</w:t>
      </w:r>
      <w:r w:rsidR="00CE721F">
        <w:rPr>
          <w:rFonts w:asciiTheme="minorHAnsi" w:hAnsiTheme="minorHAnsi"/>
          <w:i/>
        </w:rPr>
        <w:t xml:space="preserve"> apud FREITAS, 2005</w:t>
      </w:r>
      <w:r w:rsidRPr="00AB315F">
        <w:rPr>
          <w:rFonts w:asciiTheme="minorHAnsi" w:hAnsiTheme="minorHAnsi"/>
        </w:rPr>
        <w:t xml:space="preserve">). Contudo, em alguns cenários de investigação das ciências sociais, um </w:t>
      </w:r>
      <w:r w:rsidRPr="00AB315F">
        <w:rPr>
          <w:rFonts w:asciiTheme="minorHAnsi" w:hAnsiTheme="minorHAnsi" w:cs="Arial"/>
        </w:rPr>
        <w:t xml:space="preserve">α </w:t>
      </w:r>
      <w:r w:rsidRPr="00AB315F">
        <w:rPr>
          <w:rFonts w:asciiTheme="minorHAnsi" w:hAnsiTheme="minorHAnsi"/>
        </w:rPr>
        <w:t xml:space="preserve">de 0.60 é considerado </w:t>
      </w:r>
      <w:r w:rsidRPr="00AB315F">
        <w:rPr>
          <w:rStyle w:val="highlight"/>
          <w:rFonts w:asciiTheme="minorHAnsi" w:hAnsiTheme="minorHAnsi"/>
        </w:rPr>
        <w:t>aceit</w:t>
      </w:r>
      <w:r w:rsidRPr="00AB315F">
        <w:rPr>
          <w:rFonts w:asciiTheme="minorHAnsi" w:hAnsiTheme="minorHAnsi"/>
        </w:rPr>
        <w:t xml:space="preserve">ável desde que os resultados obtidos com esse instrumento sejam interpretados com precaução e tenham em conta o contexto de computação do índice (De Vellis, 1991). </w:t>
      </w:r>
    </w:p>
    <w:p w14:paraId="58704846" w14:textId="102C1782" w:rsidR="0072120D" w:rsidRPr="00AB315F" w:rsidRDefault="0072120D" w:rsidP="0072120D">
      <w:pPr>
        <w:spacing w:after="240" w:line="360" w:lineRule="auto"/>
        <w:ind w:firstLine="708"/>
        <w:rPr>
          <w:rFonts w:asciiTheme="minorHAnsi" w:hAnsiTheme="minorHAnsi"/>
        </w:rPr>
      </w:pPr>
      <w:r w:rsidRPr="00AB315F">
        <w:rPr>
          <w:rFonts w:asciiTheme="minorHAnsi" w:hAnsiTheme="minorHAnsi"/>
        </w:rPr>
        <w:t xml:space="preserve">Peterson (1994) numa meta-análise da utilização do </w:t>
      </w:r>
      <w:r w:rsidRPr="00AB315F">
        <w:rPr>
          <w:rFonts w:asciiTheme="minorHAnsi" w:hAnsiTheme="minorHAnsi" w:cs="Arial"/>
        </w:rPr>
        <w:t xml:space="preserve">α </w:t>
      </w:r>
      <w:r w:rsidRPr="00AB315F">
        <w:rPr>
          <w:rFonts w:asciiTheme="minorHAnsi" w:hAnsiTheme="minorHAnsi"/>
        </w:rPr>
        <w:t xml:space="preserve">de Cronbach na literatura das ciências sociais e humanas, observou um </w:t>
      </w:r>
      <w:r w:rsidRPr="00AB315F">
        <w:rPr>
          <w:rFonts w:asciiTheme="minorHAnsi" w:hAnsiTheme="minorHAnsi" w:cs="Arial"/>
        </w:rPr>
        <w:t xml:space="preserve">α </w:t>
      </w:r>
      <w:r w:rsidRPr="00AB315F">
        <w:rPr>
          <w:rFonts w:asciiTheme="minorHAnsi" w:hAnsiTheme="minorHAnsi"/>
        </w:rPr>
        <w:t xml:space="preserve">médio de 0.70 (na medição de valores) a 0.82 (na medição da satisfação com o trabalho). Com poucas </w:t>
      </w:r>
      <w:r w:rsidR="007F2C6A" w:rsidRPr="00AB315F">
        <w:rPr>
          <w:rFonts w:asciiTheme="minorHAnsi" w:hAnsiTheme="minorHAnsi"/>
        </w:rPr>
        <w:t>exceções</w:t>
      </w:r>
      <w:r w:rsidRPr="00AB315F">
        <w:rPr>
          <w:rFonts w:asciiTheme="minorHAnsi" w:hAnsiTheme="minorHAnsi"/>
        </w:rPr>
        <w:t xml:space="preserve">, este autor não observou nenhuma relação entre a magnitude do </w:t>
      </w:r>
      <w:r w:rsidRPr="00AB315F">
        <w:rPr>
          <w:rFonts w:asciiTheme="minorHAnsi" w:hAnsiTheme="minorHAnsi" w:cs="Arial"/>
        </w:rPr>
        <w:t xml:space="preserve">α </w:t>
      </w:r>
      <w:r w:rsidRPr="00AB315F">
        <w:rPr>
          <w:rFonts w:asciiTheme="minorHAnsi" w:hAnsiTheme="minorHAnsi"/>
        </w:rPr>
        <w:t>e o design experimental das características investigadas.</w:t>
      </w:r>
    </w:p>
    <w:p w14:paraId="669198E4"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lastRenderedPageBreak/>
        <w:t xml:space="preserve">Segundo Hora et al. (2010), a aplicação do Coeficiente Alfa de Cronbach deve se submeter a alguns pressupostos: </w:t>
      </w:r>
    </w:p>
    <w:p w14:paraId="7AA35F81" w14:textId="77777777" w:rsidR="0072120D" w:rsidRPr="00AB315F" w:rsidRDefault="0072120D" w:rsidP="0072120D">
      <w:pPr>
        <w:spacing w:after="240" w:line="360" w:lineRule="auto"/>
        <w:jc w:val="both"/>
        <w:rPr>
          <w:rFonts w:asciiTheme="minorHAnsi" w:hAnsiTheme="minorHAnsi"/>
        </w:rPr>
      </w:pPr>
      <w:r w:rsidRPr="00AB315F">
        <w:rPr>
          <w:rFonts w:asciiTheme="minorHAnsi" w:hAnsiTheme="minorHAnsi"/>
        </w:rPr>
        <w:t xml:space="preserve">1. O questionário deve estar dividido e agrupado em “dimensões” (construtos), ou seja, questões que tratam de um mesmo aspecto; </w:t>
      </w:r>
    </w:p>
    <w:p w14:paraId="6893E1A7" w14:textId="77777777" w:rsidR="0072120D" w:rsidRPr="00AB315F" w:rsidRDefault="0072120D" w:rsidP="0072120D">
      <w:pPr>
        <w:spacing w:after="240" w:line="360" w:lineRule="auto"/>
        <w:jc w:val="both"/>
        <w:rPr>
          <w:rFonts w:asciiTheme="minorHAnsi" w:hAnsiTheme="minorHAnsi"/>
        </w:rPr>
      </w:pPr>
      <w:r w:rsidRPr="00AB315F">
        <w:rPr>
          <w:rFonts w:asciiTheme="minorHAnsi" w:hAnsiTheme="minorHAnsi"/>
        </w:rPr>
        <w:t>2. O questionário deve ser aplicado a uma amostra significativa e heterogênea da população (se questionários forem aplicados apenas para especialistas numa determinada área, por exemplo, existirá uma tendência natural a uma baixa variância, baixando, assim, o α.</w:t>
      </w:r>
    </w:p>
    <w:p w14:paraId="0C44C55F" w14:textId="77777777" w:rsidR="0072120D" w:rsidRPr="00AB315F" w:rsidRDefault="0072120D" w:rsidP="0072120D">
      <w:pPr>
        <w:spacing w:after="240" w:line="360" w:lineRule="auto"/>
        <w:jc w:val="both"/>
        <w:rPr>
          <w:rFonts w:asciiTheme="minorHAnsi" w:hAnsiTheme="minorHAnsi"/>
        </w:rPr>
      </w:pPr>
      <w:r w:rsidRPr="00AB315F">
        <w:rPr>
          <w:rFonts w:asciiTheme="minorHAnsi" w:hAnsiTheme="minorHAnsi"/>
        </w:rPr>
        <w:t>3. A escala já deve estar validada (ou seja, deve existir a certeza de que o instrumento usado na medição está realmente medindo aquilo que ele se propõe a medir).</w:t>
      </w:r>
    </w:p>
    <w:p w14:paraId="45549119" w14:textId="77777777" w:rsidR="0072120D" w:rsidRPr="00AB315F" w:rsidRDefault="0072120D" w:rsidP="0072120D">
      <w:pPr>
        <w:spacing w:after="240" w:line="360" w:lineRule="auto"/>
        <w:jc w:val="both"/>
        <w:rPr>
          <w:rFonts w:asciiTheme="minorHAnsi" w:hAnsiTheme="minorHAnsi"/>
        </w:rPr>
      </w:pPr>
      <w:r w:rsidRPr="00AB315F">
        <w:rPr>
          <w:rFonts w:asciiTheme="minorHAnsi" w:hAnsiTheme="minorHAnsi"/>
        </w:rPr>
        <w:t xml:space="preserve">O último ponto do pressuposto é frequentemente questionado, pois não existe um formalismo matemático para se dizer se uma escala é válida ou não. Assim, muitos pesquisadores avaliam a validade da escala pelo nível de confiabilidade desta (HORA et al., 2010), </w:t>
      </w:r>
    </w:p>
    <w:p w14:paraId="584F3FC7" w14:textId="77777777" w:rsidR="0072120D" w:rsidRPr="00AB315F" w:rsidRDefault="0072120D" w:rsidP="0072120D">
      <w:pPr>
        <w:spacing w:after="240" w:line="360" w:lineRule="auto"/>
        <w:jc w:val="both"/>
        <w:rPr>
          <w:rFonts w:asciiTheme="minorHAnsi" w:hAnsiTheme="minorHAnsi"/>
          <w:u w:val="single"/>
        </w:rPr>
      </w:pPr>
      <w:r w:rsidRPr="00AB315F">
        <w:rPr>
          <w:rFonts w:asciiTheme="minorHAnsi" w:hAnsiTheme="minorHAnsi"/>
          <w:u w:val="single"/>
        </w:rPr>
        <w:t>Testes de ajustes</w:t>
      </w:r>
    </w:p>
    <w:p w14:paraId="734E8B02" w14:textId="032253F4"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 xml:space="preserve">Em geral, na metodologia de SEM, é utilizado o estimador de Máxima Verossimilhança. Segundo </w:t>
      </w:r>
      <w:r w:rsidR="00CE721F" w:rsidRPr="00AB315F">
        <w:rPr>
          <w:rFonts w:asciiTheme="minorHAnsi" w:hAnsiTheme="minorHAnsi"/>
        </w:rPr>
        <w:t>Brown (2006)</w:t>
      </w:r>
      <w:r w:rsidRPr="00AB315F">
        <w:rPr>
          <w:rFonts w:asciiTheme="minorHAnsi" w:hAnsiTheme="minorHAnsi"/>
        </w:rPr>
        <w:t xml:space="preserve">, o estimador ML possui diversas propriedades estatísticas: </w:t>
      </w:r>
    </w:p>
    <w:p w14:paraId="2737C423" w14:textId="15D77DB3" w:rsidR="0072120D" w:rsidRPr="00AB315F" w:rsidRDefault="007F2C6A" w:rsidP="0072120D">
      <w:pPr>
        <w:spacing w:after="240" w:line="360" w:lineRule="auto"/>
        <w:ind w:firstLine="708"/>
        <w:jc w:val="both"/>
        <w:rPr>
          <w:rFonts w:asciiTheme="minorHAnsi" w:hAnsiTheme="minorHAnsi"/>
        </w:rPr>
      </w:pPr>
      <w:r w:rsidRPr="00AB315F">
        <w:rPr>
          <w:rFonts w:asciiTheme="minorHAnsi" w:hAnsiTheme="minorHAnsi"/>
        </w:rPr>
        <w:t>1). Fornece</w:t>
      </w:r>
      <w:r w:rsidR="0072120D" w:rsidRPr="00AB315F">
        <w:rPr>
          <w:rFonts w:asciiTheme="minorHAnsi" w:hAnsiTheme="minorHAnsi"/>
        </w:rPr>
        <w:t xml:space="preserve"> os erros padrões para cada parâmetro estimado, os quais são usados para testar a significância estatística dos parâmetros e a precisão das estimativas através dos intervalos de confiança e </w:t>
      </w:r>
    </w:p>
    <w:p w14:paraId="216C48A9"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2) a função de ajuste é usada para calcular vários dos índices de qualidade de ajuste.</w:t>
      </w:r>
    </w:p>
    <w:p w14:paraId="522C3BFB"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Cabe mencionar, que o estimador de máxima verossimilhança é um dos vários métodos que podem ser usados. De fato, segundo Brown (2006), este estimador tem diversos pressupostos:</w:t>
      </w:r>
    </w:p>
    <w:p w14:paraId="0605FC0E"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lastRenderedPageBreak/>
        <w:t>a) O procedimento de estimação requer grandes tamanhos amostrais (assintóticos).</w:t>
      </w:r>
    </w:p>
    <w:p w14:paraId="2EA35FD5" w14:textId="184A3FA4"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 xml:space="preserve">b) </w:t>
      </w:r>
      <w:r w:rsidR="00FD55AE" w:rsidRPr="00AB315F">
        <w:rPr>
          <w:rFonts w:asciiTheme="minorHAnsi" w:hAnsiTheme="minorHAnsi"/>
        </w:rPr>
        <w:t xml:space="preserve"> . As</w:t>
      </w:r>
      <w:r w:rsidRPr="00AB315F">
        <w:rPr>
          <w:rFonts w:asciiTheme="minorHAnsi" w:hAnsiTheme="minorHAnsi"/>
        </w:rPr>
        <w:t xml:space="preserve"> variáveis indicadoras devem ser contínuas. </w:t>
      </w:r>
    </w:p>
    <w:p w14:paraId="4CA03170" w14:textId="2315CC07" w:rsidR="0072120D" w:rsidRPr="00AB315F" w:rsidRDefault="00FD55AE" w:rsidP="0072120D">
      <w:pPr>
        <w:spacing w:after="240" w:line="360" w:lineRule="auto"/>
        <w:ind w:firstLine="709"/>
        <w:jc w:val="both"/>
        <w:rPr>
          <w:rFonts w:asciiTheme="minorHAnsi" w:hAnsiTheme="minorHAnsi"/>
        </w:rPr>
      </w:pPr>
      <w:r w:rsidRPr="00AB315F">
        <w:rPr>
          <w:rFonts w:asciiTheme="minorHAnsi" w:hAnsiTheme="minorHAnsi"/>
        </w:rPr>
        <w:t>c). As</w:t>
      </w:r>
      <w:r w:rsidR="0072120D" w:rsidRPr="00AB315F">
        <w:rPr>
          <w:rFonts w:asciiTheme="minorHAnsi" w:hAnsiTheme="minorHAnsi"/>
        </w:rPr>
        <w:t xml:space="preserve"> variáveis indicadoras devem ter distribuição normal multivariada Kline (2006) ainda recomenda que, embora seja difícil estabelecer todos os aspectos de normalidade multivariada. Testar normalidade univariada e existência de outliers deve detectar a maior parte da não normalidade multivariada.</w:t>
      </w:r>
    </w:p>
    <w:p w14:paraId="5B28DA14" w14:textId="77777777" w:rsidR="0072120D" w:rsidRPr="00AB315F" w:rsidRDefault="0072120D" w:rsidP="0072120D">
      <w:pPr>
        <w:spacing w:after="240" w:line="360" w:lineRule="auto"/>
        <w:jc w:val="both"/>
        <w:rPr>
          <w:rFonts w:asciiTheme="minorHAnsi" w:hAnsiTheme="minorHAnsi"/>
          <w:u w:val="single"/>
        </w:rPr>
      </w:pPr>
      <w:r w:rsidRPr="00AB315F">
        <w:rPr>
          <w:rFonts w:asciiTheme="minorHAnsi" w:hAnsiTheme="minorHAnsi"/>
        </w:rPr>
        <w:t xml:space="preserve"> </w:t>
      </w:r>
      <w:r w:rsidRPr="00AB315F">
        <w:rPr>
          <w:rFonts w:asciiTheme="minorHAnsi" w:hAnsiTheme="minorHAnsi"/>
          <w:u w:val="single"/>
        </w:rPr>
        <w:t>Índices de ajuste absoluto “Overall Fit”</w:t>
      </w:r>
    </w:p>
    <w:p w14:paraId="4943270D" w14:textId="3BC7DA3C"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 xml:space="preserve">A estatística qui-quadrado de bondade de ajuste quando grande, conduz à rejeição de H0, significando que o modelo estimado não reproduz bem a matriz de covariância amostral, ou seja, que os dados não se ajustam bem ao modelo. Em contraste, um valor baixo desta estatística mostra que não é possível rejeitar H0 e significa que existe um bom ajuste do modelo </w:t>
      </w:r>
      <w:r w:rsidR="00CE721F" w:rsidRPr="00AB315F">
        <w:rPr>
          <w:rFonts w:asciiTheme="minorHAnsi" w:hAnsiTheme="minorHAnsi"/>
        </w:rPr>
        <w:t>(</w:t>
      </w:r>
      <w:r w:rsidR="00CE721F">
        <w:rPr>
          <w:rFonts w:asciiTheme="minorHAnsi" w:hAnsiTheme="minorHAnsi"/>
        </w:rPr>
        <w:t xml:space="preserve">BROWN, </w:t>
      </w:r>
      <w:r w:rsidR="00CE721F" w:rsidRPr="00AB315F">
        <w:rPr>
          <w:rFonts w:asciiTheme="minorHAnsi" w:hAnsiTheme="minorHAnsi"/>
        </w:rPr>
        <w:t>2006)</w:t>
      </w:r>
      <w:r w:rsidRPr="00AB315F">
        <w:rPr>
          <w:rFonts w:asciiTheme="minorHAnsi" w:hAnsiTheme="minorHAnsi"/>
        </w:rPr>
        <w:t>.</w:t>
      </w:r>
    </w:p>
    <w:p w14:paraId="303E0C3E"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Embora o é uma estatística comum na análise de modelos de análise fatorial confirmatória, esta estatística é raramente usada como um índice de ajuste isolado. De fato, existem críticas importantes a esta estatística. Em primeiro lugar, para N pequeno ou dados com distribuição não normal, a distribuição subjacente não segue comprometendo o teste de H0. Em segundo lugar, esta estatística sempre rejeitará H0, se o tamanho amostral for grande.</w:t>
      </w:r>
    </w:p>
    <w:p w14:paraId="57687D4A" w14:textId="547E785F" w:rsidR="0072120D" w:rsidRDefault="0072120D" w:rsidP="0072120D">
      <w:pPr>
        <w:spacing w:after="240" w:line="360" w:lineRule="auto"/>
        <w:ind w:firstLine="708"/>
        <w:jc w:val="both"/>
        <w:rPr>
          <w:rFonts w:asciiTheme="minorHAnsi" w:hAnsiTheme="minorHAnsi"/>
        </w:rPr>
      </w:pPr>
      <w:r w:rsidRPr="00AB315F">
        <w:rPr>
          <w:rFonts w:asciiTheme="minorHAnsi" w:hAnsiTheme="minorHAnsi"/>
          <w:u w:val="single"/>
        </w:rPr>
        <w:t>SRMR</w:t>
      </w:r>
      <w:r w:rsidRPr="00AB315F">
        <w:rPr>
          <w:rFonts w:asciiTheme="minorHAnsi" w:hAnsiTheme="minorHAnsi"/>
        </w:rPr>
        <w:t xml:space="preserve"> (do inglês, Standardized Root Mean Square Residual) que é baseado na discrepância entre as correlações na matriz amostral e as correlações preditas pelo modelo, ou seja, é baseado nas diferenças entre as covariâncias preditas e observadas. Idealmente, esses resíduos devem ser todos iguais a zero para um modelo de ajuste aceitável. </w:t>
      </w:r>
      <w:r w:rsidR="00CE721F">
        <w:rPr>
          <w:rFonts w:asciiTheme="minorHAnsi" w:hAnsiTheme="minorHAnsi"/>
        </w:rPr>
        <w:t>Brow (</w:t>
      </w:r>
      <w:r w:rsidR="00CE721F" w:rsidRPr="00AB315F">
        <w:rPr>
          <w:rFonts w:asciiTheme="minorHAnsi" w:hAnsiTheme="minorHAnsi"/>
        </w:rPr>
        <w:t>2006</w:t>
      </w:r>
      <w:r w:rsidR="00CE721F">
        <w:rPr>
          <w:rFonts w:asciiTheme="minorHAnsi" w:hAnsiTheme="minorHAnsi"/>
        </w:rPr>
        <w:t>) recomenda</w:t>
      </w:r>
      <w:r w:rsidRPr="00AB315F">
        <w:rPr>
          <w:rFonts w:asciiTheme="minorHAnsi" w:hAnsiTheme="minorHAnsi"/>
        </w:rPr>
        <w:t xml:space="preserve"> um valor d</w:t>
      </w:r>
      <w:r w:rsidR="00FD55AE">
        <w:rPr>
          <w:rFonts w:asciiTheme="minorHAnsi" w:hAnsiTheme="minorHAnsi"/>
        </w:rPr>
        <w:t xml:space="preserve">e corte perto de 0,08 ou menor, o </w:t>
      </w:r>
      <w:r w:rsidR="00CE721F">
        <w:rPr>
          <w:rFonts w:asciiTheme="minorHAnsi" w:hAnsiTheme="minorHAnsi"/>
        </w:rPr>
        <w:t>autor</w:t>
      </w:r>
      <w:r w:rsidRPr="00AB315F">
        <w:rPr>
          <w:rFonts w:asciiTheme="minorHAnsi" w:hAnsiTheme="minorHAnsi"/>
        </w:rPr>
        <w:t xml:space="preserve"> afirma que quanto mais próximo de zero, melhor será o ajuste do modelo. </w:t>
      </w:r>
    </w:p>
    <w:p w14:paraId="4A5F863B" w14:textId="77777777" w:rsidR="00686A3D" w:rsidRDefault="00686A3D" w:rsidP="0072120D">
      <w:pPr>
        <w:spacing w:after="240" w:line="360" w:lineRule="auto"/>
        <w:ind w:firstLine="708"/>
        <w:jc w:val="both"/>
        <w:rPr>
          <w:rFonts w:asciiTheme="minorHAnsi" w:hAnsiTheme="minorHAnsi"/>
        </w:rPr>
      </w:pPr>
    </w:p>
    <w:p w14:paraId="4DAD5C5A" w14:textId="77777777" w:rsidR="00686A3D" w:rsidRDefault="00686A3D" w:rsidP="0072120D">
      <w:pPr>
        <w:spacing w:after="240" w:line="360" w:lineRule="auto"/>
        <w:ind w:firstLine="708"/>
        <w:jc w:val="both"/>
        <w:rPr>
          <w:rFonts w:asciiTheme="minorHAnsi" w:hAnsiTheme="minorHAnsi"/>
        </w:rPr>
      </w:pPr>
    </w:p>
    <w:p w14:paraId="50E9D996" w14:textId="77777777" w:rsidR="00686A3D" w:rsidRDefault="0072120D" w:rsidP="00686A3D">
      <w:pPr>
        <w:spacing w:after="240" w:line="360" w:lineRule="auto"/>
        <w:jc w:val="both"/>
        <w:rPr>
          <w:rFonts w:asciiTheme="minorHAnsi" w:hAnsiTheme="minorHAnsi"/>
          <w:u w:val="single"/>
        </w:rPr>
      </w:pPr>
      <w:r w:rsidRPr="00AB315F">
        <w:rPr>
          <w:rFonts w:asciiTheme="minorHAnsi" w:hAnsiTheme="minorHAnsi"/>
          <w:u w:val="single"/>
        </w:rPr>
        <w:lastRenderedPageBreak/>
        <w:t>Índice de ajuste parcimonioso</w:t>
      </w:r>
    </w:p>
    <w:p w14:paraId="50EE8D1A" w14:textId="364D310D" w:rsidR="0072120D" w:rsidRPr="00AB315F" w:rsidRDefault="0072120D" w:rsidP="00686A3D">
      <w:pPr>
        <w:spacing w:after="240" w:line="360" w:lineRule="auto"/>
        <w:jc w:val="both"/>
        <w:rPr>
          <w:rFonts w:asciiTheme="minorHAnsi" w:hAnsiTheme="minorHAnsi"/>
        </w:rPr>
      </w:pPr>
      <w:r w:rsidRPr="00AB315F">
        <w:rPr>
          <w:rFonts w:asciiTheme="minorHAnsi" w:hAnsiTheme="minorHAnsi"/>
        </w:rPr>
        <w:t>O RMSEA é um índice criado por Stieger e Lind no ano de 1980 e estima quão bem os parâmetros do modelo reproduzem a covariância populacional. Se um modelo estimado reproduz exatamente as covariâncias populacionais então o RMSEA será igual a zero. Segundo Brown (2006), valores próximos de 0,06 ou menores indicam um ajuste razoável do modelo. Assim, também o RMSEA é um índice de correção parcimoniosa, já que incorpora uma penalização pelo número de parâmetros estimados (expressos em graus de liberdade), desta forma</w:t>
      </w:r>
      <w:r w:rsidR="00FD55AE">
        <w:rPr>
          <w:rFonts w:asciiTheme="minorHAnsi" w:hAnsiTheme="minorHAnsi"/>
        </w:rPr>
        <w:t>,</w:t>
      </w:r>
      <w:r w:rsidRPr="00AB315F">
        <w:rPr>
          <w:rFonts w:asciiTheme="minorHAnsi" w:hAnsiTheme="minorHAnsi"/>
        </w:rPr>
        <w:t xml:space="preserve"> modelos complexos são penalizados por ter um ajuste pobre. </w:t>
      </w:r>
    </w:p>
    <w:p w14:paraId="531CB630" w14:textId="77777777" w:rsidR="0072120D" w:rsidRPr="00AB315F" w:rsidRDefault="0072120D" w:rsidP="0072120D">
      <w:pPr>
        <w:spacing w:after="240" w:line="360" w:lineRule="auto"/>
        <w:jc w:val="both"/>
        <w:rPr>
          <w:rFonts w:asciiTheme="minorHAnsi" w:hAnsiTheme="minorHAnsi"/>
          <w:u w:val="single"/>
        </w:rPr>
      </w:pPr>
      <w:r w:rsidRPr="00AB315F">
        <w:rPr>
          <w:rFonts w:asciiTheme="minorHAnsi" w:hAnsiTheme="minorHAnsi"/>
          <w:u w:val="single"/>
        </w:rPr>
        <w:t>Índices de ajuste comparativo ou incremental</w:t>
      </w:r>
    </w:p>
    <w:p w14:paraId="0F862934" w14:textId="77777777"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O CFI (Comparative Fit Index) mede uma melhora relativa no ajuste do modelo do pesquisador em relação a um modelo padrão. Tipicamente, o modelo padrão é um modelo independente em que as covariâncias entre todas as variáveis indicadoras são zero. O CFI pode variar entre 0 e 1 sendo que valores próximos de 1 implicam em um modelo bem ajustado.</w:t>
      </w:r>
    </w:p>
    <w:p w14:paraId="28E77A99" w14:textId="4D3F64AE" w:rsidR="0072120D" w:rsidRPr="00AB315F" w:rsidRDefault="0072120D" w:rsidP="0072120D">
      <w:pPr>
        <w:spacing w:after="240" w:line="360" w:lineRule="auto"/>
        <w:ind w:firstLine="708"/>
        <w:jc w:val="both"/>
        <w:rPr>
          <w:rFonts w:asciiTheme="minorHAnsi" w:hAnsiTheme="minorHAnsi"/>
        </w:rPr>
      </w:pPr>
      <w:r w:rsidRPr="00AB315F">
        <w:rPr>
          <w:rFonts w:asciiTheme="minorHAnsi" w:hAnsiTheme="minorHAnsi"/>
        </w:rPr>
        <w:t>Outro índice bastante usado é o TLI (Tucker-Lewis Index) ou NNFI (</w:t>
      </w:r>
      <w:r w:rsidR="00FD55AE" w:rsidRPr="00AB315F">
        <w:rPr>
          <w:rFonts w:asciiTheme="minorHAnsi" w:hAnsiTheme="minorHAnsi"/>
        </w:rPr>
        <w:t>Índice</w:t>
      </w:r>
      <w:r w:rsidRPr="00AB315F">
        <w:rPr>
          <w:rFonts w:asciiTheme="minorHAnsi" w:hAnsiTheme="minorHAnsi"/>
        </w:rPr>
        <w:t xml:space="preserve"> de Tucker-Lewis não padronizado). Este índice tem aspectos que compensam os efeitos da complexidade do modelo. Assim como o RMSEA, o TLI inclui uma função de penalização pela adição de mais parâmetros estimados e que podem não melhorar o ajuste do modelo. </w:t>
      </w:r>
    </w:p>
    <w:p w14:paraId="5356F6BA" w14:textId="623F7E56" w:rsidR="0072120D" w:rsidRDefault="0072120D" w:rsidP="0072120D">
      <w:pPr>
        <w:spacing w:after="240" w:line="360" w:lineRule="auto"/>
        <w:ind w:firstLine="708"/>
        <w:jc w:val="both"/>
        <w:rPr>
          <w:rFonts w:asciiTheme="minorHAnsi" w:hAnsiTheme="minorHAnsi"/>
        </w:rPr>
      </w:pPr>
      <w:r w:rsidRPr="00AB315F">
        <w:rPr>
          <w:rFonts w:asciiTheme="minorHAnsi" w:hAnsiTheme="minorHAnsi"/>
        </w:rPr>
        <w:t xml:space="preserve">Ao contrário do CFI, o TLI é não normalizado o que quer dizer que o valor pode cair fora da amplitude de 0 a 1. De qualquer forma, é interpretado de maneira similar ao CFI em que valores próximos de 1 estão de acordo com um bom ajuste. Segundo Brown (2006), alguns pesquisadores notaram que valores menores de 0,9 indicariam suspeitas de rejeição do modelo, e valores de 0,90 a 0,95 poderiam ser </w:t>
      </w:r>
      <w:r w:rsidR="00FD55AE" w:rsidRPr="00AB315F">
        <w:rPr>
          <w:rFonts w:asciiTheme="minorHAnsi" w:hAnsiTheme="minorHAnsi"/>
        </w:rPr>
        <w:t>indicativos</w:t>
      </w:r>
      <w:r w:rsidRPr="00AB315F">
        <w:rPr>
          <w:rFonts w:asciiTheme="minorHAnsi" w:hAnsiTheme="minorHAnsi"/>
        </w:rPr>
        <w:t xml:space="preserve"> de um ajuste aceitável.</w:t>
      </w:r>
    </w:p>
    <w:p w14:paraId="57AD9E77" w14:textId="77777777" w:rsidR="00CE721F" w:rsidRDefault="00CE721F" w:rsidP="0072120D">
      <w:pPr>
        <w:spacing w:after="240" w:line="360" w:lineRule="auto"/>
        <w:ind w:firstLine="708"/>
        <w:jc w:val="both"/>
        <w:rPr>
          <w:rFonts w:asciiTheme="minorHAnsi" w:hAnsiTheme="minorHAnsi"/>
        </w:rPr>
      </w:pPr>
    </w:p>
    <w:p w14:paraId="3AA51273" w14:textId="77777777" w:rsidR="00CE721F" w:rsidRPr="00AB315F" w:rsidRDefault="00CE721F" w:rsidP="0072120D">
      <w:pPr>
        <w:spacing w:after="240" w:line="360" w:lineRule="auto"/>
        <w:ind w:firstLine="708"/>
        <w:jc w:val="both"/>
        <w:rPr>
          <w:rFonts w:asciiTheme="minorHAnsi" w:hAnsiTheme="minorHAnsi"/>
        </w:rPr>
      </w:pPr>
    </w:p>
    <w:p w14:paraId="3536BB4B" w14:textId="77777777" w:rsidR="0072120D" w:rsidRPr="00AB315F" w:rsidRDefault="0072120D" w:rsidP="0072120D">
      <w:pPr>
        <w:spacing w:after="240" w:line="360" w:lineRule="auto"/>
        <w:jc w:val="both"/>
        <w:rPr>
          <w:rFonts w:asciiTheme="minorHAnsi" w:hAnsiTheme="minorHAnsi"/>
          <w:u w:val="single"/>
        </w:rPr>
      </w:pPr>
      <w:r w:rsidRPr="00AB315F">
        <w:rPr>
          <w:rFonts w:asciiTheme="minorHAnsi" w:hAnsiTheme="minorHAnsi"/>
          <w:u w:val="single"/>
        </w:rPr>
        <w:lastRenderedPageBreak/>
        <w:t>Coeficiente de determinação (CD)</w:t>
      </w:r>
    </w:p>
    <w:p w14:paraId="0FBC0CD5" w14:textId="77777777" w:rsidR="0072120D" w:rsidRPr="00AB315F" w:rsidRDefault="0072120D" w:rsidP="0072120D">
      <w:pPr>
        <w:spacing w:after="240" w:line="360" w:lineRule="auto"/>
        <w:ind w:firstLine="708"/>
        <w:jc w:val="both"/>
        <w:rPr>
          <w:rFonts w:ascii="Arial" w:hAnsi="Arial" w:cs="Arial"/>
        </w:rPr>
      </w:pPr>
      <w:r w:rsidRPr="00AB315F">
        <w:rPr>
          <w:rFonts w:asciiTheme="minorHAnsi" w:hAnsiTheme="minorHAnsi"/>
        </w:rPr>
        <w:t>O coeficiente de determinação é a fração (ou porcentagem) da variância explicada pela equação do modelo. O coeficiente pode ser interpretado similarmente ao R-quadrado da equação de regressão linear. Se o modelo se ajusta, então o coeficiente de determinação deve estar próximo de 1.</w:t>
      </w:r>
      <w:r w:rsidRPr="00AB315F">
        <w:rPr>
          <w:rFonts w:ascii="Arial" w:hAnsi="Arial" w:cs="Arial"/>
        </w:rPr>
        <w:t xml:space="preserve"> </w:t>
      </w:r>
    </w:p>
    <w:p w14:paraId="3C450006" w14:textId="77777777" w:rsidR="0072120D" w:rsidRPr="00AB315F" w:rsidRDefault="0072120D" w:rsidP="0072120D">
      <w:pPr>
        <w:spacing w:after="240" w:line="360" w:lineRule="auto"/>
        <w:jc w:val="both"/>
        <w:rPr>
          <w:rFonts w:asciiTheme="minorHAnsi" w:hAnsiTheme="minorHAnsi" w:cs="Arial"/>
          <w:u w:val="single"/>
        </w:rPr>
      </w:pPr>
      <w:r w:rsidRPr="00AB315F">
        <w:rPr>
          <w:rFonts w:asciiTheme="minorHAnsi" w:hAnsiTheme="minorHAnsi" w:cs="Arial"/>
          <w:u w:val="single"/>
        </w:rPr>
        <w:t>Confiabilidade composta e variância extraída</w:t>
      </w:r>
    </w:p>
    <w:p w14:paraId="3E1ECC4F" w14:textId="207FB4AC" w:rsidR="0072120D" w:rsidRPr="00AB315F" w:rsidRDefault="0072120D" w:rsidP="0072120D">
      <w:pPr>
        <w:spacing w:after="240" w:line="360" w:lineRule="auto"/>
        <w:ind w:firstLine="708"/>
        <w:jc w:val="both"/>
        <w:rPr>
          <w:rFonts w:asciiTheme="minorHAnsi" w:hAnsiTheme="minorHAnsi" w:cs="Arial"/>
        </w:rPr>
      </w:pPr>
      <w:r w:rsidRPr="00AB315F">
        <w:rPr>
          <w:rFonts w:asciiTheme="minorHAnsi" w:hAnsiTheme="minorHAnsi" w:cs="Arial"/>
        </w:rPr>
        <w:t>Por fim, Hair Jr et al. (2005) afirmam que a unidimensionalidade do constructo pode ser definid</w:t>
      </w:r>
      <w:r w:rsidR="00265572">
        <w:rPr>
          <w:rFonts w:asciiTheme="minorHAnsi" w:hAnsiTheme="minorHAnsi" w:cs="Arial"/>
        </w:rPr>
        <w:t>a pelo valor da confiabilidade composta (CR)</w:t>
      </w:r>
      <w:r w:rsidRPr="00AB315F">
        <w:rPr>
          <w:rFonts w:asciiTheme="minorHAnsi" w:hAnsiTheme="minorHAnsi" w:cs="Arial"/>
        </w:rPr>
        <w:t xml:space="preserve"> do construto. Os valores aceitáveis são iguais ou superiores a 0,70 (Hair Jr et al., 2005).  </w:t>
      </w:r>
    </w:p>
    <w:p w14:paraId="3FCE0F8D" w14:textId="58261EFA" w:rsidR="0072120D" w:rsidRDefault="0072120D" w:rsidP="0072120D">
      <w:pPr>
        <w:spacing w:after="240" w:line="360" w:lineRule="auto"/>
        <w:ind w:firstLine="708"/>
        <w:jc w:val="both"/>
        <w:rPr>
          <w:rFonts w:asciiTheme="minorHAnsi" w:hAnsiTheme="minorHAnsi" w:cs="Arial"/>
        </w:rPr>
      </w:pPr>
      <w:r w:rsidRPr="00AB315F">
        <w:rPr>
          <w:rFonts w:asciiTheme="minorHAnsi" w:hAnsiTheme="minorHAnsi" w:cs="Arial"/>
        </w:rPr>
        <w:t>Uma medida complementar da confiabilidade é a medida da variância extraída. Ela reflete a quantidade total de variância dos indicadores explicada pela variável latente.  A diferença entre a confiabilidade composta do construto e a medida da variância extraída</w:t>
      </w:r>
      <w:r w:rsidR="00265572">
        <w:rPr>
          <w:rFonts w:asciiTheme="minorHAnsi" w:hAnsiTheme="minorHAnsi" w:cs="Arial"/>
        </w:rPr>
        <w:t xml:space="preserve"> (AVE)</w:t>
      </w:r>
      <w:r w:rsidRPr="00AB315F">
        <w:rPr>
          <w:rFonts w:asciiTheme="minorHAnsi" w:hAnsiTheme="minorHAnsi" w:cs="Arial"/>
        </w:rPr>
        <w:t xml:space="preserve"> é que nesta última as cargas padronizadas são elevadas ao quadrado antes de serem somadas. Bons valores para um construto devem ser iguais ou acima de 0,5 (50%) (Hair Jr et al., 2005).</w:t>
      </w:r>
    </w:p>
    <w:p w14:paraId="5F3775B4" w14:textId="5376004A" w:rsidR="0072120D" w:rsidRPr="00AB315F" w:rsidRDefault="0072120D" w:rsidP="0072120D">
      <w:pPr>
        <w:pStyle w:val="Ttulo2"/>
        <w:rPr>
          <w:color w:val="auto"/>
        </w:rPr>
      </w:pPr>
      <w:bookmarkStart w:id="22" w:name="_Toc456241255"/>
      <w:r w:rsidRPr="00AB315F">
        <w:rPr>
          <w:color w:val="auto"/>
        </w:rPr>
        <w:t xml:space="preserve">3.2 </w:t>
      </w:r>
      <w:r w:rsidR="002A6ADC" w:rsidRPr="00AB315F">
        <w:rPr>
          <w:color w:val="auto"/>
        </w:rPr>
        <w:t>Evidências</w:t>
      </w:r>
      <w:r w:rsidRPr="00AB315F">
        <w:rPr>
          <w:color w:val="auto"/>
        </w:rPr>
        <w:t xml:space="preserve"> de validade</w:t>
      </w:r>
      <w:bookmarkEnd w:id="22"/>
    </w:p>
    <w:p w14:paraId="22F965B2" w14:textId="77777777" w:rsidR="008458C4" w:rsidRDefault="008458C4" w:rsidP="00C41468">
      <w:pPr>
        <w:spacing w:after="240" w:line="360" w:lineRule="auto"/>
        <w:ind w:firstLine="708"/>
        <w:jc w:val="both"/>
        <w:rPr>
          <w:rFonts w:asciiTheme="minorHAnsi" w:hAnsiTheme="minorHAnsi"/>
        </w:rPr>
      </w:pPr>
    </w:p>
    <w:p w14:paraId="79527706" w14:textId="4BE3F6AB" w:rsidR="00CD1838" w:rsidRPr="00AB315F" w:rsidRDefault="00C41468" w:rsidP="00C41468">
      <w:pPr>
        <w:spacing w:after="240" w:line="360" w:lineRule="auto"/>
        <w:ind w:firstLine="708"/>
        <w:jc w:val="both"/>
        <w:rPr>
          <w:rFonts w:asciiTheme="minorHAnsi" w:hAnsiTheme="minorHAnsi"/>
        </w:rPr>
      </w:pPr>
      <w:r w:rsidRPr="00AB315F">
        <w:rPr>
          <w:rFonts w:asciiTheme="minorHAnsi" w:hAnsiTheme="minorHAnsi"/>
        </w:rPr>
        <w:t>A abordagem de Adcock e Collier (2001) é profícua a este trabalho pois sugere busca por evidencias de validade e confiabilidade. Assume-se aqui que análise de validade, confiabilidade e especificidade contextual da medida de aceitação possui grandes limitações. A principal delas é a inexistência de indicadores alternativos numa mesma base de dados. Assim, mobiliza-se o banco de informações do LAPOP para as rodadas de 2006 e 2008 em uma tentativa de buscar evidências de validação convergente e divergente.</w:t>
      </w:r>
    </w:p>
    <w:p w14:paraId="037ACD2D" w14:textId="38C00A5F" w:rsidR="00C41468" w:rsidRPr="00AB315F" w:rsidRDefault="00C41468" w:rsidP="00C41468">
      <w:pPr>
        <w:spacing w:after="240" w:line="360" w:lineRule="auto"/>
        <w:ind w:firstLine="708"/>
        <w:jc w:val="both"/>
        <w:rPr>
          <w:rFonts w:asciiTheme="minorHAnsi" w:hAnsiTheme="minorHAnsi"/>
        </w:rPr>
      </w:pPr>
      <w:r w:rsidRPr="00AB315F">
        <w:rPr>
          <w:rFonts w:asciiTheme="minorHAnsi" w:hAnsiTheme="minorHAnsi"/>
        </w:rPr>
        <w:t xml:space="preserve">Ademais, um dos critérios de confiabilidade será discutido com base na observação da medida para outros três países latino-americanos: Argentina, Chile e México – uma vez que a medida de Aceitação da Corrupção foi coletada apenas em três rodadas </w:t>
      </w:r>
      <w:r w:rsidR="00A467D3" w:rsidRPr="00AB315F">
        <w:rPr>
          <w:rFonts w:asciiTheme="minorHAnsi" w:hAnsiTheme="minorHAnsi"/>
        </w:rPr>
        <w:t xml:space="preserve">de pesquisa. </w:t>
      </w:r>
    </w:p>
    <w:p w14:paraId="04387121" w14:textId="7102211C" w:rsidR="00980840" w:rsidRPr="00AB315F" w:rsidRDefault="0072120D" w:rsidP="00656889">
      <w:pPr>
        <w:pStyle w:val="Ttulo3"/>
        <w:spacing w:after="240"/>
      </w:pPr>
      <w:bookmarkStart w:id="23" w:name="_Toc456241256"/>
      <w:r w:rsidRPr="00AB315F">
        <w:lastRenderedPageBreak/>
        <w:t>3.2</w:t>
      </w:r>
      <w:r w:rsidR="0005370B" w:rsidRPr="00AB315F">
        <w:t>.</w:t>
      </w:r>
      <w:r w:rsidRPr="00AB315F">
        <w:t>1</w:t>
      </w:r>
      <w:r w:rsidR="0005370B" w:rsidRPr="00AB315F">
        <w:t xml:space="preserve"> </w:t>
      </w:r>
      <w:r w:rsidR="00B35BE0" w:rsidRPr="00AB315F">
        <w:t>V</w:t>
      </w:r>
      <w:r w:rsidR="00CD1838" w:rsidRPr="00AB315F">
        <w:t>alidação de conteúdo</w:t>
      </w:r>
      <w:bookmarkEnd w:id="23"/>
    </w:p>
    <w:p w14:paraId="0458A595" w14:textId="780661B7" w:rsidR="00B11466" w:rsidRPr="00AB315F" w:rsidRDefault="00B11466" w:rsidP="00656889">
      <w:pPr>
        <w:spacing w:after="240" w:line="360" w:lineRule="auto"/>
        <w:ind w:firstLine="708"/>
        <w:jc w:val="both"/>
        <w:rPr>
          <w:rFonts w:asciiTheme="minorHAnsi" w:hAnsiTheme="minorHAnsi"/>
        </w:rPr>
      </w:pPr>
      <w:r w:rsidRPr="00AB315F">
        <w:rPr>
          <w:rFonts w:asciiTheme="minorHAnsi" w:hAnsiTheme="minorHAnsi"/>
        </w:rPr>
        <w:t>Adcock e Collier (2001) pontuam que a validação deveria enfocar a relação entre observações e o conceito sistematizado. Ademais, consideram que a divergência ou d</w:t>
      </w:r>
      <w:r w:rsidR="00322377" w:rsidRPr="00AB315F">
        <w:rPr>
          <w:rFonts w:asciiTheme="minorHAnsi" w:hAnsiTheme="minorHAnsi"/>
        </w:rPr>
        <w:t>isputa em torno de um conceito</w:t>
      </w:r>
      <w:r w:rsidRPr="00AB315F">
        <w:rPr>
          <w:rFonts w:asciiTheme="minorHAnsi" w:hAnsiTheme="minorHAnsi"/>
        </w:rPr>
        <w:t xml:space="preserve"> é uma questão isolada da atividade de validar indicadores, portanto, divergências teórico-conceituais é algo relevante, porém, uma condição não necessária para alcance de validação</w:t>
      </w:r>
    </w:p>
    <w:p w14:paraId="57D4E725" w14:textId="31E15E49" w:rsidR="00B11466" w:rsidRPr="00AB315F" w:rsidRDefault="00B11466" w:rsidP="005A7075">
      <w:pPr>
        <w:spacing w:after="240" w:line="360" w:lineRule="auto"/>
        <w:ind w:firstLine="708"/>
        <w:jc w:val="both"/>
        <w:rPr>
          <w:rFonts w:asciiTheme="minorHAnsi" w:hAnsiTheme="minorHAnsi"/>
        </w:rPr>
      </w:pPr>
      <w:r w:rsidRPr="00AB315F">
        <w:rPr>
          <w:rFonts w:asciiTheme="minorHAnsi" w:hAnsiTheme="minorHAnsi"/>
        </w:rPr>
        <w:t>Sobre este último ponto é importante salientar que o conceito de corrupção é extremamente debatido na literatura e o consenso sobre um conceito único não é uma realidade. Apesar do processo de validação não abranger disputas teóricas e conceituais, assume-se aqui que dado os critérios da análise de validação, a fluidez conceitual da corrupção é certamente uma barreira à validação de indicadores criados para mensurar o fenômeno.  Adco</w:t>
      </w:r>
      <w:r w:rsidR="00C41468" w:rsidRPr="00AB315F">
        <w:rPr>
          <w:rFonts w:asciiTheme="minorHAnsi" w:hAnsiTheme="minorHAnsi"/>
        </w:rPr>
        <w:t>c</w:t>
      </w:r>
      <w:r w:rsidRPr="00AB315F">
        <w:rPr>
          <w:rFonts w:asciiTheme="minorHAnsi" w:hAnsiTheme="minorHAnsi"/>
        </w:rPr>
        <w:t>k e Collier (2001) argumentam que a eficácia da validação por conteúdo</w:t>
      </w:r>
      <w:r w:rsidRPr="00AB315F">
        <w:rPr>
          <w:rStyle w:val="Refdenotaderodap"/>
          <w:rFonts w:asciiTheme="minorHAnsi" w:hAnsiTheme="minorHAnsi"/>
        </w:rPr>
        <w:footnoteReference w:id="17"/>
      </w:r>
      <w:r w:rsidRPr="00AB315F">
        <w:rPr>
          <w:rFonts w:asciiTheme="minorHAnsi" w:hAnsiTheme="minorHAnsi"/>
        </w:rPr>
        <w:t xml:space="preserve"> depende de certa concordância conceitual sobre o fenômeno em questão. Carmines Zeller (1979) vão além e dissertam que avaliar a validade para questões um tanto abstratas é um exercício extremamente difícil. </w:t>
      </w:r>
    </w:p>
    <w:p w14:paraId="1DB4621E" w14:textId="56CDF78F" w:rsidR="00B11466" w:rsidRPr="00AB315F" w:rsidRDefault="00B11466" w:rsidP="005A7075">
      <w:pPr>
        <w:spacing w:after="240" w:line="360" w:lineRule="auto"/>
        <w:ind w:firstLine="708"/>
        <w:jc w:val="both"/>
        <w:rPr>
          <w:rFonts w:asciiTheme="minorHAnsi" w:hAnsiTheme="minorHAnsi"/>
        </w:rPr>
      </w:pPr>
      <w:r w:rsidRPr="00AB315F">
        <w:rPr>
          <w:rFonts w:asciiTheme="minorHAnsi" w:hAnsiTheme="minorHAnsi"/>
        </w:rPr>
        <w:t xml:space="preserve">Não se considera que a colocação de Carmines e Zeller se aplique completamente à questão da corrupção. Entretanto, os critérios de validação, os quais dependem de um conceito sistematizado, de fato impõem barreiras adversa para o estudo da validade e confiabilidade de indicadores de corrupção - </w:t>
      </w:r>
      <w:r w:rsidR="00FD55AE" w:rsidRPr="00AB315F">
        <w:rPr>
          <w:rFonts w:asciiTheme="minorHAnsi" w:hAnsiTheme="minorHAnsi"/>
        </w:rPr>
        <w:t>especialmente</w:t>
      </w:r>
      <w:r w:rsidRPr="00AB315F">
        <w:rPr>
          <w:rFonts w:asciiTheme="minorHAnsi" w:hAnsiTheme="minorHAnsi"/>
        </w:rPr>
        <w:t xml:space="preserve"> em vista da dispersão conceitual e teórica que caracteriza o estudo do fenômeno. Portanto, admite-se de antemão os limites das inferências descritivas deste trabalho em função da divergência conceitual do tema em questão. </w:t>
      </w:r>
    </w:p>
    <w:p w14:paraId="2C24CD0D" w14:textId="419894B0" w:rsidR="00B11466" w:rsidRPr="00AB315F" w:rsidRDefault="00B11466" w:rsidP="005A7075">
      <w:pPr>
        <w:spacing w:after="240" w:line="360" w:lineRule="auto"/>
        <w:ind w:firstLine="708"/>
        <w:jc w:val="both"/>
        <w:rPr>
          <w:rFonts w:asciiTheme="minorHAnsi" w:hAnsiTheme="minorHAnsi"/>
        </w:rPr>
      </w:pPr>
      <w:r w:rsidRPr="00AB315F">
        <w:rPr>
          <w:rFonts w:asciiTheme="minorHAnsi" w:hAnsiTheme="minorHAnsi"/>
        </w:rPr>
        <w:t xml:space="preserve">A fim de maximizar os resultados deste trabalho, argumenta-se que o conceito de aceitação da corrupção, apesar dos diferentes referenciais teóricos, tem sido relativamente sistematizado – dentro de cada abordagem teórica sobre fenômeno. </w:t>
      </w:r>
      <w:r w:rsidRPr="00AB315F">
        <w:rPr>
          <w:rFonts w:asciiTheme="minorHAnsi" w:hAnsiTheme="minorHAnsi"/>
        </w:rPr>
        <w:lastRenderedPageBreak/>
        <w:t xml:space="preserve">Ademais, as medidas de aceitação abordadas neste trabalho têm um referencial teórico-conceitual comum, atrelado à perspectiva culturalista da ciência política. </w:t>
      </w:r>
    </w:p>
    <w:p w14:paraId="1ADB2F63" w14:textId="08FCA272" w:rsidR="00B11466" w:rsidRPr="00AB315F" w:rsidRDefault="00B11466" w:rsidP="005A7075">
      <w:pPr>
        <w:spacing w:after="240" w:line="360" w:lineRule="auto"/>
        <w:ind w:firstLine="708"/>
        <w:jc w:val="both"/>
        <w:rPr>
          <w:rFonts w:asciiTheme="minorHAnsi" w:hAnsiTheme="minorHAnsi"/>
        </w:rPr>
      </w:pPr>
      <w:r w:rsidRPr="00AB315F">
        <w:rPr>
          <w:rFonts w:asciiTheme="minorHAnsi" w:hAnsiTheme="minorHAnsi"/>
        </w:rPr>
        <w:t>A escolha por ancorar o guia metodológico deste trabalho no manual de Adcock e Collier</w:t>
      </w:r>
      <w:r w:rsidR="0005370B" w:rsidRPr="00AB315F">
        <w:rPr>
          <w:rFonts w:asciiTheme="minorHAnsi" w:hAnsiTheme="minorHAnsi"/>
        </w:rPr>
        <w:t xml:space="preserve"> </w:t>
      </w:r>
      <w:r w:rsidR="00A467D3" w:rsidRPr="00AB315F">
        <w:rPr>
          <w:rFonts w:asciiTheme="minorHAnsi" w:hAnsiTheme="minorHAnsi"/>
        </w:rPr>
        <w:t>(2001</w:t>
      </w:r>
      <w:r w:rsidR="0005370B" w:rsidRPr="00AB315F">
        <w:rPr>
          <w:rFonts w:asciiTheme="minorHAnsi" w:hAnsiTheme="minorHAnsi"/>
        </w:rPr>
        <w:t>)</w:t>
      </w:r>
      <w:r w:rsidRPr="00AB315F">
        <w:rPr>
          <w:rFonts w:asciiTheme="minorHAnsi" w:hAnsiTheme="minorHAnsi"/>
        </w:rPr>
        <w:t xml:space="preserve">, os quais valeram-se da tradição psicométrica, foi feita em razão do problema da dispersão conceitual e as dificuldades para validação. Adcock e Collier (2001) consideram a análise de validade como um processo que não se limita à uma sequência de tipos de validação, antes, segue a busca por evidências de validação. </w:t>
      </w:r>
    </w:p>
    <w:p w14:paraId="65B59D43" w14:textId="77777777" w:rsidR="00B11466" w:rsidRPr="00AB315F" w:rsidRDefault="00B11466" w:rsidP="005A7075">
      <w:pPr>
        <w:spacing w:after="240" w:line="360" w:lineRule="auto"/>
        <w:ind w:firstLine="708"/>
        <w:jc w:val="both"/>
        <w:rPr>
          <w:rFonts w:asciiTheme="minorHAnsi" w:hAnsiTheme="minorHAnsi"/>
        </w:rPr>
      </w:pPr>
      <w:r w:rsidRPr="00AB315F">
        <w:rPr>
          <w:rFonts w:asciiTheme="minorHAnsi" w:hAnsiTheme="minorHAnsi"/>
        </w:rPr>
        <w:t>Para problematizar a questão conceitual, as medidas serão avaliadas conforme sua capacidade de representar efetivamente o conteúdo do conceito e superar os seguintes percalços apresentados por</w:t>
      </w:r>
      <w:r w:rsidRPr="00AB315F">
        <w:rPr>
          <w:rFonts w:asciiTheme="minorHAnsi" w:hAnsiTheme="minorHAnsi" w:cs="HelveticaNeue-Bold"/>
          <w:bCs/>
        </w:rPr>
        <w:t xml:space="preserve"> </w:t>
      </w:r>
      <w:r w:rsidRPr="00AB315F">
        <w:rPr>
          <w:rFonts w:asciiTheme="minorHAnsi" w:hAnsiTheme="minorHAnsi"/>
        </w:rPr>
        <w:t>Adcock e Collier (2001):</w:t>
      </w:r>
    </w:p>
    <w:p w14:paraId="035F0B4E" w14:textId="2AC07EE1" w:rsidR="00980840" w:rsidRPr="00AB315F" w:rsidRDefault="00B11466" w:rsidP="005A7075">
      <w:pPr>
        <w:pStyle w:val="PargrafodaLista"/>
        <w:numPr>
          <w:ilvl w:val="0"/>
          <w:numId w:val="17"/>
        </w:numPr>
        <w:spacing w:after="240" w:line="360" w:lineRule="auto"/>
        <w:ind w:left="993" w:hanging="284"/>
        <w:jc w:val="both"/>
        <w:rPr>
          <w:rFonts w:asciiTheme="minorHAnsi" w:hAnsiTheme="minorHAnsi"/>
        </w:rPr>
      </w:pPr>
      <w:r w:rsidRPr="00AB315F">
        <w:rPr>
          <w:rFonts w:asciiTheme="minorHAnsi" w:hAnsiTheme="minorHAnsi" w:cs="HelveticaNeue-Bold"/>
          <w:bCs/>
        </w:rPr>
        <w:t xml:space="preserve">O conceito não deve fugir à matriz de pensamento, e não </w:t>
      </w:r>
      <w:r w:rsidR="00FD55AE" w:rsidRPr="00AB315F">
        <w:rPr>
          <w:rFonts w:asciiTheme="minorHAnsi" w:hAnsiTheme="minorHAnsi" w:cs="HelveticaNeue-Bold"/>
          <w:bCs/>
        </w:rPr>
        <w:t>se deve</w:t>
      </w:r>
      <w:r w:rsidRPr="00AB315F">
        <w:rPr>
          <w:rFonts w:asciiTheme="minorHAnsi" w:hAnsiTheme="minorHAnsi" w:cs="HelveticaNeue-Bold"/>
          <w:bCs/>
        </w:rPr>
        <w:t xml:space="preserve"> escolher algo que deixe o conceito em aberto, </w:t>
      </w:r>
      <w:r w:rsidR="00FD55AE" w:rsidRPr="00AB315F">
        <w:rPr>
          <w:rFonts w:asciiTheme="minorHAnsi" w:hAnsiTheme="minorHAnsi" w:cs="HelveticaNeue-Bold"/>
          <w:bCs/>
        </w:rPr>
        <w:t>as escolhas pressupõem</w:t>
      </w:r>
      <w:r w:rsidRPr="00AB315F">
        <w:rPr>
          <w:rFonts w:asciiTheme="minorHAnsi" w:hAnsiTheme="minorHAnsi" w:cs="HelveticaNeue-Bold"/>
          <w:bCs/>
        </w:rPr>
        <w:t xml:space="preserve"> exclusão e admissão de uma matriz de entendimento, isso não quer dizer que o conceito é totalmente rígido, ao longo do tempo ele pode evoluir. Na medida em que novos entendimentos são desenvolvidos podem ocorrer revisões. </w:t>
      </w:r>
    </w:p>
    <w:p w14:paraId="70415B64" w14:textId="77777777" w:rsidR="00980840" w:rsidRPr="00AB315F" w:rsidRDefault="00B11466" w:rsidP="005A7075">
      <w:pPr>
        <w:pStyle w:val="PargrafodaLista"/>
        <w:numPr>
          <w:ilvl w:val="0"/>
          <w:numId w:val="17"/>
        </w:numPr>
        <w:spacing w:after="240" w:line="360" w:lineRule="auto"/>
        <w:ind w:left="993" w:hanging="284"/>
        <w:jc w:val="both"/>
        <w:rPr>
          <w:rStyle w:val="hps"/>
          <w:rFonts w:asciiTheme="minorHAnsi" w:hAnsiTheme="minorHAnsi"/>
        </w:rPr>
      </w:pPr>
      <w:r w:rsidRPr="00AB315F">
        <w:rPr>
          <w:rStyle w:val="hps"/>
          <w:rFonts w:asciiTheme="minorHAnsi" w:hAnsiTheme="minorHAnsi"/>
          <w:lang w:val="pt-PT"/>
        </w:rPr>
        <w:t>Pesquisadores devem justificar suas escolhas conceituais a partir de</w:t>
      </w:r>
      <w:r w:rsidRPr="00AB315F">
        <w:rPr>
          <w:rFonts w:asciiTheme="minorHAnsi" w:hAnsiTheme="minorHAnsi"/>
          <w:lang w:val="pt-PT"/>
        </w:rPr>
        <w:t xml:space="preserve"> </w:t>
      </w:r>
      <w:r w:rsidRPr="00AB315F">
        <w:rPr>
          <w:rStyle w:val="hps"/>
          <w:rFonts w:asciiTheme="minorHAnsi" w:hAnsiTheme="minorHAnsi"/>
          <w:lang w:val="pt-PT"/>
        </w:rPr>
        <w:t>argumentos específicos</w:t>
      </w:r>
      <w:r w:rsidRPr="00AB315F">
        <w:rPr>
          <w:rFonts w:asciiTheme="minorHAnsi" w:hAnsiTheme="minorHAnsi"/>
          <w:lang w:val="pt-PT"/>
        </w:rPr>
        <w:t xml:space="preserve">, ligados aos </w:t>
      </w:r>
      <w:r w:rsidRPr="00AB315F">
        <w:rPr>
          <w:rStyle w:val="hps"/>
          <w:rFonts w:asciiTheme="minorHAnsi" w:hAnsiTheme="minorHAnsi"/>
          <w:lang w:val="pt-PT"/>
        </w:rPr>
        <w:t>objetivos e</w:t>
      </w:r>
      <w:r w:rsidRPr="00AB315F">
        <w:rPr>
          <w:rFonts w:asciiTheme="minorHAnsi" w:hAnsiTheme="minorHAnsi"/>
          <w:lang w:val="pt-PT"/>
        </w:rPr>
        <w:t xml:space="preserve"> </w:t>
      </w:r>
      <w:r w:rsidRPr="00AB315F">
        <w:rPr>
          <w:rStyle w:val="hps"/>
          <w:rFonts w:asciiTheme="minorHAnsi" w:hAnsiTheme="minorHAnsi"/>
          <w:lang w:val="pt-PT"/>
        </w:rPr>
        <w:t>contexto</w:t>
      </w:r>
      <w:r w:rsidRPr="00AB315F">
        <w:rPr>
          <w:rFonts w:asciiTheme="minorHAnsi" w:hAnsiTheme="minorHAnsi"/>
          <w:lang w:val="pt-PT"/>
        </w:rPr>
        <w:t xml:space="preserve"> </w:t>
      </w:r>
      <w:r w:rsidRPr="00AB315F">
        <w:rPr>
          <w:rStyle w:val="hps"/>
          <w:rFonts w:asciiTheme="minorHAnsi" w:hAnsiTheme="minorHAnsi"/>
          <w:lang w:val="pt-PT"/>
        </w:rPr>
        <w:t>de sua pesquisa.</w:t>
      </w:r>
    </w:p>
    <w:p w14:paraId="165C040A" w14:textId="77777777" w:rsidR="00B11466" w:rsidRPr="00AB315F" w:rsidRDefault="00B11466" w:rsidP="005A7075">
      <w:pPr>
        <w:pStyle w:val="PargrafodaLista"/>
        <w:numPr>
          <w:ilvl w:val="0"/>
          <w:numId w:val="17"/>
        </w:numPr>
        <w:spacing w:after="240" w:line="360" w:lineRule="auto"/>
        <w:ind w:left="993" w:hanging="284"/>
        <w:jc w:val="both"/>
        <w:rPr>
          <w:rStyle w:val="hps"/>
          <w:rFonts w:asciiTheme="minorHAnsi" w:hAnsiTheme="minorHAnsi"/>
        </w:rPr>
      </w:pPr>
      <w:r w:rsidRPr="00AB315F">
        <w:rPr>
          <w:rStyle w:val="hps"/>
          <w:rFonts w:asciiTheme="minorHAnsi" w:hAnsiTheme="minorHAnsi"/>
          <w:lang w:val="pt-PT"/>
        </w:rPr>
        <w:t xml:space="preserve">Pesquisadores devem sempre tentar concretizar os conceitos sistematizados, de forma que esse esforço deva implicar em desagregar o conceito e trazer a discussão para o plano de conceitos múltiplos. </w:t>
      </w:r>
    </w:p>
    <w:p w14:paraId="6313BF15" w14:textId="1FFDE35F" w:rsidR="00B11466" w:rsidRPr="00AB315F" w:rsidRDefault="00B11466" w:rsidP="005A7075">
      <w:pPr>
        <w:spacing w:after="240" w:line="360" w:lineRule="auto"/>
        <w:ind w:firstLine="708"/>
        <w:jc w:val="both"/>
        <w:rPr>
          <w:rFonts w:asciiTheme="minorHAnsi" w:hAnsiTheme="minorHAnsi"/>
        </w:rPr>
      </w:pPr>
      <w:r w:rsidRPr="00AB315F">
        <w:rPr>
          <w:rFonts w:asciiTheme="minorHAnsi" w:hAnsiTheme="minorHAnsi"/>
        </w:rPr>
        <w:t xml:space="preserve">Interessa a questão da especificidade contextual apresentada no segundo tópico geral de problemas referentes a conceituação. </w:t>
      </w:r>
    </w:p>
    <w:p w14:paraId="07968577" w14:textId="77777777" w:rsidR="00AE7131" w:rsidRPr="00AB315F" w:rsidRDefault="00AE7131" w:rsidP="005A7075">
      <w:pPr>
        <w:spacing w:after="240" w:line="360" w:lineRule="auto"/>
        <w:ind w:firstLine="708"/>
        <w:jc w:val="both"/>
        <w:rPr>
          <w:rFonts w:asciiTheme="minorHAnsi" w:hAnsiTheme="minorHAnsi"/>
        </w:rPr>
      </w:pPr>
      <w:r w:rsidRPr="00AB315F">
        <w:rPr>
          <w:rFonts w:asciiTheme="minorHAnsi" w:hAnsiTheme="minorHAnsi"/>
        </w:rPr>
        <w:t>O argumento psicométrico é muito caro ao debate de validade das medidas de aceitação à corrupção, ao considerar pesquisas que atravessam contextos diferentes. Um dos argumentos centrais deste trabalho se apoia nos trabalhos pioneiros de Peters e Welchs (1978), os quais evidenciaram diferenças claras na forma como um determinado ato é julgado pelas pessoas, em contextos diferentes</w:t>
      </w:r>
      <w:r w:rsidRPr="00AB315F">
        <w:rPr>
          <w:rStyle w:val="Refdenotaderodap"/>
          <w:rFonts w:asciiTheme="minorHAnsi" w:hAnsiTheme="minorHAnsi"/>
        </w:rPr>
        <w:footnoteReference w:id="18"/>
      </w:r>
      <w:r w:rsidRPr="00AB315F">
        <w:rPr>
          <w:rFonts w:asciiTheme="minorHAnsi" w:hAnsiTheme="minorHAnsi"/>
        </w:rPr>
        <w:t xml:space="preserve">, e os achados </w:t>
      </w:r>
      <w:r w:rsidRPr="00AB315F">
        <w:rPr>
          <w:rFonts w:asciiTheme="minorHAnsi" w:hAnsiTheme="minorHAnsi"/>
        </w:rPr>
        <w:lastRenderedPageBreak/>
        <w:t xml:space="preserve">recentes de Catterberg, Moreno e Zuasnába (2013) sobre o conceito de corrupção e suas variações no contexto latino-americano.  </w:t>
      </w:r>
    </w:p>
    <w:p w14:paraId="348ACADF" w14:textId="642BB4C0" w:rsidR="00AE7131" w:rsidRPr="00AB315F" w:rsidRDefault="00AE7131" w:rsidP="005A7075">
      <w:pPr>
        <w:spacing w:after="240" w:line="360" w:lineRule="auto"/>
        <w:ind w:firstLine="708"/>
        <w:jc w:val="both"/>
        <w:rPr>
          <w:rFonts w:asciiTheme="minorHAnsi" w:hAnsiTheme="minorHAnsi"/>
        </w:rPr>
      </w:pPr>
      <w:r w:rsidRPr="00AB315F">
        <w:rPr>
          <w:rFonts w:asciiTheme="minorHAnsi" w:hAnsiTheme="minorHAnsi"/>
        </w:rPr>
        <w:t xml:space="preserve">Apropriando-se a explanação de Sartori, o estudo da corrupção seguiu uma tendência ao processo de conceptual stretching, ou </w:t>
      </w:r>
      <w:r w:rsidR="0026623E" w:rsidRPr="00AB315F">
        <w:rPr>
          <w:rFonts w:asciiTheme="minorHAnsi" w:hAnsiTheme="minorHAnsi"/>
        </w:rPr>
        <w:t xml:space="preserve">o </w:t>
      </w:r>
      <w:r w:rsidRPr="00AB315F">
        <w:rPr>
          <w:rFonts w:asciiTheme="minorHAnsi" w:hAnsiTheme="minorHAnsi"/>
        </w:rPr>
        <w:t>esforço em alongar conceitos e, sem emba</w:t>
      </w:r>
      <w:r w:rsidR="0026623E" w:rsidRPr="00AB315F">
        <w:rPr>
          <w:rFonts w:asciiTheme="minorHAnsi" w:hAnsiTheme="minorHAnsi"/>
        </w:rPr>
        <w:t>rgos, entregar-se ao</w:t>
      </w:r>
      <w:r w:rsidRPr="00AB315F">
        <w:rPr>
          <w:rFonts w:asciiTheme="minorHAnsi" w:hAnsiTheme="minorHAnsi"/>
        </w:rPr>
        <w:t xml:space="preserve"> risco de torná-los </w:t>
      </w:r>
      <w:r w:rsidR="00FD55AE" w:rsidRPr="00AB315F">
        <w:rPr>
          <w:rFonts w:asciiTheme="minorHAnsi" w:hAnsiTheme="minorHAnsi"/>
        </w:rPr>
        <w:t>inconsistentes</w:t>
      </w:r>
      <w:r w:rsidRPr="00AB315F">
        <w:rPr>
          <w:rFonts w:asciiTheme="minorHAnsi" w:hAnsiTheme="minorHAnsi"/>
        </w:rPr>
        <w:t>. Existe, portanto, um trade-off entre generalização, necessária ao estudo comparativo, e precisão conotativa. Neste raciocínio, abordagens da corrupção com foco no indivíduo podem ignorar aspectos sistêmicos, por outro lado, perspectivas sistêmicas podem ignorar aspectos individuais.</w:t>
      </w:r>
    </w:p>
    <w:p w14:paraId="28F48AEA" w14:textId="488209ED" w:rsidR="002A0295" w:rsidRPr="00AB315F" w:rsidRDefault="002A0295" w:rsidP="005A7075">
      <w:pPr>
        <w:spacing w:after="240" w:line="360" w:lineRule="auto"/>
        <w:ind w:firstLine="708"/>
        <w:jc w:val="both"/>
        <w:rPr>
          <w:rFonts w:asciiTheme="minorHAnsi" w:hAnsiTheme="minorHAnsi"/>
        </w:rPr>
      </w:pPr>
      <w:r w:rsidRPr="00AB315F">
        <w:rPr>
          <w:rFonts w:asciiTheme="minorHAnsi" w:hAnsiTheme="minorHAnsi"/>
        </w:rPr>
        <w:t>A generalização conceitual possivelmente implicaria em dificuldades de se atingir conclusões descritivas e causais em pesquisas transnacionais que envolvam contextos socioeconômicos, institucionais e culturais distintos. Boas simplificações conceituais dependem do conhecimento e cultura que envolvem o evento analisado (King et al, 1994), ainda assim, fatores circunstanciais e, portanto, não sistemáticos, podem interferir na forma como os aspectos do fenômeno da corrupção se conectam.</w:t>
      </w:r>
    </w:p>
    <w:p w14:paraId="4B95A008" w14:textId="113CE6D6" w:rsidR="00AD48D5" w:rsidRPr="00AB315F" w:rsidRDefault="00AD48D5" w:rsidP="005A7075">
      <w:pPr>
        <w:spacing w:after="240" w:line="360" w:lineRule="auto"/>
        <w:ind w:firstLine="708"/>
        <w:jc w:val="both"/>
        <w:rPr>
          <w:rFonts w:asciiTheme="minorHAnsi" w:hAnsiTheme="minorHAnsi"/>
        </w:rPr>
      </w:pPr>
      <w:r w:rsidRPr="00AB315F">
        <w:rPr>
          <w:rFonts w:asciiTheme="minorHAnsi" w:hAnsiTheme="minorHAnsi"/>
        </w:rPr>
        <w:t xml:space="preserve">Os trabalhos que mobilizam </w:t>
      </w:r>
      <w:r w:rsidR="002A0295" w:rsidRPr="00AB315F">
        <w:rPr>
          <w:rFonts w:asciiTheme="minorHAnsi" w:hAnsiTheme="minorHAnsi"/>
        </w:rPr>
        <w:t xml:space="preserve">a medida analisada e que melhor sistematizam o conceito </w:t>
      </w:r>
      <w:r w:rsidRPr="00AB315F">
        <w:rPr>
          <w:rFonts w:asciiTheme="minorHAnsi" w:hAnsiTheme="minorHAnsi"/>
        </w:rPr>
        <w:t>aceitação da corrupção ao nível do cotidiano, consideram que o constructo “aceitação”</w:t>
      </w:r>
      <w:r w:rsidR="000871B0" w:rsidRPr="00AB315F">
        <w:rPr>
          <w:rFonts w:asciiTheme="minorHAnsi" w:hAnsiTheme="minorHAnsi"/>
        </w:rPr>
        <w:t xml:space="preserve"> é uma manifestação de um arranjo de valores e atitudes</w:t>
      </w:r>
      <w:r w:rsidR="00D8608A" w:rsidRPr="00AB315F">
        <w:rPr>
          <w:rFonts w:asciiTheme="minorHAnsi" w:hAnsiTheme="minorHAnsi"/>
        </w:rPr>
        <w:t>,</w:t>
      </w:r>
      <w:r w:rsidR="000871B0" w:rsidRPr="00AB315F">
        <w:rPr>
          <w:rFonts w:asciiTheme="minorHAnsi" w:hAnsiTheme="minorHAnsi"/>
        </w:rPr>
        <w:t xml:space="preserve"> os</w:t>
      </w:r>
      <w:r w:rsidR="00D8608A" w:rsidRPr="00AB315F">
        <w:rPr>
          <w:rFonts w:asciiTheme="minorHAnsi" w:hAnsiTheme="minorHAnsi"/>
        </w:rPr>
        <w:t xml:space="preserve"> mesmos os quais</w:t>
      </w:r>
      <w:r w:rsidR="000871B0" w:rsidRPr="00AB315F">
        <w:rPr>
          <w:rFonts w:asciiTheme="minorHAnsi" w:hAnsiTheme="minorHAnsi"/>
        </w:rPr>
        <w:t xml:space="preserve"> dão forma à cultura política</w:t>
      </w:r>
      <w:r w:rsidR="00D8608A" w:rsidRPr="00AB315F">
        <w:rPr>
          <w:rFonts w:asciiTheme="minorHAnsi" w:hAnsiTheme="minorHAnsi"/>
        </w:rPr>
        <w:t xml:space="preserve"> de uma sociedade</w:t>
      </w:r>
      <w:r w:rsidR="000871B0" w:rsidRPr="00AB315F">
        <w:rPr>
          <w:rFonts w:asciiTheme="minorHAnsi" w:hAnsiTheme="minorHAnsi"/>
        </w:rPr>
        <w:t xml:space="preserve">.  </w:t>
      </w:r>
    </w:p>
    <w:p w14:paraId="462936A3" w14:textId="77777777" w:rsidR="007D6F3A" w:rsidRPr="00AB315F" w:rsidRDefault="000871B0" w:rsidP="005A7075">
      <w:pPr>
        <w:spacing w:after="240" w:line="360" w:lineRule="auto"/>
        <w:ind w:firstLine="708"/>
        <w:jc w:val="both"/>
        <w:rPr>
          <w:rFonts w:asciiTheme="minorHAnsi" w:hAnsiTheme="minorHAnsi"/>
        </w:rPr>
      </w:pPr>
      <w:r w:rsidRPr="00AB315F">
        <w:rPr>
          <w:rFonts w:asciiTheme="minorHAnsi" w:hAnsiTheme="minorHAnsi"/>
        </w:rPr>
        <w:t xml:space="preserve">A exceção de Ribeiro 2011, Moreno (2002) e Lavena (2013) dissertam sobre o plano teórico conceitual da “aceitação da corrupção”. Lavena (2013) pontua sua análise no plano da moral e dos valores como principais fatores que interferem sobre a atitude em justificar práticas corruptas no cotidiano. </w:t>
      </w:r>
      <w:r w:rsidR="007D6F3A" w:rsidRPr="00AB315F">
        <w:rPr>
          <w:rFonts w:asciiTheme="minorHAnsi" w:hAnsiTheme="minorHAnsi"/>
        </w:rPr>
        <w:t>Moreno (2002) afirma que a medida mobilizada em questão mensura uma justificativa cultural das práticas corruptas, e ainda, a aceitação da corrupção seria um “traço” da cultura de uma sociedade.</w:t>
      </w:r>
    </w:p>
    <w:p w14:paraId="3621DBFD" w14:textId="77777777" w:rsidR="007D6F3A" w:rsidRPr="00AB315F" w:rsidRDefault="007D6F3A" w:rsidP="005A7075">
      <w:pPr>
        <w:spacing w:after="240"/>
        <w:ind w:left="2268"/>
        <w:jc w:val="both"/>
        <w:rPr>
          <w:rFonts w:asciiTheme="minorHAnsi" w:hAnsiTheme="minorHAnsi"/>
          <w:i/>
          <w:lang w:val="en-US"/>
        </w:rPr>
      </w:pPr>
      <w:r w:rsidRPr="00AB315F">
        <w:rPr>
          <w:rFonts w:asciiTheme="minorHAnsi" w:hAnsiTheme="minorHAnsi"/>
          <w:i/>
          <w:lang w:val="en-US"/>
        </w:rPr>
        <w:lastRenderedPageBreak/>
        <w:t>“The index of corruption permissiveness constructed for this article is a measure of culturally justifiable corrupt practices. The purpose is to assess how such a cultural trait varies among different countries and regions of the world, and how it has evolved through the last two decades.”</w:t>
      </w:r>
    </w:p>
    <w:p w14:paraId="4C014B68" w14:textId="77777777" w:rsidR="00C31B6A" w:rsidRPr="00AB315F" w:rsidRDefault="00C31B6A" w:rsidP="005A7075">
      <w:pPr>
        <w:spacing w:after="240" w:line="360" w:lineRule="auto"/>
        <w:ind w:firstLine="708"/>
        <w:jc w:val="both"/>
        <w:rPr>
          <w:rFonts w:asciiTheme="minorHAnsi" w:hAnsiTheme="minorHAnsi"/>
        </w:rPr>
      </w:pPr>
      <w:r w:rsidRPr="00AB315F">
        <w:rPr>
          <w:rFonts w:asciiTheme="minorHAnsi" w:hAnsiTheme="minorHAnsi"/>
        </w:rPr>
        <w:t xml:space="preserve">Importa ressaltar que a aceitação da corrupção é um constructo latente – não observável – e que sua mensuração não gera scores objetivos sobre a realidade da aceitação da corrupção. A começar pelo conceito, este indicador de aceitação é subjetivo na medida em que não é possível determinar se os itens de resposta que compõe o indicador, e nos quais sugerem uma quebra de determinadas normas sociais, realmente significa corrupção para os entrevistados ou unidades de análise.    </w:t>
      </w:r>
    </w:p>
    <w:p w14:paraId="5F38B780" w14:textId="77777777" w:rsidR="00656889" w:rsidRPr="00AB315F" w:rsidRDefault="00C31B6A" w:rsidP="00656889">
      <w:pPr>
        <w:autoSpaceDE w:val="0"/>
        <w:autoSpaceDN w:val="0"/>
        <w:adjustRightInd w:val="0"/>
        <w:spacing w:after="240" w:line="360" w:lineRule="auto"/>
        <w:ind w:firstLine="708"/>
        <w:jc w:val="both"/>
        <w:rPr>
          <w:rFonts w:asciiTheme="minorHAnsi" w:hAnsiTheme="minorHAnsi"/>
        </w:rPr>
      </w:pPr>
      <w:r w:rsidRPr="00AB315F">
        <w:rPr>
          <w:rFonts w:asciiTheme="minorHAnsi" w:hAnsiTheme="minorHAnsi"/>
        </w:rPr>
        <w:t xml:space="preserve">Lavena (2013) assume a subjetividade do conceito subjacente à medida de aceitação da corrupção. </w:t>
      </w:r>
      <w:r w:rsidR="007D6F3A" w:rsidRPr="00AB315F">
        <w:rPr>
          <w:rFonts w:asciiTheme="minorHAnsi" w:hAnsiTheme="minorHAnsi"/>
        </w:rPr>
        <w:t xml:space="preserve">Ou seja, não é possível determinar se a quebra de determinadas normas sociais significa corrupção a menos que se conheça o que o público aprova ou desaprova como sendo corrupto. </w:t>
      </w:r>
      <w:r w:rsidR="00D24FEA" w:rsidRPr="00AB315F">
        <w:rPr>
          <w:rFonts w:asciiTheme="minorHAnsi" w:hAnsiTheme="minorHAnsi"/>
        </w:rPr>
        <w:t>E</w:t>
      </w:r>
      <w:r w:rsidR="00F76BE6" w:rsidRPr="00AB315F">
        <w:rPr>
          <w:rFonts w:asciiTheme="minorHAnsi" w:hAnsiTheme="minorHAnsi"/>
        </w:rPr>
        <w:t>sta é uma característica comum a</w:t>
      </w:r>
      <w:r w:rsidR="00D24FEA" w:rsidRPr="00AB315F">
        <w:rPr>
          <w:rFonts w:asciiTheme="minorHAnsi" w:hAnsiTheme="minorHAnsi"/>
        </w:rPr>
        <w:t xml:space="preserve"> construtos latentes.</w:t>
      </w:r>
      <w:r w:rsidR="0087472E" w:rsidRPr="00AB315F">
        <w:rPr>
          <w:rFonts w:asciiTheme="minorHAnsi" w:hAnsiTheme="minorHAnsi"/>
        </w:rPr>
        <w:t xml:space="preserve"> A subjetividade dos itens de respostas representa parte do erro de mensuração. </w:t>
      </w:r>
      <w:r w:rsidR="00656889" w:rsidRPr="00AB315F">
        <w:rPr>
          <w:rFonts w:asciiTheme="minorHAnsi" w:hAnsiTheme="minorHAnsi" w:cs="Minion-Regular"/>
        </w:rPr>
        <w:t>Melgar e Rossi (2012)</w:t>
      </w:r>
      <w:r w:rsidR="00656889" w:rsidRPr="00AB315F">
        <w:rPr>
          <w:rFonts w:asciiTheme="minorHAnsi" w:hAnsiTheme="minorHAnsi" w:cs="Minion-Regular"/>
          <w:b/>
        </w:rPr>
        <w:t xml:space="preserve"> </w:t>
      </w:r>
      <w:r w:rsidR="00656889">
        <w:rPr>
          <w:rFonts w:asciiTheme="minorHAnsi" w:hAnsiTheme="minorHAnsi" w:cs="Minion-Regular"/>
        </w:rPr>
        <w:t>assumem</w:t>
      </w:r>
      <w:r w:rsidR="00656889" w:rsidRPr="00AB315F">
        <w:rPr>
          <w:rFonts w:asciiTheme="minorHAnsi" w:hAnsiTheme="minorHAnsi" w:cs="Minion-Regular"/>
        </w:rPr>
        <w:t xml:space="preserve"> que o conceito de aceitação e corrupção, bem como o que as pessoas consideram como ilegal ou não varia não somente através de sociedades e ao longo do tempo, mas, também por conta dos valores compartilhados entre os indivíduos. Portanto, o que em uma cultura poderia ser visto como um comportamento ilegal em outra poderia ser considerado normal e aceito. Deste modo, Melgar e Rossi (2012) acreditam </w:t>
      </w:r>
      <w:r w:rsidR="00656889">
        <w:rPr>
          <w:rFonts w:asciiTheme="minorHAnsi" w:hAnsiTheme="minorHAnsi" w:cs="Minion-Regular"/>
        </w:rPr>
        <w:t>que as diferenças permitem ser</w:t>
      </w:r>
      <w:r w:rsidR="00656889" w:rsidRPr="00AB315F">
        <w:rPr>
          <w:rFonts w:asciiTheme="minorHAnsi" w:hAnsiTheme="minorHAnsi" w:cs="Minion-Regular"/>
        </w:rPr>
        <w:t xml:space="preserve"> possível investigar quais são os aspectos objetivos e subjetivos que influenciam na inclinação a justificar uma prática ilegal, ou corrupta. </w:t>
      </w:r>
    </w:p>
    <w:p w14:paraId="157EF9AC" w14:textId="16594038" w:rsidR="00E22285" w:rsidRDefault="006D262D" w:rsidP="005A7075">
      <w:pPr>
        <w:spacing w:after="240" w:line="360" w:lineRule="auto"/>
        <w:ind w:firstLine="708"/>
        <w:jc w:val="both"/>
        <w:rPr>
          <w:rFonts w:asciiTheme="minorHAnsi" w:hAnsiTheme="minorHAnsi"/>
        </w:rPr>
      </w:pPr>
      <w:r w:rsidRPr="00AB315F">
        <w:rPr>
          <w:rFonts w:asciiTheme="minorHAnsi" w:hAnsiTheme="minorHAnsi"/>
        </w:rPr>
        <w:t>Para fins de buscar evidências de que a medida capta o conceito sistemático de aceitação da corrupção, apresenta-se na</w:t>
      </w:r>
      <w:r w:rsidR="00E22285" w:rsidRPr="00AB315F">
        <w:rPr>
          <w:rFonts w:asciiTheme="minorHAnsi" w:hAnsiTheme="minorHAnsi"/>
        </w:rPr>
        <w:t xml:space="preserve"> tabela</w:t>
      </w:r>
      <w:r w:rsidR="008947A7">
        <w:rPr>
          <w:rFonts w:asciiTheme="minorHAnsi" w:hAnsiTheme="minorHAnsi"/>
        </w:rPr>
        <w:t xml:space="preserve"> 4</w:t>
      </w:r>
      <w:r w:rsidR="00E22285" w:rsidRPr="00AB315F">
        <w:rPr>
          <w:rFonts w:asciiTheme="minorHAnsi" w:hAnsiTheme="minorHAnsi"/>
        </w:rPr>
        <w:t xml:space="preserve"> </w:t>
      </w:r>
      <w:r w:rsidR="00D035EA" w:rsidRPr="00AB315F">
        <w:rPr>
          <w:rFonts w:asciiTheme="minorHAnsi" w:hAnsiTheme="minorHAnsi"/>
        </w:rPr>
        <w:t>alguns dos</w:t>
      </w:r>
      <w:r w:rsidR="00E22285" w:rsidRPr="00AB315F">
        <w:rPr>
          <w:rFonts w:asciiTheme="minorHAnsi" w:hAnsiTheme="minorHAnsi"/>
        </w:rPr>
        <w:t xml:space="preserve"> principais trabalhos que mobilizam a dimensão da aceitação ou tolerância à aceitação. Vale dizer que nem todos os trabalhos aprofundam a questão conceitual da tolerância ou aceitação da corrupção. </w:t>
      </w:r>
    </w:p>
    <w:p w14:paraId="3965689F" w14:textId="77777777" w:rsidR="009A15B7" w:rsidRDefault="009A15B7" w:rsidP="005A7075">
      <w:pPr>
        <w:spacing w:after="240" w:line="360" w:lineRule="auto"/>
        <w:ind w:firstLine="708"/>
        <w:jc w:val="both"/>
        <w:rPr>
          <w:rFonts w:asciiTheme="minorHAnsi" w:hAnsiTheme="minorHAnsi"/>
        </w:rPr>
      </w:pPr>
    </w:p>
    <w:p w14:paraId="026B706F" w14:textId="77777777" w:rsidR="009A15B7" w:rsidRDefault="009A15B7" w:rsidP="005A7075">
      <w:pPr>
        <w:spacing w:after="240" w:line="360" w:lineRule="auto"/>
        <w:ind w:firstLine="708"/>
        <w:jc w:val="both"/>
        <w:rPr>
          <w:rFonts w:asciiTheme="minorHAnsi" w:hAnsiTheme="minorHAnsi"/>
        </w:rPr>
      </w:pPr>
    </w:p>
    <w:p w14:paraId="5CC75DEB" w14:textId="5FC36643" w:rsidR="008947A7" w:rsidRPr="008947A7" w:rsidRDefault="008947A7" w:rsidP="008947A7">
      <w:pPr>
        <w:spacing w:after="240" w:line="360" w:lineRule="auto"/>
        <w:jc w:val="center"/>
        <w:rPr>
          <w:rFonts w:asciiTheme="minorHAnsi" w:hAnsiTheme="minorHAnsi"/>
          <w:b/>
        </w:rPr>
      </w:pPr>
      <w:r w:rsidRPr="008947A7">
        <w:rPr>
          <w:rFonts w:asciiTheme="minorHAnsi" w:hAnsiTheme="minorHAnsi"/>
          <w:b/>
        </w:rPr>
        <w:lastRenderedPageBreak/>
        <w:t>Tabela 4. Conceitos mobilizados na literatura</w:t>
      </w:r>
    </w:p>
    <w:tbl>
      <w:tblPr>
        <w:tblStyle w:val="Tabelacomgrade"/>
        <w:tblW w:w="8784" w:type="dxa"/>
        <w:tblLayout w:type="fixed"/>
        <w:tblLook w:val="04A0" w:firstRow="1" w:lastRow="0" w:firstColumn="1" w:lastColumn="0" w:noHBand="0" w:noVBand="1"/>
      </w:tblPr>
      <w:tblGrid>
        <w:gridCol w:w="2122"/>
        <w:gridCol w:w="4394"/>
        <w:gridCol w:w="2268"/>
      </w:tblGrid>
      <w:tr w:rsidR="00D035EA" w:rsidRPr="00AB315F" w14:paraId="097FAA0E" w14:textId="77777777" w:rsidTr="008947A7">
        <w:tc>
          <w:tcPr>
            <w:tcW w:w="2122" w:type="dxa"/>
            <w:tcBorders>
              <w:left w:val="nil"/>
            </w:tcBorders>
          </w:tcPr>
          <w:p w14:paraId="433D0943" w14:textId="77777777" w:rsidR="00D035EA" w:rsidRPr="00AB315F" w:rsidRDefault="00D035EA" w:rsidP="005A7075">
            <w:pPr>
              <w:jc w:val="both"/>
              <w:rPr>
                <w:rFonts w:asciiTheme="minorHAnsi" w:hAnsiTheme="minorHAnsi"/>
              </w:rPr>
            </w:pPr>
            <w:r w:rsidRPr="00AB315F">
              <w:rPr>
                <w:rFonts w:asciiTheme="minorHAnsi" w:hAnsiTheme="minorHAnsi"/>
              </w:rPr>
              <w:t>Artigo / Autor</w:t>
            </w:r>
          </w:p>
        </w:tc>
        <w:tc>
          <w:tcPr>
            <w:tcW w:w="4394" w:type="dxa"/>
          </w:tcPr>
          <w:p w14:paraId="179917A6" w14:textId="77777777" w:rsidR="00D035EA" w:rsidRPr="00AB315F" w:rsidRDefault="00D035EA" w:rsidP="005A7075">
            <w:pPr>
              <w:jc w:val="both"/>
              <w:rPr>
                <w:rFonts w:asciiTheme="minorHAnsi" w:hAnsiTheme="minorHAnsi"/>
              </w:rPr>
            </w:pPr>
            <w:r w:rsidRPr="00AB315F">
              <w:rPr>
                <w:rFonts w:asciiTheme="minorHAnsi" w:hAnsiTheme="minorHAnsi"/>
              </w:rPr>
              <w:t>Conceito</w:t>
            </w:r>
          </w:p>
        </w:tc>
        <w:tc>
          <w:tcPr>
            <w:tcW w:w="2268" w:type="dxa"/>
            <w:tcBorders>
              <w:right w:val="nil"/>
            </w:tcBorders>
          </w:tcPr>
          <w:p w14:paraId="43720D93" w14:textId="77777777" w:rsidR="00D035EA" w:rsidRPr="00AB315F" w:rsidRDefault="00D035EA" w:rsidP="005A7075">
            <w:pPr>
              <w:jc w:val="both"/>
              <w:rPr>
                <w:rFonts w:asciiTheme="minorHAnsi" w:hAnsiTheme="minorHAnsi"/>
              </w:rPr>
            </w:pPr>
            <w:r w:rsidRPr="00AB315F">
              <w:rPr>
                <w:rFonts w:asciiTheme="minorHAnsi" w:hAnsiTheme="minorHAnsi"/>
              </w:rPr>
              <w:t xml:space="preserve">Dados </w:t>
            </w:r>
          </w:p>
        </w:tc>
      </w:tr>
      <w:tr w:rsidR="00D035EA" w:rsidRPr="00AB315F" w14:paraId="4FB71568" w14:textId="77777777" w:rsidTr="008947A7">
        <w:tc>
          <w:tcPr>
            <w:tcW w:w="2122" w:type="dxa"/>
            <w:tcBorders>
              <w:left w:val="nil"/>
            </w:tcBorders>
          </w:tcPr>
          <w:p w14:paraId="2E2FB47C" w14:textId="251E268A" w:rsidR="00D035EA" w:rsidRPr="00AB315F" w:rsidRDefault="00D035EA" w:rsidP="005A7075">
            <w:pPr>
              <w:jc w:val="both"/>
              <w:rPr>
                <w:rFonts w:asciiTheme="minorHAnsi" w:hAnsiTheme="minorHAnsi"/>
              </w:rPr>
            </w:pPr>
            <w:r w:rsidRPr="00AB315F">
              <w:rPr>
                <w:rFonts w:asciiTheme="minorHAnsi" w:hAnsiTheme="minorHAnsi"/>
              </w:rPr>
              <w:t>Ribeiro, 2011</w:t>
            </w:r>
          </w:p>
        </w:tc>
        <w:tc>
          <w:tcPr>
            <w:tcW w:w="4394" w:type="dxa"/>
          </w:tcPr>
          <w:p w14:paraId="772BC998" w14:textId="10B939A7" w:rsidR="00D035EA" w:rsidRPr="00AB315F" w:rsidRDefault="00D035EA" w:rsidP="005A7075">
            <w:pPr>
              <w:jc w:val="both"/>
              <w:rPr>
                <w:rFonts w:asciiTheme="minorHAnsi" w:hAnsiTheme="minorHAnsi"/>
              </w:rPr>
            </w:pPr>
            <w:r w:rsidRPr="00AB315F">
              <w:rPr>
                <w:rFonts w:asciiTheme="minorHAnsi" w:hAnsiTheme="minorHAnsi"/>
              </w:rPr>
              <w:t>Disposição para justificar práticas sociais corruptas.</w:t>
            </w:r>
          </w:p>
        </w:tc>
        <w:tc>
          <w:tcPr>
            <w:tcW w:w="2268" w:type="dxa"/>
            <w:tcBorders>
              <w:right w:val="nil"/>
            </w:tcBorders>
          </w:tcPr>
          <w:p w14:paraId="015FB533" w14:textId="79A087B4" w:rsidR="00D035EA" w:rsidRPr="00AB315F" w:rsidRDefault="00D035EA" w:rsidP="005A7075">
            <w:pPr>
              <w:jc w:val="both"/>
              <w:rPr>
                <w:rFonts w:asciiTheme="minorHAnsi" w:hAnsiTheme="minorHAnsi"/>
              </w:rPr>
            </w:pPr>
            <w:r w:rsidRPr="00AB315F">
              <w:rPr>
                <w:rFonts w:asciiTheme="minorHAnsi" w:hAnsiTheme="minorHAnsi"/>
              </w:rPr>
              <w:t>World Value Survey 2006</w:t>
            </w:r>
          </w:p>
        </w:tc>
      </w:tr>
      <w:tr w:rsidR="00D035EA" w:rsidRPr="00AB315F" w14:paraId="64C6F962" w14:textId="77777777" w:rsidTr="008947A7">
        <w:tc>
          <w:tcPr>
            <w:tcW w:w="2122" w:type="dxa"/>
            <w:tcBorders>
              <w:left w:val="nil"/>
            </w:tcBorders>
          </w:tcPr>
          <w:p w14:paraId="3DBD133F" w14:textId="1E8304D2" w:rsidR="00D035EA" w:rsidRPr="00AB315F" w:rsidRDefault="00D035EA" w:rsidP="005A7075">
            <w:pPr>
              <w:jc w:val="both"/>
              <w:rPr>
                <w:rFonts w:asciiTheme="minorHAnsi" w:hAnsiTheme="minorHAnsi"/>
              </w:rPr>
            </w:pPr>
            <w:r w:rsidRPr="00AB315F">
              <w:rPr>
                <w:rFonts w:asciiTheme="minorHAnsi" w:hAnsiTheme="minorHAnsi"/>
              </w:rPr>
              <w:t>Moreno 2002</w:t>
            </w:r>
          </w:p>
        </w:tc>
        <w:tc>
          <w:tcPr>
            <w:tcW w:w="4394" w:type="dxa"/>
          </w:tcPr>
          <w:p w14:paraId="19981C60" w14:textId="57C10D45" w:rsidR="00D035EA" w:rsidRPr="00AB315F" w:rsidRDefault="00D035EA" w:rsidP="005A7075">
            <w:pPr>
              <w:jc w:val="both"/>
              <w:rPr>
                <w:rFonts w:asciiTheme="minorHAnsi" w:hAnsiTheme="minorHAnsi"/>
              </w:rPr>
            </w:pPr>
            <w:r w:rsidRPr="00AB315F">
              <w:rPr>
                <w:rFonts w:asciiTheme="minorHAnsi" w:hAnsiTheme="minorHAnsi"/>
              </w:rPr>
              <w:t>Situações em que os indivíduos tendem a justificar certas práticas que podem ser consideradas corruptas. As práticas são culturalmente justificadas.</w:t>
            </w:r>
          </w:p>
        </w:tc>
        <w:tc>
          <w:tcPr>
            <w:tcW w:w="2268" w:type="dxa"/>
            <w:tcBorders>
              <w:right w:val="nil"/>
            </w:tcBorders>
          </w:tcPr>
          <w:p w14:paraId="45583A72" w14:textId="5D6F6542" w:rsidR="00D035EA" w:rsidRPr="00AB315F" w:rsidRDefault="00D035EA" w:rsidP="005A7075">
            <w:pPr>
              <w:jc w:val="both"/>
              <w:rPr>
                <w:rFonts w:asciiTheme="minorHAnsi" w:hAnsiTheme="minorHAnsi"/>
              </w:rPr>
            </w:pPr>
            <w:r w:rsidRPr="00AB315F">
              <w:rPr>
                <w:rFonts w:asciiTheme="minorHAnsi" w:hAnsiTheme="minorHAnsi"/>
              </w:rPr>
              <w:t xml:space="preserve">World Value </w:t>
            </w:r>
            <w:r w:rsidR="00FD55AE" w:rsidRPr="00AB315F">
              <w:rPr>
                <w:rFonts w:asciiTheme="minorHAnsi" w:hAnsiTheme="minorHAnsi"/>
              </w:rPr>
              <w:t>Survey 1991</w:t>
            </w:r>
            <w:r w:rsidRPr="00AB315F">
              <w:rPr>
                <w:rFonts w:asciiTheme="minorHAnsi" w:hAnsiTheme="minorHAnsi"/>
              </w:rPr>
              <w:t xml:space="preserve"> e 1996.</w:t>
            </w:r>
          </w:p>
        </w:tc>
      </w:tr>
      <w:tr w:rsidR="00D035EA" w:rsidRPr="00AB315F" w14:paraId="4971A5FF" w14:textId="77777777" w:rsidTr="008947A7">
        <w:tc>
          <w:tcPr>
            <w:tcW w:w="2122" w:type="dxa"/>
            <w:tcBorders>
              <w:left w:val="nil"/>
            </w:tcBorders>
          </w:tcPr>
          <w:p w14:paraId="405A19DD" w14:textId="71CB4D2E" w:rsidR="00D035EA" w:rsidRPr="00AB315F" w:rsidRDefault="00D035EA" w:rsidP="005A7075">
            <w:pPr>
              <w:jc w:val="both"/>
              <w:rPr>
                <w:rFonts w:asciiTheme="minorHAnsi" w:hAnsiTheme="minorHAnsi"/>
              </w:rPr>
            </w:pPr>
            <w:r w:rsidRPr="00AB315F">
              <w:rPr>
                <w:rFonts w:asciiTheme="minorHAnsi" w:hAnsiTheme="minorHAnsi"/>
              </w:rPr>
              <w:t>Lavena, 2013</w:t>
            </w:r>
          </w:p>
        </w:tc>
        <w:tc>
          <w:tcPr>
            <w:tcW w:w="4394" w:type="dxa"/>
          </w:tcPr>
          <w:p w14:paraId="5B9F1763" w14:textId="1F5CC171" w:rsidR="00D035EA" w:rsidRPr="00AB315F" w:rsidRDefault="00D035EA" w:rsidP="005A7075">
            <w:pPr>
              <w:jc w:val="both"/>
              <w:rPr>
                <w:rFonts w:asciiTheme="minorHAnsi" w:hAnsiTheme="minorHAnsi"/>
              </w:rPr>
            </w:pPr>
            <w:r w:rsidRPr="00AB315F">
              <w:rPr>
                <w:rFonts w:asciiTheme="minorHAnsi" w:hAnsiTheme="minorHAnsi"/>
              </w:rPr>
              <w:t xml:space="preserve">A propensão de cidadãos a justificar atos de corrupção na sociedade. </w:t>
            </w:r>
          </w:p>
        </w:tc>
        <w:tc>
          <w:tcPr>
            <w:tcW w:w="2268" w:type="dxa"/>
            <w:tcBorders>
              <w:right w:val="nil"/>
            </w:tcBorders>
          </w:tcPr>
          <w:p w14:paraId="2B8932E1" w14:textId="78A83D04" w:rsidR="00D035EA" w:rsidRPr="00AB315F" w:rsidRDefault="00D035EA" w:rsidP="005A7075">
            <w:pPr>
              <w:jc w:val="both"/>
              <w:rPr>
                <w:rFonts w:asciiTheme="minorHAnsi" w:hAnsiTheme="minorHAnsi"/>
              </w:rPr>
            </w:pPr>
            <w:r w:rsidRPr="00AB315F">
              <w:rPr>
                <w:rFonts w:asciiTheme="minorHAnsi" w:hAnsiTheme="minorHAnsi"/>
              </w:rPr>
              <w:t>World Value Survey 2006</w:t>
            </w:r>
          </w:p>
        </w:tc>
      </w:tr>
      <w:tr w:rsidR="00D035EA" w:rsidRPr="00AB315F" w14:paraId="73CB2AF4" w14:textId="77777777" w:rsidTr="008947A7">
        <w:tc>
          <w:tcPr>
            <w:tcW w:w="2122" w:type="dxa"/>
            <w:tcBorders>
              <w:left w:val="nil"/>
            </w:tcBorders>
          </w:tcPr>
          <w:p w14:paraId="75134B17" w14:textId="6F83377A" w:rsidR="00D035EA" w:rsidRPr="00AB315F" w:rsidRDefault="00D035EA" w:rsidP="005A7075">
            <w:pPr>
              <w:jc w:val="both"/>
              <w:rPr>
                <w:rFonts w:asciiTheme="minorHAnsi" w:hAnsiTheme="minorHAnsi"/>
              </w:rPr>
            </w:pPr>
            <w:r w:rsidRPr="00AB315F">
              <w:rPr>
                <w:rFonts w:asciiTheme="minorHAnsi" w:hAnsiTheme="minorHAnsi"/>
              </w:rPr>
              <w:t>Melgar e Rossi, 2012</w:t>
            </w:r>
          </w:p>
        </w:tc>
        <w:tc>
          <w:tcPr>
            <w:tcW w:w="4394" w:type="dxa"/>
          </w:tcPr>
          <w:p w14:paraId="0034B442" w14:textId="0EACEAB4" w:rsidR="00D035EA" w:rsidRPr="00AB315F" w:rsidRDefault="006D262D" w:rsidP="005A7075">
            <w:pPr>
              <w:jc w:val="both"/>
              <w:rPr>
                <w:rFonts w:asciiTheme="minorHAnsi" w:hAnsiTheme="minorHAnsi"/>
              </w:rPr>
            </w:pPr>
            <w:r w:rsidRPr="00AB315F">
              <w:rPr>
                <w:rFonts w:asciiTheme="minorHAnsi" w:hAnsiTheme="minorHAnsi"/>
              </w:rPr>
              <w:t xml:space="preserve">Propensão a justificar uma série de ações ilegais. </w:t>
            </w:r>
            <w:r w:rsidR="00D035EA" w:rsidRPr="00AB315F">
              <w:rPr>
                <w:rFonts w:asciiTheme="minorHAnsi" w:hAnsiTheme="minorHAnsi"/>
              </w:rPr>
              <w:t xml:space="preserve">É um fenômeno cultural que pode ser </w:t>
            </w:r>
            <w:r w:rsidRPr="00AB315F">
              <w:rPr>
                <w:rFonts w:asciiTheme="minorHAnsi" w:hAnsiTheme="minorHAnsi"/>
              </w:rPr>
              <w:t>definido de diferentes maneiras.</w:t>
            </w:r>
            <w:r w:rsidR="00D035EA" w:rsidRPr="00AB315F">
              <w:rPr>
                <w:rFonts w:asciiTheme="minorHAnsi" w:hAnsiTheme="minorHAnsi"/>
              </w:rPr>
              <w:t xml:space="preserve"> O uso indevido de um bem púbico com a finalidade de gerar ganhos privados.</w:t>
            </w:r>
          </w:p>
        </w:tc>
        <w:tc>
          <w:tcPr>
            <w:tcW w:w="2268" w:type="dxa"/>
            <w:tcBorders>
              <w:right w:val="nil"/>
            </w:tcBorders>
          </w:tcPr>
          <w:p w14:paraId="2CE54D17" w14:textId="3D6B0336" w:rsidR="00D035EA" w:rsidRPr="00AB315F" w:rsidRDefault="00D035EA" w:rsidP="005A7075">
            <w:pPr>
              <w:jc w:val="both"/>
              <w:rPr>
                <w:rFonts w:asciiTheme="minorHAnsi" w:hAnsiTheme="minorHAnsi"/>
              </w:rPr>
            </w:pPr>
            <w:r w:rsidRPr="00AB315F">
              <w:rPr>
                <w:rFonts w:asciiTheme="minorHAnsi" w:hAnsiTheme="minorHAnsi"/>
              </w:rPr>
              <w:t>World Value Survey 1996 - 2006</w:t>
            </w:r>
          </w:p>
        </w:tc>
      </w:tr>
      <w:tr w:rsidR="00EB75A6" w:rsidRPr="005D065B" w14:paraId="66AAAAB4" w14:textId="77777777" w:rsidTr="008947A7">
        <w:tc>
          <w:tcPr>
            <w:tcW w:w="2122" w:type="dxa"/>
            <w:tcBorders>
              <w:left w:val="nil"/>
            </w:tcBorders>
          </w:tcPr>
          <w:p w14:paraId="580E73E3" w14:textId="0168985D" w:rsidR="00EB75A6" w:rsidRPr="00AB315F" w:rsidRDefault="00EB75A6" w:rsidP="005A7075">
            <w:pPr>
              <w:jc w:val="both"/>
              <w:rPr>
                <w:rFonts w:asciiTheme="minorHAnsi" w:hAnsiTheme="minorHAnsi"/>
              </w:rPr>
            </w:pPr>
            <w:r w:rsidRPr="00AB315F">
              <w:rPr>
                <w:rFonts w:asciiTheme="minorHAnsi" w:hAnsiTheme="minorHAnsi"/>
              </w:rPr>
              <w:t>Lee e Guven , 2013</w:t>
            </w:r>
          </w:p>
        </w:tc>
        <w:tc>
          <w:tcPr>
            <w:tcW w:w="4394" w:type="dxa"/>
          </w:tcPr>
          <w:p w14:paraId="3D80BE41" w14:textId="77426225" w:rsidR="00EB75A6" w:rsidRPr="00AB315F" w:rsidRDefault="007E2E40" w:rsidP="005A7075">
            <w:pPr>
              <w:jc w:val="both"/>
              <w:rPr>
                <w:rFonts w:asciiTheme="minorHAnsi" w:hAnsiTheme="minorHAnsi"/>
              </w:rPr>
            </w:pPr>
            <w:r w:rsidRPr="00AB315F">
              <w:rPr>
                <w:rFonts w:asciiTheme="minorHAnsi" w:hAnsiTheme="minorHAnsi"/>
              </w:rPr>
              <w:t>Aceitabilidade ou justificação de comportamentos ilegais ou desonestos</w:t>
            </w:r>
            <w:r w:rsidR="00850AA4" w:rsidRPr="00AB315F">
              <w:rPr>
                <w:rFonts w:asciiTheme="minorHAnsi" w:hAnsiTheme="minorHAnsi"/>
              </w:rPr>
              <w:t>.</w:t>
            </w:r>
          </w:p>
        </w:tc>
        <w:tc>
          <w:tcPr>
            <w:tcW w:w="2268" w:type="dxa"/>
            <w:tcBorders>
              <w:right w:val="nil"/>
            </w:tcBorders>
          </w:tcPr>
          <w:p w14:paraId="0F0FA7F2" w14:textId="3304DCF7" w:rsidR="00EB75A6" w:rsidRPr="00AB315F" w:rsidRDefault="00EB75A6" w:rsidP="005A7075">
            <w:pPr>
              <w:jc w:val="both"/>
              <w:rPr>
                <w:rFonts w:asciiTheme="minorHAnsi" w:hAnsiTheme="minorHAnsi"/>
                <w:lang w:val="en-US"/>
              </w:rPr>
            </w:pPr>
            <w:r w:rsidRPr="00AB315F">
              <w:rPr>
                <w:rFonts w:asciiTheme="minorHAnsi" w:hAnsiTheme="minorHAnsi"/>
                <w:lang w:val="en-US"/>
              </w:rPr>
              <w:t>World Value Survey  e European Social Survey (</w:t>
            </w:r>
            <w:r w:rsidRPr="00AB315F">
              <w:rPr>
                <w:rStyle w:val="highlight"/>
                <w:rFonts w:asciiTheme="minorHAnsi" w:hAnsiTheme="minorHAnsi"/>
                <w:lang w:val="en-US"/>
              </w:rPr>
              <w:t>ESS</w:t>
            </w:r>
            <w:r w:rsidRPr="00AB315F">
              <w:rPr>
                <w:rFonts w:asciiTheme="minorHAnsi" w:hAnsiTheme="minorHAnsi"/>
                <w:lang w:val="en-US"/>
              </w:rPr>
              <w:t>)</w:t>
            </w:r>
          </w:p>
        </w:tc>
      </w:tr>
    </w:tbl>
    <w:p w14:paraId="0620773C" w14:textId="77777777" w:rsidR="001F728A" w:rsidRPr="001F728A" w:rsidRDefault="00E22285" w:rsidP="001F728A">
      <w:pPr>
        <w:spacing w:line="360" w:lineRule="auto"/>
        <w:rPr>
          <w:rFonts w:ascii="Calibri" w:hAnsi="Calibri"/>
          <w:sz w:val="20"/>
          <w:szCs w:val="22"/>
        </w:rPr>
      </w:pPr>
      <w:r w:rsidRPr="00AB315F">
        <w:rPr>
          <w:rFonts w:asciiTheme="minorHAnsi" w:hAnsiTheme="minorHAnsi"/>
          <w:lang w:val="en-US"/>
        </w:rPr>
        <w:t xml:space="preserve"> </w:t>
      </w:r>
      <w:r w:rsidR="001F728A" w:rsidRPr="001F728A">
        <w:rPr>
          <w:rFonts w:ascii="Calibri" w:hAnsi="Calibri"/>
          <w:sz w:val="20"/>
          <w:szCs w:val="22"/>
        </w:rPr>
        <w:t>Fonte</w:t>
      </w:r>
      <w:r w:rsidR="001F728A">
        <w:rPr>
          <w:rFonts w:ascii="Calibri" w:hAnsi="Calibri"/>
          <w:sz w:val="20"/>
          <w:szCs w:val="22"/>
        </w:rPr>
        <w:t>: elaboração própria</w:t>
      </w:r>
    </w:p>
    <w:p w14:paraId="1693D125" w14:textId="77777777" w:rsidR="00E22285" w:rsidRPr="00C51A0E" w:rsidRDefault="00E22285" w:rsidP="00E32D94">
      <w:pPr>
        <w:spacing w:line="360" w:lineRule="auto"/>
        <w:jc w:val="both"/>
        <w:rPr>
          <w:rFonts w:asciiTheme="minorHAnsi" w:hAnsiTheme="minorHAnsi"/>
        </w:rPr>
      </w:pPr>
    </w:p>
    <w:p w14:paraId="017304FE" w14:textId="7E2FD4F3" w:rsidR="006D262D" w:rsidRPr="00AB315F" w:rsidRDefault="00E22285" w:rsidP="005A7075">
      <w:pPr>
        <w:spacing w:after="240" w:line="360" w:lineRule="auto"/>
        <w:ind w:firstLine="708"/>
        <w:jc w:val="both"/>
        <w:rPr>
          <w:rFonts w:asciiTheme="minorHAnsi" w:hAnsiTheme="minorHAnsi"/>
        </w:rPr>
      </w:pPr>
      <w:r w:rsidRPr="00AB315F">
        <w:rPr>
          <w:rFonts w:asciiTheme="minorHAnsi" w:hAnsiTheme="minorHAnsi"/>
        </w:rPr>
        <w:t xml:space="preserve">Os </w:t>
      </w:r>
      <w:r w:rsidR="00D035EA" w:rsidRPr="00AB315F">
        <w:rPr>
          <w:rFonts w:asciiTheme="minorHAnsi" w:hAnsiTheme="minorHAnsi"/>
        </w:rPr>
        <w:t xml:space="preserve">termos “aceitação”, </w:t>
      </w:r>
      <w:r w:rsidRPr="00AB315F">
        <w:rPr>
          <w:rFonts w:asciiTheme="minorHAnsi" w:hAnsiTheme="minorHAnsi"/>
        </w:rPr>
        <w:t>“tolerância”</w:t>
      </w:r>
      <w:r w:rsidR="00D035EA" w:rsidRPr="00AB315F">
        <w:rPr>
          <w:rFonts w:asciiTheme="minorHAnsi" w:hAnsiTheme="minorHAnsi"/>
        </w:rPr>
        <w:t xml:space="preserve"> e</w:t>
      </w:r>
      <w:r w:rsidRPr="00AB315F">
        <w:rPr>
          <w:rFonts w:asciiTheme="minorHAnsi" w:hAnsiTheme="minorHAnsi"/>
        </w:rPr>
        <w:t xml:space="preserve"> </w:t>
      </w:r>
      <w:r w:rsidR="00D035EA" w:rsidRPr="00AB315F">
        <w:rPr>
          <w:rFonts w:asciiTheme="minorHAnsi" w:hAnsiTheme="minorHAnsi"/>
        </w:rPr>
        <w:t xml:space="preserve">“permissividade” </w:t>
      </w:r>
      <w:r w:rsidRPr="00AB315F">
        <w:rPr>
          <w:rFonts w:asciiTheme="minorHAnsi" w:hAnsiTheme="minorHAnsi"/>
        </w:rPr>
        <w:t>são frequentemente usados como sinônimos em todos os trabalhos listados acima.</w:t>
      </w:r>
      <w:r w:rsidR="006D262D" w:rsidRPr="00AB315F">
        <w:rPr>
          <w:rFonts w:asciiTheme="minorHAnsi" w:hAnsiTheme="minorHAnsi"/>
        </w:rPr>
        <w:t xml:space="preserve"> Todos eles referem-se ao ato dos indivíduos justificarem certas práticas. Neste sentido, a medida de Aceitação da Corrupção capta a dimensão da “justificativa” tanto na pergunta como na escala de resposta. </w:t>
      </w:r>
      <w:r w:rsidRPr="00AB315F">
        <w:rPr>
          <w:rFonts w:asciiTheme="minorHAnsi" w:hAnsiTheme="minorHAnsi"/>
        </w:rPr>
        <w:t xml:space="preserve"> </w:t>
      </w:r>
      <w:r w:rsidR="006D262D" w:rsidRPr="00AB315F">
        <w:rPr>
          <w:rFonts w:asciiTheme="minorHAnsi" w:hAnsiTheme="minorHAnsi"/>
        </w:rPr>
        <w:t>Logo, justificar ou não é um indicativo de aceitação.</w:t>
      </w:r>
    </w:p>
    <w:p w14:paraId="54A29420" w14:textId="09E39C4B" w:rsidR="000273C6" w:rsidRPr="00AB315F" w:rsidRDefault="006D262D" w:rsidP="005A7075">
      <w:pPr>
        <w:spacing w:after="240" w:line="360" w:lineRule="auto"/>
        <w:ind w:firstLine="708"/>
        <w:jc w:val="both"/>
        <w:rPr>
          <w:rFonts w:asciiTheme="minorHAnsi" w:hAnsiTheme="minorHAnsi"/>
        </w:rPr>
      </w:pPr>
      <w:r w:rsidRPr="00AB315F">
        <w:rPr>
          <w:rFonts w:asciiTheme="minorHAnsi" w:hAnsiTheme="minorHAnsi"/>
        </w:rPr>
        <w:t>Outra dimensão importante</w:t>
      </w:r>
      <w:r w:rsidR="000273C6" w:rsidRPr="00AB315F">
        <w:rPr>
          <w:rFonts w:asciiTheme="minorHAnsi" w:hAnsiTheme="minorHAnsi"/>
        </w:rPr>
        <w:t>,</w:t>
      </w:r>
      <w:r w:rsidRPr="00AB315F">
        <w:rPr>
          <w:rFonts w:asciiTheme="minorHAnsi" w:hAnsiTheme="minorHAnsi"/>
        </w:rPr>
        <w:t xml:space="preserve"> </w:t>
      </w:r>
      <w:r w:rsidR="000273C6" w:rsidRPr="00AB315F">
        <w:rPr>
          <w:rFonts w:asciiTheme="minorHAnsi" w:hAnsiTheme="minorHAnsi"/>
        </w:rPr>
        <w:t xml:space="preserve">e aparentemente comum aos conceitos, </w:t>
      </w:r>
      <w:r w:rsidRPr="00AB315F">
        <w:rPr>
          <w:rFonts w:asciiTheme="minorHAnsi" w:hAnsiTheme="minorHAnsi"/>
        </w:rPr>
        <w:t>refere-se às prátic</w:t>
      </w:r>
      <w:r w:rsidR="000273C6" w:rsidRPr="00AB315F">
        <w:rPr>
          <w:rFonts w:asciiTheme="minorHAnsi" w:hAnsiTheme="minorHAnsi"/>
        </w:rPr>
        <w:t>as. Os conceitos acima, mobilizam os termos “ilegal” “desonestos” e “corruptas” para dar qualidade às práticas. Podemos certamente enquadrar os itens de resposta da medida em práticas ilegais, as quais refletem a ideia de que a ordem legal efetivada é transgredida e resulta em um benefício privado em detrimento de um prejuízo ao bem público. Neste caso o cidadão escolhe o benefício privado em d</w:t>
      </w:r>
      <w:r w:rsidR="007F17AE" w:rsidRPr="00AB315F">
        <w:rPr>
          <w:rFonts w:asciiTheme="minorHAnsi" w:hAnsiTheme="minorHAnsi"/>
        </w:rPr>
        <w:t>etrimento do público. Os itens de resposta (aceitar propina, evitar tarifa de transporte público, sonegar impostos e receber benefícios públicos não tendo direito a eles) parecem ser congruentes com os conceitos mobilizados.</w:t>
      </w:r>
    </w:p>
    <w:p w14:paraId="7BEF8C4F" w14:textId="2DCD2A6A" w:rsidR="007F17AE" w:rsidRPr="00AB315F" w:rsidRDefault="007F17AE" w:rsidP="005A7075">
      <w:pPr>
        <w:spacing w:after="240" w:line="360" w:lineRule="auto"/>
        <w:ind w:firstLine="708"/>
        <w:jc w:val="both"/>
        <w:rPr>
          <w:rFonts w:asciiTheme="minorHAnsi" w:hAnsiTheme="minorHAnsi"/>
        </w:rPr>
      </w:pPr>
      <w:r w:rsidRPr="00AB315F">
        <w:rPr>
          <w:rFonts w:asciiTheme="minorHAnsi" w:hAnsiTheme="minorHAnsi"/>
        </w:rPr>
        <w:t>Podemos dizer que os indicadores captam o conteúdo sistemático do conceito mobilizado pela literatura.</w:t>
      </w:r>
      <w:r w:rsidR="00873C2F" w:rsidRPr="00AB315F">
        <w:rPr>
          <w:rFonts w:asciiTheme="minorHAnsi" w:hAnsiTheme="minorHAnsi"/>
        </w:rPr>
        <w:t xml:space="preserve"> </w:t>
      </w:r>
      <w:r w:rsidR="001E48FE" w:rsidRPr="00AB315F">
        <w:rPr>
          <w:rFonts w:asciiTheme="minorHAnsi" w:hAnsiTheme="minorHAnsi"/>
        </w:rPr>
        <w:t xml:space="preserve">Entretanto, conforme afirmação de Adcock e Collier (2001) </w:t>
      </w:r>
      <w:r w:rsidR="001E48FE" w:rsidRPr="00AB315F">
        <w:rPr>
          <w:rFonts w:asciiTheme="minorHAnsi" w:hAnsiTheme="minorHAnsi"/>
        </w:rPr>
        <w:lastRenderedPageBreak/>
        <w:t xml:space="preserve">evidências de validação de conteúdo não são suficientes. O conceito ser captado pelos itens de repostas, mas, as respostas dadas podem estar carregadas de vieses e inconsistências. </w:t>
      </w:r>
    </w:p>
    <w:p w14:paraId="57D6468A" w14:textId="62952263" w:rsidR="000273C6" w:rsidRPr="00AB315F" w:rsidRDefault="0072120D" w:rsidP="00656889">
      <w:pPr>
        <w:pStyle w:val="Ttulo3"/>
        <w:spacing w:after="240"/>
      </w:pPr>
      <w:bookmarkStart w:id="24" w:name="_Toc456241257"/>
      <w:r w:rsidRPr="00AB315F">
        <w:t>3</w:t>
      </w:r>
      <w:r w:rsidR="0005370B" w:rsidRPr="00AB315F">
        <w:t>.2.</w:t>
      </w:r>
      <w:r w:rsidRPr="00AB315F">
        <w:t>2</w:t>
      </w:r>
      <w:r w:rsidR="0005370B" w:rsidRPr="00AB315F">
        <w:t xml:space="preserve"> </w:t>
      </w:r>
      <w:r w:rsidR="00F85DD0" w:rsidRPr="00AB315F">
        <w:t>Validade discriminante</w:t>
      </w:r>
      <w:bookmarkEnd w:id="24"/>
    </w:p>
    <w:p w14:paraId="7A5D9072" w14:textId="6D180C23" w:rsidR="00A66C17" w:rsidRPr="00AB315F" w:rsidRDefault="00A66C17" w:rsidP="00656889">
      <w:pPr>
        <w:spacing w:after="240" w:line="360" w:lineRule="auto"/>
        <w:ind w:firstLine="708"/>
        <w:jc w:val="both"/>
        <w:rPr>
          <w:rFonts w:asciiTheme="minorHAnsi" w:hAnsiTheme="minorHAnsi"/>
        </w:rPr>
      </w:pPr>
      <w:r w:rsidRPr="00AB315F">
        <w:rPr>
          <w:rFonts w:asciiTheme="minorHAnsi" w:hAnsiTheme="minorHAnsi"/>
        </w:rPr>
        <w:t>A</w:t>
      </w:r>
      <w:r w:rsidR="004B5F9B">
        <w:rPr>
          <w:rFonts w:asciiTheme="minorHAnsi" w:hAnsiTheme="minorHAnsi"/>
        </w:rPr>
        <w:t>s</w:t>
      </w:r>
      <w:r w:rsidRPr="00AB315F">
        <w:rPr>
          <w:rFonts w:asciiTheme="minorHAnsi" w:hAnsiTheme="minorHAnsi"/>
        </w:rPr>
        <w:t xml:space="preserve"> análise</w:t>
      </w:r>
      <w:r w:rsidR="004B5F9B">
        <w:rPr>
          <w:rFonts w:asciiTheme="minorHAnsi" w:hAnsiTheme="minorHAnsi"/>
        </w:rPr>
        <w:t>s</w:t>
      </w:r>
      <w:r w:rsidRPr="00AB315F">
        <w:rPr>
          <w:rFonts w:asciiTheme="minorHAnsi" w:hAnsiTheme="minorHAnsi"/>
        </w:rPr>
        <w:t xml:space="preserve"> de validade discriminante </w:t>
      </w:r>
      <w:r w:rsidR="004B5F9B">
        <w:rPr>
          <w:rFonts w:asciiTheme="minorHAnsi" w:hAnsiTheme="minorHAnsi"/>
        </w:rPr>
        <w:t>e convergente são</w:t>
      </w:r>
      <w:r w:rsidRPr="00AB315F">
        <w:rPr>
          <w:rFonts w:asciiTheme="minorHAnsi" w:hAnsiTheme="minorHAnsi"/>
        </w:rPr>
        <w:t xml:space="preserve"> a</w:t>
      </w:r>
      <w:r w:rsidR="004B5F9B">
        <w:rPr>
          <w:rFonts w:asciiTheme="minorHAnsi" w:hAnsiTheme="minorHAnsi"/>
        </w:rPr>
        <w:t>s</w:t>
      </w:r>
      <w:r w:rsidRPr="00AB315F">
        <w:rPr>
          <w:rFonts w:asciiTheme="minorHAnsi" w:hAnsiTheme="minorHAnsi"/>
        </w:rPr>
        <w:t xml:space="preserve"> que </w:t>
      </w:r>
      <w:r w:rsidR="004B5F9B">
        <w:rPr>
          <w:rFonts w:asciiTheme="minorHAnsi" w:hAnsiTheme="minorHAnsi"/>
        </w:rPr>
        <w:t>apresentam</w:t>
      </w:r>
      <w:r w:rsidRPr="00AB315F">
        <w:rPr>
          <w:rFonts w:asciiTheme="minorHAnsi" w:hAnsiTheme="minorHAnsi"/>
        </w:rPr>
        <w:t xml:space="preserve"> </w:t>
      </w:r>
      <w:r w:rsidR="00712AD9">
        <w:rPr>
          <w:rFonts w:asciiTheme="minorHAnsi" w:hAnsiTheme="minorHAnsi"/>
        </w:rPr>
        <w:t xml:space="preserve">maiores </w:t>
      </w:r>
      <w:r w:rsidRPr="00AB315F">
        <w:rPr>
          <w:rFonts w:asciiTheme="minorHAnsi" w:hAnsiTheme="minorHAnsi"/>
        </w:rPr>
        <w:t>limitações neste trabalho, pois não existe</w:t>
      </w:r>
      <w:r w:rsidR="00AD6B24" w:rsidRPr="00AB315F">
        <w:rPr>
          <w:rFonts w:asciiTheme="minorHAnsi" w:hAnsiTheme="minorHAnsi"/>
        </w:rPr>
        <w:t>m</w:t>
      </w:r>
      <w:r w:rsidRPr="00AB315F">
        <w:rPr>
          <w:rFonts w:asciiTheme="minorHAnsi" w:hAnsiTheme="minorHAnsi"/>
        </w:rPr>
        <w:t xml:space="preserve"> indicadores de outras dimens</w:t>
      </w:r>
      <w:r w:rsidR="00AD6B24" w:rsidRPr="00AB315F">
        <w:rPr>
          <w:rFonts w:asciiTheme="minorHAnsi" w:hAnsiTheme="minorHAnsi"/>
        </w:rPr>
        <w:t xml:space="preserve">ões do conceito de tolerância numa </w:t>
      </w:r>
      <w:r w:rsidRPr="00AB315F">
        <w:rPr>
          <w:rFonts w:asciiTheme="minorHAnsi" w:hAnsiTheme="minorHAnsi"/>
        </w:rPr>
        <w:t>base de dados</w:t>
      </w:r>
      <w:r w:rsidR="00AD6B24" w:rsidRPr="00AB315F">
        <w:rPr>
          <w:rFonts w:asciiTheme="minorHAnsi" w:hAnsiTheme="minorHAnsi"/>
        </w:rPr>
        <w:t xml:space="preserve"> que tenha coletado também </w:t>
      </w:r>
      <w:r w:rsidRPr="00AB315F">
        <w:rPr>
          <w:rFonts w:asciiTheme="minorHAnsi" w:hAnsiTheme="minorHAnsi"/>
        </w:rPr>
        <w:t>os quatro indicadores observáveis da Aceitação da Corrupção.</w:t>
      </w:r>
    </w:p>
    <w:p w14:paraId="507837F6" w14:textId="7B715CDD" w:rsidR="006A6DFC" w:rsidRPr="00AB315F" w:rsidRDefault="00A66C17" w:rsidP="005A7075">
      <w:pPr>
        <w:spacing w:after="240" w:line="360" w:lineRule="auto"/>
        <w:jc w:val="both"/>
        <w:rPr>
          <w:rFonts w:asciiTheme="minorHAnsi" w:hAnsiTheme="minorHAnsi"/>
        </w:rPr>
      </w:pPr>
      <w:r w:rsidRPr="00AB315F">
        <w:rPr>
          <w:rFonts w:asciiTheme="minorHAnsi" w:hAnsiTheme="minorHAnsi"/>
        </w:rPr>
        <w:tab/>
        <w:t>Assim, numa tentativa de buscar evidências de validação discriminante usa-se a base de dados do Barômetro das Américas, a qual possui itens de resposta referentes a prática de subornar ou oferecer propina e outros indicadores alternativos</w:t>
      </w:r>
      <w:r w:rsidR="00AD6B24" w:rsidRPr="00AB315F">
        <w:rPr>
          <w:rFonts w:asciiTheme="minorHAnsi" w:hAnsiTheme="minorHAnsi"/>
        </w:rPr>
        <w:t>,</w:t>
      </w:r>
      <w:r w:rsidRPr="00AB315F">
        <w:rPr>
          <w:rFonts w:asciiTheme="minorHAnsi" w:hAnsiTheme="minorHAnsi"/>
        </w:rPr>
        <w:t xml:space="preserve"> os quais mensuram outra</w:t>
      </w:r>
      <w:r w:rsidR="005A77B0" w:rsidRPr="00AB315F">
        <w:rPr>
          <w:rFonts w:asciiTheme="minorHAnsi" w:hAnsiTheme="minorHAnsi"/>
        </w:rPr>
        <w:t>s</w:t>
      </w:r>
      <w:r w:rsidRPr="00AB315F">
        <w:rPr>
          <w:rFonts w:asciiTheme="minorHAnsi" w:hAnsiTheme="minorHAnsi"/>
        </w:rPr>
        <w:t xml:space="preserve"> </w:t>
      </w:r>
      <w:r w:rsidR="005A77B0" w:rsidRPr="00AB315F">
        <w:rPr>
          <w:rFonts w:asciiTheme="minorHAnsi" w:hAnsiTheme="minorHAnsi"/>
        </w:rPr>
        <w:t>dimensões</w:t>
      </w:r>
      <w:r w:rsidRPr="00AB315F">
        <w:rPr>
          <w:rFonts w:asciiTheme="minorHAnsi" w:hAnsiTheme="minorHAnsi"/>
        </w:rPr>
        <w:t xml:space="preserve"> da tolerância</w:t>
      </w:r>
      <w:r w:rsidR="005A77B0" w:rsidRPr="00AB315F">
        <w:rPr>
          <w:rFonts w:asciiTheme="minorHAnsi" w:hAnsiTheme="minorHAnsi"/>
        </w:rPr>
        <w:t xml:space="preserve">. </w:t>
      </w:r>
    </w:p>
    <w:p w14:paraId="2745A5DB" w14:textId="77777777" w:rsidR="009E34DB" w:rsidRDefault="006A6DFC" w:rsidP="005A7075">
      <w:pPr>
        <w:spacing w:after="240" w:line="360" w:lineRule="auto"/>
        <w:ind w:firstLine="708"/>
        <w:jc w:val="both"/>
        <w:rPr>
          <w:rFonts w:asciiTheme="minorHAnsi" w:hAnsiTheme="minorHAnsi"/>
        </w:rPr>
      </w:pPr>
      <w:r w:rsidRPr="00AB315F">
        <w:rPr>
          <w:rFonts w:asciiTheme="minorHAnsi" w:hAnsiTheme="minorHAnsi"/>
        </w:rPr>
        <w:t>A intenção é buscar evidências de divergência entre indicadores observáveis de aceitação da corrupção no cotidiano</w:t>
      </w:r>
      <w:r w:rsidR="00712AD9">
        <w:rPr>
          <w:rFonts w:asciiTheme="minorHAnsi" w:hAnsiTheme="minorHAnsi"/>
        </w:rPr>
        <w:t xml:space="preserve"> (propina) da base de dados do Barômetro das Américas</w:t>
      </w:r>
      <w:r w:rsidRPr="00AB315F">
        <w:rPr>
          <w:rFonts w:asciiTheme="minorHAnsi" w:hAnsiTheme="minorHAnsi"/>
        </w:rPr>
        <w:t xml:space="preserve"> e indicadores observáveis alternativos de outras dimensões da aceitação. </w:t>
      </w:r>
    </w:p>
    <w:p w14:paraId="67C3A087" w14:textId="6DD036D0" w:rsidR="009E34DB" w:rsidRPr="00AB315F" w:rsidRDefault="006A6DFC" w:rsidP="009E34DB">
      <w:pPr>
        <w:spacing w:after="240" w:line="360" w:lineRule="auto"/>
        <w:ind w:firstLine="708"/>
        <w:jc w:val="both"/>
        <w:rPr>
          <w:rFonts w:asciiTheme="minorHAnsi" w:hAnsiTheme="minorHAnsi"/>
        </w:rPr>
      </w:pPr>
      <w:r w:rsidRPr="00AB315F">
        <w:rPr>
          <w:rFonts w:asciiTheme="minorHAnsi" w:hAnsiTheme="minorHAnsi"/>
        </w:rPr>
        <w:t xml:space="preserve">A base de dados do Barômetro das Américas possui alguns indicadores alternativos de outras dimensões da </w:t>
      </w:r>
      <w:r w:rsidR="00AD6B24" w:rsidRPr="00AB315F">
        <w:rPr>
          <w:rFonts w:asciiTheme="minorHAnsi" w:hAnsiTheme="minorHAnsi"/>
        </w:rPr>
        <w:t>tolerância à corrupção, além do item</w:t>
      </w:r>
      <w:r w:rsidRPr="00AB315F">
        <w:rPr>
          <w:rFonts w:asciiTheme="minorHAnsi" w:hAnsiTheme="minorHAnsi"/>
        </w:rPr>
        <w:t xml:space="preserve"> referente à permissividade da prática de oferecer propina – aceitação no cotidiano</w:t>
      </w:r>
      <w:r w:rsidR="001E6999" w:rsidRPr="00AB315F">
        <w:rPr>
          <w:rFonts w:asciiTheme="minorHAnsi" w:hAnsiTheme="minorHAnsi"/>
        </w:rPr>
        <w:t xml:space="preserve"> – o qual representa, com devidas limitações,</w:t>
      </w:r>
      <w:r w:rsidR="00AD6B24" w:rsidRPr="00AB315F">
        <w:rPr>
          <w:rFonts w:asciiTheme="minorHAnsi" w:hAnsiTheme="minorHAnsi"/>
        </w:rPr>
        <w:t xml:space="preserve"> uma dimensão subjacente a</w:t>
      </w:r>
      <w:r w:rsidR="001E6999" w:rsidRPr="00AB315F">
        <w:rPr>
          <w:rFonts w:asciiTheme="minorHAnsi" w:hAnsiTheme="minorHAnsi"/>
        </w:rPr>
        <w:t>os quatro indicadores observáveis que refletem a medida de Aceitação da Corrupção</w:t>
      </w:r>
      <w:r w:rsidRPr="00AB315F">
        <w:rPr>
          <w:rFonts w:asciiTheme="minorHAnsi" w:hAnsiTheme="minorHAnsi"/>
        </w:rPr>
        <w:t>.</w:t>
      </w:r>
      <w:r w:rsidR="009E34DB">
        <w:rPr>
          <w:rFonts w:asciiTheme="minorHAnsi" w:hAnsiTheme="minorHAnsi"/>
        </w:rPr>
        <w:t xml:space="preserve"> Os indicadores alternativos representam duas dimensões do fenômeno da corrupção: o “rouba mas faz” e a “compra de votos”. </w:t>
      </w:r>
    </w:p>
    <w:p w14:paraId="01D3CC3E" w14:textId="6FEF65CD" w:rsidR="00A66C17" w:rsidRDefault="00AD6B24" w:rsidP="005A7075">
      <w:pPr>
        <w:spacing w:after="240" w:line="360" w:lineRule="auto"/>
        <w:ind w:firstLine="708"/>
        <w:jc w:val="both"/>
        <w:rPr>
          <w:rFonts w:asciiTheme="minorHAnsi" w:hAnsiTheme="minorHAnsi"/>
        </w:rPr>
      </w:pPr>
      <w:r w:rsidRPr="00AB315F">
        <w:rPr>
          <w:rFonts w:asciiTheme="minorHAnsi" w:hAnsiTheme="minorHAnsi"/>
        </w:rPr>
        <w:t xml:space="preserve">Esta situação não é a ideal, </w:t>
      </w:r>
      <w:r w:rsidR="009E3FF0">
        <w:rPr>
          <w:rFonts w:asciiTheme="minorHAnsi" w:hAnsiTheme="minorHAnsi"/>
        </w:rPr>
        <w:t>melhor seria analisar a</w:t>
      </w:r>
      <w:r w:rsidR="006A6DFC" w:rsidRPr="00AB315F">
        <w:rPr>
          <w:rFonts w:asciiTheme="minorHAnsi" w:hAnsiTheme="minorHAnsi"/>
        </w:rPr>
        <w:t xml:space="preserve"> validade com todos os quatro itens reflexivos da medida de Aceitação da Corrupção, como não é possível, usamos apenas um – prática de </w:t>
      </w:r>
      <w:r w:rsidRPr="00AB315F">
        <w:rPr>
          <w:rFonts w:asciiTheme="minorHAnsi" w:hAnsiTheme="minorHAnsi"/>
        </w:rPr>
        <w:t>“</w:t>
      </w:r>
      <w:r w:rsidR="006A6DFC" w:rsidRPr="00AB315F">
        <w:rPr>
          <w:rFonts w:asciiTheme="minorHAnsi" w:hAnsiTheme="minorHAnsi"/>
        </w:rPr>
        <w:t>oferecer propina</w:t>
      </w:r>
      <w:r w:rsidRPr="00AB315F">
        <w:rPr>
          <w:rFonts w:asciiTheme="minorHAnsi" w:hAnsiTheme="minorHAnsi"/>
        </w:rPr>
        <w:t>”</w:t>
      </w:r>
      <w:r w:rsidR="006A6DFC" w:rsidRPr="00AB315F">
        <w:rPr>
          <w:rFonts w:asciiTheme="minorHAnsi" w:hAnsiTheme="minorHAnsi"/>
        </w:rPr>
        <w:t xml:space="preserve"> – considerando que ela está correlacionada com os demais – sonegar impostos, evitar tarifa de transporte e receber benefícios do governo sem ter diretos a eles.</w:t>
      </w:r>
      <w:r w:rsidR="00712AD9">
        <w:rPr>
          <w:rFonts w:asciiTheme="minorHAnsi" w:hAnsiTheme="minorHAnsi"/>
        </w:rPr>
        <w:t xml:space="preserve"> </w:t>
      </w:r>
      <w:r w:rsidR="005A77B0" w:rsidRPr="00AB315F">
        <w:rPr>
          <w:rFonts w:asciiTheme="minorHAnsi" w:hAnsiTheme="minorHAnsi"/>
        </w:rPr>
        <w:t>Abaixo todos os indicadores</w:t>
      </w:r>
      <w:r w:rsidR="006A6DFC" w:rsidRPr="00AB315F">
        <w:rPr>
          <w:rFonts w:asciiTheme="minorHAnsi" w:hAnsiTheme="minorHAnsi"/>
        </w:rPr>
        <w:t xml:space="preserve"> da base de dados do Barômetro das Américas de 2006</w:t>
      </w:r>
      <w:r w:rsidR="005A77B0" w:rsidRPr="00AB315F">
        <w:rPr>
          <w:rFonts w:asciiTheme="minorHAnsi" w:hAnsiTheme="minorHAnsi"/>
        </w:rPr>
        <w:t>:</w:t>
      </w:r>
      <w:r w:rsidR="00A66C17" w:rsidRPr="00AB315F">
        <w:rPr>
          <w:rFonts w:asciiTheme="minorHAnsi" w:hAnsiTheme="minorHAnsi"/>
        </w:rPr>
        <w:t xml:space="preserve"> </w:t>
      </w:r>
    </w:p>
    <w:p w14:paraId="710FB7ED" w14:textId="19D3A679" w:rsidR="008947A7" w:rsidRPr="008947A7" w:rsidRDefault="008947A7" w:rsidP="008947A7">
      <w:pPr>
        <w:spacing w:after="240" w:line="360" w:lineRule="auto"/>
        <w:ind w:firstLine="708"/>
        <w:jc w:val="center"/>
        <w:rPr>
          <w:rFonts w:asciiTheme="minorHAnsi" w:hAnsiTheme="minorHAnsi"/>
          <w:b/>
        </w:rPr>
      </w:pPr>
      <w:r w:rsidRPr="008947A7">
        <w:rPr>
          <w:rFonts w:asciiTheme="minorHAnsi" w:hAnsiTheme="minorHAnsi"/>
          <w:b/>
        </w:rPr>
        <w:lastRenderedPageBreak/>
        <w:t xml:space="preserve">Tabela </w:t>
      </w:r>
      <w:r w:rsidR="00021DE4">
        <w:rPr>
          <w:rFonts w:asciiTheme="minorHAnsi" w:hAnsiTheme="minorHAnsi"/>
          <w:b/>
        </w:rPr>
        <w:t>5</w:t>
      </w:r>
      <w:r w:rsidRPr="008947A7">
        <w:rPr>
          <w:rFonts w:asciiTheme="minorHAnsi" w:hAnsiTheme="minorHAnsi"/>
          <w:b/>
        </w:rPr>
        <w:t xml:space="preserve">. Descrição dos indicadores </w:t>
      </w:r>
      <w:r w:rsidR="001734FD">
        <w:rPr>
          <w:rFonts w:asciiTheme="minorHAnsi" w:hAnsiTheme="minorHAnsi"/>
          <w:b/>
        </w:rPr>
        <w:t>observáveis divergentes</w:t>
      </w:r>
    </w:p>
    <w:tbl>
      <w:tblPr>
        <w:tblStyle w:val="Tabelacomgrade"/>
        <w:tblW w:w="0" w:type="auto"/>
        <w:tblLook w:val="04A0" w:firstRow="1" w:lastRow="0" w:firstColumn="1" w:lastColumn="0" w:noHBand="0" w:noVBand="1"/>
      </w:tblPr>
      <w:tblGrid>
        <w:gridCol w:w="4106"/>
        <w:gridCol w:w="1134"/>
        <w:gridCol w:w="3254"/>
      </w:tblGrid>
      <w:tr w:rsidR="00712AD9" w:rsidRPr="00AB315F" w14:paraId="14DE361C" w14:textId="77777777" w:rsidTr="008947A7">
        <w:tc>
          <w:tcPr>
            <w:tcW w:w="4106" w:type="dxa"/>
            <w:tcBorders>
              <w:left w:val="nil"/>
              <w:bottom w:val="single" w:sz="4" w:space="0" w:color="auto"/>
            </w:tcBorders>
            <w:vAlign w:val="center"/>
          </w:tcPr>
          <w:p w14:paraId="3EAC3FAC" w14:textId="33879199" w:rsidR="00712AD9" w:rsidRPr="00AB315F" w:rsidRDefault="00712AD9" w:rsidP="005A77B0">
            <w:pPr>
              <w:jc w:val="center"/>
              <w:rPr>
                <w:rFonts w:asciiTheme="minorHAnsi" w:hAnsiTheme="minorHAnsi"/>
                <w:b/>
                <w:sz w:val="20"/>
              </w:rPr>
            </w:pPr>
            <w:r w:rsidRPr="00AB315F">
              <w:rPr>
                <w:rFonts w:asciiTheme="minorHAnsi" w:hAnsiTheme="minorHAnsi"/>
                <w:b/>
                <w:sz w:val="20"/>
              </w:rPr>
              <w:t>Itens</w:t>
            </w:r>
          </w:p>
        </w:tc>
        <w:tc>
          <w:tcPr>
            <w:tcW w:w="1134" w:type="dxa"/>
          </w:tcPr>
          <w:p w14:paraId="412373A2" w14:textId="279097FB" w:rsidR="00712AD9" w:rsidRPr="00AB315F" w:rsidRDefault="00712AD9" w:rsidP="005A77B0">
            <w:pPr>
              <w:jc w:val="center"/>
              <w:rPr>
                <w:rFonts w:asciiTheme="minorHAnsi" w:hAnsiTheme="minorHAnsi"/>
                <w:b/>
                <w:sz w:val="20"/>
              </w:rPr>
            </w:pPr>
            <w:r>
              <w:rPr>
                <w:rFonts w:asciiTheme="minorHAnsi" w:hAnsiTheme="minorHAnsi"/>
                <w:b/>
                <w:sz w:val="20"/>
              </w:rPr>
              <w:t>Legenda</w:t>
            </w:r>
          </w:p>
        </w:tc>
        <w:tc>
          <w:tcPr>
            <w:tcW w:w="3254" w:type="dxa"/>
            <w:tcBorders>
              <w:right w:val="nil"/>
            </w:tcBorders>
            <w:vAlign w:val="center"/>
          </w:tcPr>
          <w:p w14:paraId="711384E5" w14:textId="2AF2D6B4" w:rsidR="00712AD9" w:rsidRPr="00AB315F" w:rsidRDefault="00712AD9" w:rsidP="005A77B0">
            <w:pPr>
              <w:jc w:val="center"/>
              <w:rPr>
                <w:rFonts w:asciiTheme="minorHAnsi" w:hAnsiTheme="minorHAnsi"/>
                <w:b/>
                <w:sz w:val="20"/>
              </w:rPr>
            </w:pPr>
            <w:r w:rsidRPr="00AB315F">
              <w:rPr>
                <w:rFonts w:asciiTheme="minorHAnsi" w:hAnsiTheme="minorHAnsi"/>
                <w:b/>
                <w:sz w:val="20"/>
              </w:rPr>
              <w:t>Escala de respostas</w:t>
            </w:r>
          </w:p>
        </w:tc>
      </w:tr>
      <w:tr w:rsidR="00712AD9" w:rsidRPr="00AB315F" w14:paraId="2070FF1A" w14:textId="77777777" w:rsidTr="008947A7">
        <w:tc>
          <w:tcPr>
            <w:tcW w:w="4106" w:type="dxa"/>
            <w:tcBorders>
              <w:left w:val="nil"/>
            </w:tcBorders>
            <w:vAlign w:val="center"/>
          </w:tcPr>
          <w:p w14:paraId="2BCE9FD2" w14:textId="7EB77B36" w:rsidR="00712AD9" w:rsidRPr="00AB315F" w:rsidRDefault="00712AD9" w:rsidP="00712AD9">
            <w:pPr>
              <w:tabs>
                <w:tab w:val="left" w:pos="29"/>
              </w:tabs>
              <w:jc w:val="center"/>
              <w:rPr>
                <w:rFonts w:asciiTheme="minorHAnsi" w:hAnsiTheme="minorHAnsi"/>
                <w:sz w:val="20"/>
              </w:rPr>
            </w:pPr>
            <w:r w:rsidRPr="00AB315F">
              <w:rPr>
                <w:rFonts w:asciiTheme="minorHAnsi" w:hAnsiTheme="minorHAnsi"/>
                <w:sz w:val="20"/>
              </w:rPr>
              <w:t>“O sr./sra. acha que, da forma como as coisas estão, às vezes se justifica pagar uma propina (suborno)?”</w:t>
            </w:r>
          </w:p>
        </w:tc>
        <w:tc>
          <w:tcPr>
            <w:tcW w:w="1134" w:type="dxa"/>
            <w:vAlign w:val="center"/>
          </w:tcPr>
          <w:p w14:paraId="1859C064" w14:textId="72E880E8"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propina1</w:t>
            </w:r>
          </w:p>
        </w:tc>
        <w:tc>
          <w:tcPr>
            <w:tcW w:w="3254" w:type="dxa"/>
            <w:tcBorders>
              <w:right w:val="nil"/>
            </w:tcBorders>
            <w:vAlign w:val="center"/>
          </w:tcPr>
          <w:p w14:paraId="30C63EBE" w14:textId="0817E931" w:rsidR="00712AD9" w:rsidRPr="00AB315F" w:rsidRDefault="00712AD9" w:rsidP="00712AD9">
            <w:pPr>
              <w:jc w:val="center"/>
              <w:rPr>
                <w:rFonts w:asciiTheme="minorHAnsi" w:hAnsiTheme="minorHAnsi"/>
                <w:sz w:val="20"/>
                <w:u w:val="single"/>
              </w:rPr>
            </w:pPr>
            <w:r w:rsidRPr="00AB315F">
              <w:rPr>
                <w:rFonts w:asciiTheme="minorHAnsi" w:hAnsiTheme="minorHAnsi"/>
                <w:sz w:val="20"/>
                <w:u w:val="single"/>
              </w:rPr>
              <w:t>Dicotômica</w:t>
            </w:r>
          </w:p>
          <w:p w14:paraId="30D6185A" w14:textId="45485059" w:rsidR="00712AD9" w:rsidRPr="00AB315F" w:rsidRDefault="00712AD9" w:rsidP="00712AD9">
            <w:pPr>
              <w:jc w:val="center"/>
              <w:rPr>
                <w:rFonts w:asciiTheme="minorHAnsi" w:hAnsiTheme="minorHAnsi"/>
                <w:sz w:val="20"/>
              </w:rPr>
            </w:pPr>
            <w:r w:rsidRPr="00AB315F">
              <w:rPr>
                <w:rFonts w:asciiTheme="minorHAnsi" w:hAnsiTheme="minorHAnsi"/>
                <w:sz w:val="20"/>
              </w:rPr>
              <w:t>“Sim” ou “Não”</w:t>
            </w:r>
          </w:p>
        </w:tc>
      </w:tr>
      <w:tr w:rsidR="00712AD9" w:rsidRPr="00AB315F" w14:paraId="0B400282" w14:textId="77777777" w:rsidTr="008947A7">
        <w:tc>
          <w:tcPr>
            <w:tcW w:w="4106" w:type="dxa"/>
            <w:tcBorders>
              <w:left w:val="nil"/>
            </w:tcBorders>
            <w:vAlign w:val="center"/>
          </w:tcPr>
          <w:p w14:paraId="29F74A16" w14:textId="4947FEA6" w:rsidR="00712AD9" w:rsidRPr="00AB315F" w:rsidRDefault="00712AD9" w:rsidP="00712AD9">
            <w:pPr>
              <w:jc w:val="center"/>
              <w:rPr>
                <w:rFonts w:asciiTheme="minorHAnsi" w:hAnsiTheme="minorHAnsi"/>
                <w:sz w:val="20"/>
              </w:rPr>
            </w:pPr>
            <w:r w:rsidRPr="00AB315F">
              <w:rPr>
                <w:rFonts w:asciiTheme="minorHAnsi" w:hAnsiTheme="minorHAnsi"/>
                <w:sz w:val="20"/>
              </w:rPr>
              <w:t>“O sr./sra acha que, no Brasil, se justifica pagar propina (suborno) devido aos maus serviços públicos, ou não é justificável?”</w:t>
            </w:r>
          </w:p>
        </w:tc>
        <w:tc>
          <w:tcPr>
            <w:tcW w:w="1134" w:type="dxa"/>
            <w:vAlign w:val="center"/>
          </w:tcPr>
          <w:p w14:paraId="30804E1D" w14:textId="5CA6290F"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propina2</w:t>
            </w:r>
          </w:p>
        </w:tc>
        <w:tc>
          <w:tcPr>
            <w:tcW w:w="3254" w:type="dxa"/>
            <w:tcBorders>
              <w:right w:val="nil"/>
            </w:tcBorders>
            <w:vAlign w:val="center"/>
          </w:tcPr>
          <w:p w14:paraId="0A9037FA" w14:textId="463669A9" w:rsidR="00712AD9" w:rsidRPr="00AB315F" w:rsidRDefault="00712AD9" w:rsidP="00712AD9">
            <w:pPr>
              <w:jc w:val="center"/>
              <w:rPr>
                <w:rFonts w:asciiTheme="minorHAnsi" w:hAnsiTheme="minorHAnsi"/>
                <w:sz w:val="20"/>
                <w:u w:val="single"/>
              </w:rPr>
            </w:pPr>
            <w:r w:rsidRPr="00AB315F">
              <w:rPr>
                <w:rFonts w:asciiTheme="minorHAnsi" w:hAnsiTheme="minorHAnsi"/>
                <w:sz w:val="20"/>
                <w:u w:val="single"/>
              </w:rPr>
              <w:t>Dicotômica</w:t>
            </w:r>
          </w:p>
          <w:p w14:paraId="0EE1E5F8" w14:textId="3A0B0C91" w:rsidR="00712AD9" w:rsidRPr="00AB315F" w:rsidRDefault="00712AD9" w:rsidP="00712AD9">
            <w:pPr>
              <w:jc w:val="center"/>
              <w:rPr>
                <w:rFonts w:asciiTheme="minorHAnsi" w:hAnsiTheme="minorHAnsi"/>
                <w:sz w:val="20"/>
              </w:rPr>
            </w:pPr>
            <w:r w:rsidRPr="00AB315F">
              <w:rPr>
                <w:rFonts w:asciiTheme="minorHAnsi" w:hAnsiTheme="minorHAnsi"/>
                <w:sz w:val="20"/>
              </w:rPr>
              <w:t>“Sim” ou “Não”</w:t>
            </w:r>
          </w:p>
        </w:tc>
      </w:tr>
      <w:tr w:rsidR="00712AD9" w:rsidRPr="00AB315F" w14:paraId="612723CE" w14:textId="77777777" w:rsidTr="008947A7">
        <w:tc>
          <w:tcPr>
            <w:tcW w:w="4106" w:type="dxa"/>
            <w:tcBorders>
              <w:left w:val="nil"/>
            </w:tcBorders>
            <w:vAlign w:val="center"/>
          </w:tcPr>
          <w:p w14:paraId="31ACFD89" w14:textId="56339AAD" w:rsidR="00712AD9" w:rsidRPr="00AB315F" w:rsidRDefault="00712AD9" w:rsidP="00712AD9">
            <w:pPr>
              <w:jc w:val="center"/>
              <w:rPr>
                <w:rFonts w:asciiTheme="minorHAnsi" w:hAnsiTheme="minorHAnsi"/>
                <w:sz w:val="20"/>
              </w:rPr>
            </w:pPr>
            <w:r w:rsidRPr="00AB315F">
              <w:rPr>
                <w:rFonts w:asciiTheme="minorHAnsi" w:hAnsiTheme="minorHAnsi"/>
                <w:sz w:val="20"/>
              </w:rPr>
              <w:t>“Não faz diferença se um político rouba ou não, o importante é que ele faça as coisas que a população precisa.”</w:t>
            </w:r>
          </w:p>
        </w:tc>
        <w:tc>
          <w:tcPr>
            <w:tcW w:w="1134" w:type="dxa"/>
            <w:vAlign w:val="center"/>
          </w:tcPr>
          <w:p w14:paraId="7CEEA9FE" w14:textId="6D820A20"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rmf1</w:t>
            </w:r>
          </w:p>
        </w:tc>
        <w:tc>
          <w:tcPr>
            <w:tcW w:w="3254" w:type="dxa"/>
            <w:tcBorders>
              <w:right w:val="nil"/>
            </w:tcBorders>
            <w:vAlign w:val="center"/>
          </w:tcPr>
          <w:p w14:paraId="68B3EB83" w14:textId="77777777" w:rsidR="009E34DB" w:rsidRPr="00AB315F" w:rsidRDefault="009E34DB" w:rsidP="009E34DB">
            <w:pPr>
              <w:jc w:val="center"/>
              <w:rPr>
                <w:rFonts w:asciiTheme="minorHAnsi" w:hAnsiTheme="minorHAnsi"/>
                <w:sz w:val="20"/>
                <w:u w:val="single"/>
              </w:rPr>
            </w:pPr>
            <w:r w:rsidRPr="00AB315F">
              <w:rPr>
                <w:rFonts w:asciiTheme="minorHAnsi" w:hAnsiTheme="minorHAnsi"/>
                <w:sz w:val="20"/>
                <w:u w:val="single"/>
              </w:rPr>
              <w:t>Dicotômica</w:t>
            </w:r>
          </w:p>
          <w:p w14:paraId="1AAA9B46" w14:textId="595EEFA2" w:rsidR="00712AD9" w:rsidRPr="00AB315F" w:rsidRDefault="009E34DB" w:rsidP="009E34DB">
            <w:pPr>
              <w:jc w:val="center"/>
              <w:rPr>
                <w:rFonts w:asciiTheme="minorHAnsi" w:hAnsiTheme="minorHAnsi"/>
                <w:sz w:val="20"/>
              </w:rPr>
            </w:pPr>
            <w:r w:rsidRPr="00AB315F">
              <w:rPr>
                <w:rFonts w:asciiTheme="minorHAnsi" w:hAnsiTheme="minorHAnsi"/>
                <w:sz w:val="20"/>
              </w:rPr>
              <w:t xml:space="preserve"> </w:t>
            </w:r>
            <w:r w:rsidR="00712AD9" w:rsidRPr="00AB315F">
              <w:rPr>
                <w:rFonts w:asciiTheme="minorHAnsi" w:hAnsiTheme="minorHAnsi"/>
                <w:sz w:val="20"/>
              </w:rPr>
              <w:t>“Discorda</w:t>
            </w:r>
            <w:r>
              <w:rPr>
                <w:rFonts w:asciiTheme="minorHAnsi" w:hAnsiTheme="minorHAnsi"/>
                <w:sz w:val="20"/>
              </w:rPr>
              <w:t>/Discorda muita</w:t>
            </w:r>
            <w:r w:rsidR="00712AD9" w:rsidRPr="00AB315F">
              <w:rPr>
                <w:rFonts w:asciiTheme="minorHAnsi" w:hAnsiTheme="minorHAnsi"/>
                <w:sz w:val="20"/>
              </w:rPr>
              <w:t>”,</w:t>
            </w:r>
          </w:p>
          <w:p w14:paraId="54872F1C" w14:textId="0BD0C220" w:rsidR="00712AD9" w:rsidRPr="00AB315F" w:rsidRDefault="00712AD9" w:rsidP="009E34DB">
            <w:pPr>
              <w:jc w:val="center"/>
              <w:rPr>
                <w:rFonts w:asciiTheme="minorHAnsi" w:hAnsiTheme="minorHAnsi"/>
                <w:sz w:val="20"/>
              </w:rPr>
            </w:pPr>
            <w:r w:rsidRPr="00AB315F">
              <w:rPr>
                <w:rFonts w:asciiTheme="minorHAnsi" w:hAnsiTheme="minorHAnsi"/>
                <w:sz w:val="20"/>
              </w:rPr>
              <w:t>”</w:t>
            </w:r>
            <w:r w:rsidR="009E34DB">
              <w:rPr>
                <w:rFonts w:asciiTheme="minorHAnsi" w:hAnsiTheme="minorHAnsi"/>
                <w:sz w:val="20"/>
              </w:rPr>
              <w:t xml:space="preserve"> Concorda/</w:t>
            </w:r>
            <w:r w:rsidRPr="00AB315F">
              <w:rPr>
                <w:rFonts w:asciiTheme="minorHAnsi" w:hAnsiTheme="minorHAnsi"/>
                <w:sz w:val="20"/>
              </w:rPr>
              <w:t>Concorda muito”</w:t>
            </w:r>
          </w:p>
        </w:tc>
      </w:tr>
      <w:tr w:rsidR="00712AD9" w:rsidRPr="00AB315F" w14:paraId="52B83BA3" w14:textId="77777777" w:rsidTr="008947A7">
        <w:tc>
          <w:tcPr>
            <w:tcW w:w="4106" w:type="dxa"/>
            <w:tcBorders>
              <w:left w:val="nil"/>
            </w:tcBorders>
            <w:vAlign w:val="center"/>
          </w:tcPr>
          <w:p w14:paraId="35957F7C" w14:textId="277B9F3F" w:rsidR="00712AD9" w:rsidRPr="00AB315F" w:rsidRDefault="00712AD9" w:rsidP="00712AD9">
            <w:pPr>
              <w:jc w:val="center"/>
              <w:rPr>
                <w:rFonts w:asciiTheme="minorHAnsi" w:hAnsiTheme="minorHAnsi"/>
                <w:sz w:val="20"/>
              </w:rPr>
            </w:pPr>
            <w:r w:rsidRPr="00AB315F">
              <w:rPr>
                <w:rFonts w:asciiTheme="minorHAnsi" w:hAnsiTheme="minorHAnsi"/>
                <w:sz w:val="20"/>
              </w:rPr>
              <w:t>“É melhor um político que faça muitas obras, mesmo que roube um pouco, do que um político que faça poucas obras e não roube nada.”</w:t>
            </w:r>
          </w:p>
        </w:tc>
        <w:tc>
          <w:tcPr>
            <w:tcW w:w="1134" w:type="dxa"/>
            <w:vAlign w:val="center"/>
          </w:tcPr>
          <w:p w14:paraId="731F5076" w14:textId="30CB5A1F"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rmf2</w:t>
            </w:r>
          </w:p>
        </w:tc>
        <w:tc>
          <w:tcPr>
            <w:tcW w:w="3254" w:type="dxa"/>
            <w:tcBorders>
              <w:right w:val="nil"/>
            </w:tcBorders>
            <w:vAlign w:val="center"/>
          </w:tcPr>
          <w:p w14:paraId="642B5409" w14:textId="77777777" w:rsidR="009E34DB" w:rsidRPr="00AB315F" w:rsidRDefault="009E34DB" w:rsidP="009E34DB">
            <w:pPr>
              <w:jc w:val="center"/>
              <w:rPr>
                <w:rFonts w:asciiTheme="minorHAnsi" w:hAnsiTheme="minorHAnsi"/>
                <w:sz w:val="20"/>
                <w:u w:val="single"/>
              </w:rPr>
            </w:pPr>
            <w:r w:rsidRPr="00AB315F">
              <w:rPr>
                <w:rFonts w:asciiTheme="minorHAnsi" w:hAnsiTheme="minorHAnsi"/>
                <w:sz w:val="20"/>
                <w:u w:val="single"/>
              </w:rPr>
              <w:t>Dicotômica</w:t>
            </w:r>
          </w:p>
          <w:p w14:paraId="6D43C006" w14:textId="77777777" w:rsidR="009E34DB" w:rsidRPr="00AB315F" w:rsidRDefault="009E34DB" w:rsidP="009E34DB">
            <w:pPr>
              <w:jc w:val="center"/>
              <w:rPr>
                <w:rFonts w:asciiTheme="minorHAnsi" w:hAnsiTheme="minorHAnsi"/>
                <w:sz w:val="20"/>
              </w:rPr>
            </w:pPr>
            <w:r w:rsidRPr="00AB315F">
              <w:rPr>
                <w:rFonts w:asciiTheme="minorHAnsi" w:hAnsiTheme="minorHAnsi"/>
                <w:sz w:val="20"/>
              </w:rPr>
              <w:t xml:space="preserve"> “Discorda</w:t>
            </w:r>
            <w:r>
              <w:rPr>
                <w:rFonts w:asciiTheme="minorHAnsi" w:hAnsiTheme="minorHAnsi"/>
                <w:sz w:val="20"/>
              </w:rPr>
              <w:t>/Discorda muita</w:t>
            </w:r>
            <w:r w:rsidRPr="00AB315F">
              <w:rPr>
                <w:rFonts w:asciiTheme="minorHAnsi" w:hAnsiTheme="minorHAnsi"/>
                <w:sz w:val="20"/>
              </w:rPr>
              <w:t>”,</w:t>
            </w:r>
          </w:p>
          <w:p w14:paraId="4348963B" w14:textId="5B2A8F74" w:rsidR="00712AD9" w:rsidRPr="00AB315F" w:rsidRDefault="009E34DB" w:rsidP="009E34DB">
            <w:pPr>
              <w:jc w:val="center"/>
              <w:rPr>
                <w:rFonts w:asciiTheme="minorHAnsi" w:hAnsiTheme="minorHAnsi"/>
                <w:sz w:val="20"/>
              </w:rPr>
            </w:pPr>
            <w:r w:rsidRPr="00AB315F">
              <w:rPr>
                <w:rFonts w:asciiTheme="minorHAnsi" w:hAnsiTheme="minorHAnsi"/>
                <w:sz w:val="20"/>
              </w:rPr>
              <w:t>”</w:t>
            </w:r>
            <w:r>
              <w:rPr>
                <w:rFonts w:asciiTheme="minorHAnsi" w:hAnsiTheme="minorHAnsi"/>
                <w:sz w:val="20"/>
              </w:rPr>
              <w:t xml:space="preserve"> Concorda/</w:t>
            </w:r>
            <w:r w:rsidRPr="00AB315F">
              <w:rPr>
                <w:rFonts w:asciiTheme="minorHAnsi" w:hAnsiTheme="minorHAnsi"/>
                <w:sz w:val="20"/>
              </w:rPr>
              <w:t>Concorda muito”</w:t>
            </w:r>
          </w:p>
        </w:tc>
      </w:tr>
      <w:tr w:rsidR="00712AD9" w:rsidRPr="00AB315F" w14:paraId="3796896D" w14:textId="77777777" w:rsidTr="008947A7">
        <w:tc>
          <w:tcPr>
            <w:tcW w:w="4106" w:type="dxa"/>
            <w:tcBorders>
              <w:left w:val="nil"/>
            </w:tcBorders>
            <w:vAlign w:val="center"/>
          </w:tcPr>
          <w:p w14:paraId="00D4ACC4" w14:textId="77FFAF64" w:rsidR="00712AD9" w:rsidRPr="00AB315F" w:rsidRDefault="00712AD9" w:rsidP="00712AD9">
            <w:pPr>
              <w:jc w:val="center"/>
              <w:rPr>
                <w:rFonts w:asciiTheme="minorHAnsi" w:hAnsiTheme="minorHAnsi"/>
                <w:sz w:val="20"/>
              </w:rPr>
            </w:pPr>
            <w:r w:rsidRPr="00AB315F">
              <w:rPr>
                <w:rFonts w:asciiTheme="minorHAnsi" w:hAnsiTheme="minorHAnsi"/>
                <w:sz w:val="20"/>
              </w:rPr>
              <w:t>“Um político que faz muito e que rouba um pouco merece o voto da população.”</w:t>
            </w:r>
          </w:p>
        </w:tc>
        <w:tc>
          <w:tcPr>
            <w:tcW w:w="1134" w:type="dxa"/>
            <w:vAlign w:val="center"/>
          </w:tcPr>
          <w:p w14:paraId="312BD173" w14:textId="044D31B4"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rmf3</w:t>
            </w:r>
          </w:p>
        </w:tc>
        <w:tc>
          <w:tcPr>
            <w:tcW w:w="3254" w:type="dxa"/>
            <w:tcBorders>
              <w:right w:val="nil"/>
            </w:tcBorders>
            <w:vAlign w:val="center"/>
          </w:tcPr>
          <w:p w14:paraId="241DD726" w14:textId="77777777" w:rsidR="009E34DB" w:rsidRPr="00AB315F" w:rsidRDefault="009E34DB" w:rsidP="009E34DB">
            <w:pPr>
              <w:jc w:val="center"/>
              <w:rPr>
                <w:rFonts w:asciiTheme="minorHAnsi" w:hAnsiTheme="minorHAnsi"/>
                <w:sz w:val="20"/>
                <w:u w:val="single"/>
              </w:rPr>
            </w:pPr>
            <w:r w:rsidRPr="00AB315F">
              <w:rPr>
                <w:rFonts w:asciiTheme="minorHAnsi" w:hAnsiTheme="minorHAnsi"/>
                <w:sz w:val="20"/>
                <w:u w:val="single"/>
              </w:rPr>
              <w:t>Dicotômica</w:t>
            </w:r>
          </w:p>
          <w:p w14:paraId="27D3975C" w14:textId="77777777" w:rsidR="009E34DB" w:rsidRPr="00AB315F" w:rsidRDefault="009E34DB" w:rsidP="009E34DB">
            <w:pPr>
              <w:jc w:val="center"/>
              <w:rPr>
                <w:rFonts w:asciiTheme="minorHAnsi" w:hAnsiTheme="minorHAnsi"/>
                <w:sz w:val="20"/>
              </w:rPr>
            </w:pPr>
            <w:r w:rsidRPr="00AB315F">
              <w:rPr>
                <w:rFonts w:asciiTheme="minorHAnsi" w:hAnsiTheme="minorHAnsi"/>
                <w:sz w:val="20"/>
              </w:rPr>
              <w:t xml:space="preserve"> “Discorda</w:t>
            </w:r>
            <w:r>
              <w:rPr>
                <w:rFonts w:asciiTheme="minorHAnsi" w:hAnsiTheme="minorHAnsi"/>
                <w:sz w:val="20"/>
              </w:rPr>
              <w:t>/Discorda muita</w:t>
            </w:r>
            <w:r w:rsidRPr="00AB315F">
              <w:rPr>
                <w:rFonts w:asciiTheme="minorHAnsi" w:hAnsiTheme="minorHAnsi"/>
                <w:sz w:val="20"/>
              </w:rPr>
              <w:t>”,</w:t>
            </w:r>
          </w:p>
          <w:p w14:paraId="79F498CA" w14:textId="7B6273FE" w:rsidR="00712AD9" w:rsidRPr="00AB315F" w:rsidRDefault="009E34DB" w:rsidP="009E34DB">
            <w:pPr>
              <w:jc w:val="center"/>
              <w:rPr>
                <w:rFonts w:asciiTheme="minorHAnsi" w:hAnsiTheme="minorHAnsi"/>
                <w:sz w:val="20"/>
              </w:rPr>
            </w:pPr>
            <w:r w:rsidRPr="00AB315F">
              <w:rPr>
                <w:rFonts w:asciiTheme="minorHAnsi" w:hAnsiTheme="minorHAnsi"/>
                <w:sz w:val="20"/>
              </w:rPr>
              <w:t>”</w:t>
            </w:r>
            <w:r>
              <w:rPr>
                <w:rFonts w:asciiTheme="minorHAnsi" w:hAnsiTheme="minorHAnsi"/>
                <w:sz w:val="20"/>
              </w:rPr>
              <w:t xml:space="preserve"> Concorda/</w:t>
            </w:r>
            <w:r w:rsidRPr="00AB315F">
              <w:rPr>
                <w:rFonts w:asciiTheme="minorHAnsi" w:hAnsiTheme="minorHAnsi"/>
                <w:sz w:val="20"/>
              </w:rPr>
              <w:t>Concorda muito”</w:t>
            </w:r>
          </w:p>
        </w:tc>
      </w:tr>
      <w:tr w:rsidR="00712AD9" w:rsidRPr="00AB315F" w14:paraId="56987C9E" w14:textId="77777777" w:rsidTr="008947A7">
        <w:tc>
          <w:tcPr>
            <w:tcW w:w="4106" w:type="dxa"/>
            <w:tcBorders>
              <w:left w:val="nil"/>
            </w:tcBorders>
            <w:vAlign w:val="center"/>
          </w:tcPr>
          <w:p w14:paraId="2522EC59" w14:textId="34403774" w:rsidR="00712AD9" w:rsidRPr="00AB315F" w:rsidRDefault="00712AD9" w:rsidP="00712AD9">
            <w:pPr>
              <w:jc w:val="center"/>
              <w:rPr>
                <w:rFonts w:asciiTheme="minorHAnsi" w:hAnsiTheme="minorHAnsi"/>
                <w:sz w:val="20"/>
              </w:rPr>
            </w:pPr>
            <w:r w:rsidRPr="00AB315F">
              <w:rPr>
                <w:rFonts w:asciiTheme="minorHAnsi" w:hAnsiTheme="minorHAnsi"/>
                <w:sz w:val="20"/>
              </w:rPr>
              <w:t>“Um político que faz um bom governo deve poder desviar dinheiro público para financiar sua campanha eleitoral.”</w:t>
            </w:r>
          </w:p>
        </w:tc>
        <w:tc>
          <w:tcPr>
            <w:tcW w:w="1134" w:type="dxa"/>
            <w:vAlign w:val="center"/>
          </w:tcPr>
          <w:p w14:paraId="4B3B4EBD" w14:textId="20788316"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rmf4</w:t>
            </w:r>
          </w:p>
        </w:tc>
        <w:tc>
          <w:tcPr>
            <w:tcW w:w="3254" w:type="dxa"/>
            <w:tcBorders>
              <w:right w:val="nil"/>
            </w:tcBorders>
            <w:vAlign w:val="center"/>
          </w:tcPr>
          <w:p w14:paraId="6CAF7B88" w14:textId="77777777" w:rsidR="009E34DB" w:rsidRPr="00AB315F" w:rsidRDefault="009E34DB" w:rsidP="009E34DB">
            <w:pPr>
              <w:jc w:val="center"/>
              <w:rPr>
                <w:rFonts w:asciiTheme="minorHAnsi" w:hAnsiTheme="minorHAnsi"/>
                <w:sz w:val="20"/>
                <w:u w:val="single"/>
              </w:rPr>
            </w:pPr>
            <w:r w:rsidRPr="00AB315F">
              <w:rPr>
                <w:rFonts w:asciiTheme="minorHAnsi" w:hAnsiTheme="minorHAnsi"/>
                <w:sz w:val="20"/>
                <w:u w:val="single"/>
              </w:rPr>
              <w:t>Dicotômica</w:t>
            </w:r>
          </w:p>
          <w:p w14:paraId="2322FF01" w14:textId="77777777" w:rsidR="009E34DB" w:rsidRPr="00AB315F" w:rsidRDefault="009E34DB" w:rsidP="009E34DB">
            <w:pPr>
              <w:jc w:val="center"/>
              <w:rPr>
                <w:rFonts w:asciiTheme="minorHAnsi" w:hAnsiTheme="minorHAnsi"/>
                <w:sz w:val="20"/>
              </w:rPr>
            </w:pPr>
            <w:r w:rsidRPr="00AB315F">
              <w:rPr>
                <w:rFonts w:asciiTheme="minorHAnsi" w:hAnsiTheme="minorHAnsi"/>
                <w:sz w:val="20"/>
              </w:rPr>
              <w:t xml:space="preserve"> “Discorda</w:t>
            </w:r>
            <w:r>
              <w:rPr>
                <w:rFonts w:asciiTheme="minorHAnsi" w:hAnsiTheme="minorHAnsi"/>
                <w:sz w:val="20"/>
              </w:rPr>
              <w:t>/Discorda muita</w:t>
            </w:r>
            <w:r w:rsidRPr="00AB315F">
              <w:rPr>
                <w:rFonts w:asciiTheme="minorHAnsi" w:hAnsiTheme="minorHAnsi"/>
                <w:sz w:val="20"/>
              </w:rPr>
              <w:t>”,</w:t>
            </w:r>
          </w:p>
          <w:p w14:paraId="47D1CC54" w14:textId="109D80BD" w:rsidR="00712AD9" w:rsidRPr="00AB315F" w:rsidRDefault="009E34DB" w:rsidP="009E34DB">
            <w:pPr>
              <w:jc w:val="center"/>
              <w:rPr>
                <w:rFonts w:asciiTheme="minorHAnsi" w:hAnsiTheme="minorHAnsi"/>
                <w:sz w:val="20"/>
              </w:rPr>
            </w:pPr>
            <w:r w:rsidRPr="00AB315F">
              <w:rPr>
                <w:rFonts w:asciiTheme="minorHAnsi" w:hAnsiTheme="minorHAnsi"/>
                <w:sz w:val="20"/>
              </w:rPr>
              <w:t>”</w:t>
            </w:r>
            <w:r>
              <w:rPr>
                <w:rFonts w:asciiTheme="minorHAnsi" w:hAnsiTheme="minorHAnsi"/>
                <w:sz w:val="20"/>
              </w:rPr>
              <w:t xml:space="preserve"> Concorda/</w:t>
            </w:r>
            <w:r w:rsidRPr="00AB315F">
              <w:rPr>
                <w:rFonts w:asciiTheme="minorHAnsi" w:hAnsiTheme="minorHAnsi"/>
                <w:sz w:val="20"/>
              </w:rPr>
              <w:t>Concorda muito”</w:t>
            </w:r>
          </w:p>
        </w:tc>
      </w:tr>
      <w:tr w:rsidR="00712AD9" w:rsidRPr="00AB315F" w14:paraId="733646CB" w14:textId="77777777" w:rsidTr="008947A7">
        <w:tc>
          <w:tcPr>
            <w:tcW w:w="4106" w:type="dxa"/>
            <w:tcBorders>
              <w:left w:val="nil"/>
            </w:tcBorders>
            <w:vAlign w:val="center"/>
          </w:tcPr>
          <w:p w14:paraId="32F1ABE4" w14:textId="1DF0E2A5" w:rsidR="00712AD9" w:rsidRPr="00AB315F" w:rsidRDefault="00712AD9" w:rsidP="00712AD9">
            <w:pPr>
              <w:jc w:val="center"/>
              <w:rPr>
                <w:rFonts w:asciiTheme="minorHAnsi" w:hAnsiTheme="minorHAnsi"/>
                <w:sz w:val="20"/>
              </w:rPr>
            </w:pPr>
            <w:r w:rsidRPr="00AB315F">
              <w:rPr>
                <w:rFonts w:asciiTheme="minorHAnsi" w:hAnsiTheme="minorHAnsi"/>
                <w:sz w:val="20"/>
              </w:rPr>
              <w:t>“É melhor resolver rapidamente um problema da população, mesmo que para isso seja preciso pagar por fora.”</w:t>
            </w:r>
          </w:p>
        </w:tc>
        <w:tc>
          <w:tcPr>
            <w:tcW w:w="1134" w:type="dxa"/>
            <w:vAlign w:val="center"/>
          </w:tcPr>
          <w:p w14:paraId="250A9469" w14:textId="4A499B6A"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rmf5</w:t>
            </w:r>
          </w:p>
        </w:tc>
        <w:tc>
          <w:tcPr>
            <w:tcW w:w="3254" w:type="dxa"/>
            <w:tcBorders>
              <w:right w:val="nil"/>
            </w:tcBorders>
            <w:vAlign w:val="center"/>
          </w:tcPr>
          <w:p w14:paraId="645CCEFF" w14:textId="77777777" w:rsidR="009E34DB" w:rsidRPr="00AB315F" w:rsidRDefault="009E34DB" w:rsidP="009E34DB">
            <w:pPr>
              <w:jc w:val="center"/>
              <w:rPr>
                <w:rFonts w:asciiTheme="minorHAnsi" w:hAnsiTheme="minorHAnsi"/>
                <w:sz w:val="20"/>
                <w:u w:val="single"/>
              </w:rPr>
            </w:pPr>
            <w:r w:rsidRPr="00AB315F">
              <w:rPr>
                <w:rFonts w:asciiTheme="minorHAnsi" w:hAnsiTheme="minorHAnsi"/>
                <w:sz w:val="20"/>
                <w:u w:val="single"/>
              </w:rPr>
              <w:t>Dicotômica</w:t>
            </w:r>
          </w:p>
          <w:p w14:paraId="577DEE58" w14:textId="77777777" w:rsidR="009E34DB" w:rsidRPr="00AB315F" w:rsidRDefault="009E34DB" w:rsidP="009E34DB">
            <w:pPr>
              <w:jc w:val="center"/>
              <w:rPr>
                <w:rFonts w:asciiTheme="minorHAnsi" w:hAnsiTheme="minorHAnsi"/>
                <w:sz w:val="20"/>
              </w:rPr>
            </w:pPr>
            <w:r w:rsidRPr="00AB315F">
              <w:rPr>
                <w:rFonts w:asciiTheme="minorHAnsi" w:hAnsiTheme="minorHAnsi"/>
                <w:sz w:val="20"/>
              </w:rPr>
              <w:t xml:space="preserve"> “Discorda</w:t>
            </w:r>
            <w:r>
              <w:rPr>
                <w:rFonts w:asciiTheme="minorHAnsi" w:hAnsiTheme="minorHAnsi"/>
                <w:sz w:val="20"/>
              </w:rPr>
              <w:t>/Discorda muita</w:t>
            </w:r>
            <w:r w:rsidRPr="00AB315F">
              <w:rPr>
                <w:rFonts w:asciiTheme="minorHAnsi" w:hAnsiTheme="minorHAnsi"/>
                <w:sz w:val="20"/>
              </w:rPr>
              <w:t>”,</w:t>
            </w:r>
          </w:p>
          <w:p w14:paraId="7C5C1248" w14:textId="152D7A6A" w:rsidR="00712AD9" w:rsidRPr="00AB315F" w:rsidRDefault="009E34DB" w:rsidP="009E34DB">
            <w:pPr>
              <w:jc w:val="center"/>
              <w:rPr>
                <w:rFonts w:asciiTheme="minorHAnsi" w:hAnsiTheme="minorHAnsi"/>
                <w:sz w:val="20"/>
              </w:rPr>
            </w:pPr>
            <w:r w:rsidRPr="00AB315F">
              <w:rPr>
                <w:rFonts w:asciiTheme="minorHAnsi" w:hAnsiTheme="minorHAnsi"/>
                <w:sz w:val="20"/>
              </w:rPr>
              <w:t>”</w:t>
            </w:r>
            <w:r>
              <w:rPr>
                <w:rFonts w:asciiTheme="minorHAnsi" w:hAnsiTheme="minorHAnsi"/>
                <w:sz w:val="20"/>
              </w:rPr>
              <w:t xml:space="preserve"> Concorda/</w:t>
            </w:r>
            <w:r w:rsidRPr="00AB315F">
              <w:rPr>
                <w:rFonts w:asciiTheme="minorHAnsi" w:hAnsiTheme="minorHAnsi"/>
                <w:sz w:val="20"/>
              </w:rPr>
              <w:t>Concorda muito”</w:t>
            </w:r>
          </w:p>
        </w:tc>
      </w:tr>
      <w:tr w:rsidR="00712AD9" w:rsidRPr="00AB315F" w14:paraId="36BD79EE" w14:textId="77777777" w:rsidTr="008947A7">
        <w:tc>
          <w:tcPr>
            <w:tcW w:w="4106" w:type="dxa"/>
            <w:tcBorders>
              <w:left w:val="nil"/>
            </w:tcBorders>
            <w:vAlign w:val="center"/>
          </w:tcPr>
          <w:p w14:paraId="5AE1C25D" w14:textId="72FA83AC" w:rsidR="00712AD9" w:rsidRPr="00AB315F" w:rsidRDefault="00712AD9" w:rsidP="00712AD9">
            <w:pPr>
              <w:jc w:val="center"/>
              <w:rPr>
                <w:rFonts w:asciiTheme="minorHAnsi" w:hAnsiTheme="minorHAnsi"/>
                <w:sz w:val="20"/>
              </w:rPr>
            </w:pPr>
            <w:r w:rsidRPr="00AB315F">
              <w:rPr>
                <w:rFonts w:asciiTheme="minorHAnsi" w:hAnsiTheme="minorHAnsi"/>
                <w:sz w:val="20"/>
              </w:rPr>
              <w:t>“Um candidato oferece uma cadeira de rodas para um deficiente físico, o que ele DEVERIA fazer”</w:t>
            </w:r>
          </w:p>
        </w:tc>
        <w:tc>
          <w:tcPr>
            <w:tcW w:w="1134" w:type="dxa"/>
            <w:vAlign w:val="center"/>
          </w:tcPr>
          <w:p w14:paraId="01174350" w14:textId="04DC02BC"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voto1</w:t>
            </w:r>
          </w:p>
        </w:tc>
        <w:tc>
          <w:tcPr>
            <w:tcW w:w="3254" w:type="dxa"/>
            <w:tcBorders>
              <w:right w:val="nil"/>
            </w:tcBorders>
            <w:vAlign w:val="center"/>
          </w:tcPr>
          <w:p w14:paraId="01489906" w14:textId="21EC4B73" w:rsidR="00712AD9" w:rsidRPr="00AB315F" w:rsidRDefault="00712AD9" w:rsidP="00712AD9">
            <w:pPr>
              <w:jc w:val="center"/>
              <w:rPr>
                <w:rFonts w:asciiTheme="minorHAnsi" w:hAnsiTheme="minorHAnsi"/>
                <w:sz w:val="20"/>
                <w:u w:val="single"/>
              </w:rPr>
            </w:pPr>
            <w:r w:rsidRPr="00AB315F">
              <w:rPr>
                <w:rFonts w:asciiTheme="minorHAnsi" w:hAnsiTheme="minorHAnsi"/>
                <w:sz w:val="20"/>
                <w:u w:val="single"/>
              </w:rPr>
              <w:t>Dicotômica</w:t>
            </w:r>
          </w:p>
          <w:p w14:paraId="21EA5B4E" w14:textId="44DCA43D" w:rsidR="00712AD9" w:rsidRPr="00AB315F" w:rsidRDefault="00712AD9" w:rsidP="00712AD9">
            <w:pPr>
              <w:jc w:val="center"/>
              <w:rPr>
                <w:rFonts w:asciiTheme="minorHAnsi" w:hAnsiTheme="minorHAnsi"/>
                <w:sz w:val="20"/>
              </w:rPr>
            </w:pPr>
            <w:r w:rsidRPr="00AB315F">
              <w:rPr>
                <w:rFonts w:asciiTheme="minorHAnsi" w:hAnsiTheme="minorHAnsi"/>
                <w:sz w:val="20"/>
              </w:rPr>
              <w:t xml:space="preserve"> “</w:t>
            </w:r>
            <w:r>
              <w:rPr>
                <w:rFonts w:asciiTheme="minorHAnsi" w:hAnsiTheme="minorHAnsi"/>
                <w:sz w:val="20"/>
              </w:rPr>
              <w:t>Deveria a</w:t>
            </w:r>
            <w:r w:rsidRPr="00AB315F">
              <w:rPr>
                <w:rFonts w:asciiTheme="minorHAnsi" w:hAnsiTheme="minorHAnsi"/>
                <w:sz w:val="20"/>
              </w:rPr>
              <w:t xml:space="preserve">ceitar” “Não </w:t>
            </w:r>
            <w:r>
              <w:rPr>
                <w:rFonts w:asciiTheme="minorHAnsi" w:hAnsiTheme="minorHAnsi"/>
                <w:sz w:val="20"/>
              </w:rPr>
              <w:t xml:space="preserve">deveria </w:t>
            </w:r>
            <w:r w:rsidRPr="00AB315F">
              <w:rPr>
                <w:rFonts w:asciiTheme="minorHAnsi" w:hAnsiTheme="minorHAnsi"/>
                <w:sz w:val="20"/>
              </w:rPr>
              <w:t>aceitar”</w:t>
            </w:r>
          </w:p>
        </w:tc>
      </w:tr>
      <w:tr w:rsidR="00712AD9" w:rsidRPr="00AB315F" w14:paraId="6262D3AD" w14:textId="77777777" w:rsidTr="008947A7">
        <w:tc>
          <w:tcPr>
            <w:tcW w:w="4106" w:type="dxa"/>
            <w:tcBorders>
              <w:left w:val="nil"/>
            </w:tcBorders>
            <w:vAlign w:val="center"/>
          </w:tcPr>
          <w:p w14:paraId="0454BCEE" w14:textId="6CABDB17" w:rsidR="00712AD9" w:rsidRPr="00AB315F" w:rsidRDefault="00712AD9" w:rsidP="00712AD9">
            <w:pPr>
              <w:jc w:val="center"/>
              <w:rPr>
                <w:rFonts w:asciiTheme="minorHAnsi" w:hAnsiTheme="minorHAnsi"/>
                <w:sz w:val="20"/>
              </w:rPr>
            </w:pPr>
            <w:r w:rsidRPr="00AB315F">
              <w:rPr>
                <w:rFonts w:asciiTheme="minorHAnsi" w:hAnsiTheme="minorHAnsi"/>
                <w:sz w:val="20"/>
              </w:rPr>
              <w:t>“Um candidato oferece uma cesta básica de alimentos para uma família muito pobre que passa fome, o que as pessoas dessa família DEVERIAM fazer”</w:t>
            </w:r>
          </w:p>
        </w:tc>
        <w:tc>
          <w:tcPr>
            <w:tcW w:w="1134" w:type="dxa"/>
            <w:vAlign w:val="center"/>
          </w:tcPr>
          <w:p w14:paraId="20F71630" w14:textId="076195E1"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voto2</w:t>
            </w:r>
          </w:p>
        </w:tc>
        <w:tc>
          <w:tcPr>
            <w:tcW w:w="3254" w:type="dxa"/>
            <w:tcBorders>
              <w:right w:val="nil"/>
            </w:tcBorders>
            <w:vAlign w:val="center"/>
          </w:tcPr>
          <w:p w14:paraId="32102AA7" w14:textId="747E00F1" w:rsidR="00712AD9" w:rsidRPr="00AB315F" w:rsidRDefault="00712AD9" w:rsidP="00712AD9">
            <w:pPr>
              <w:jc w:val="center"/>
              <w:rPr>
                <w:rFonts w:asciiTheme="minorHAnsi" w:hAnsiTheme="minorHAnsi"/>
                <w:sz w:val="20"/>
                <w:u w:val="single"/>
              </w:rPr>
            </w:pPr>
            <w:r w:rsidRPr="00AB315F">
              <w:rPr>
                <w:rFonts w:asciiTheme="minorHAnsi" w:hAnsiTheme="minorHAnsi"/>
                <w:sz w:val="20"/>
                <w:u w:val="single"/>
              </w:rPr>
              <w:t>Dicotômica</w:t>
            </w:r>
          </w:p>
          <w:p w14:paraId="41E0A691" w14:textId="770E380F" w:rsidR="00712AD9" w:rsidRPr="00AB315F" w:rsidRDefault="00712AD9" w:rsidP="00712AD9">
            <w:pPr>
              <w:jc w:val="center"/>
              <w:rPr>
                <w:rFonts w:asciiTheme="minorHAnsi" w:hAnsiTheme="minorHAnsi"/>
                <w:sz w:val="20"/>
                <w:u w:val="single"/>
              </w:rPr>
            </w:pPr>
            <w:r w:rsidRPr="00AB315F">
              <w:rPr>
                <w:rFonts w:asciiTheme="minorHAnsi" w:hAnsiTheme="minorHAnsi"/>
                <w:sz w:val="20"/>
              </w:rPr>
              <w:t xml:space="preserve"> “</w:t>
            </w:r>
            <w:r>
              <w:rPr>
                <w:rFonts w:asciiTheme="minorHAnsi" w:hAnsiTheme="minorHAnsi"/>
                <w:sz w:val="20"/>
              </w:rPr>
              <w:t>Deveria</w:t>
            </w:r>
            <w:r w:rsidR="009E34DB">
              <w:rPr>
                <w:rFonts w:asciiTheme="minorHAnsi" w:hAnsiTheme="minorHAnsi"/>
                <w:sz w:val="20"/>
              </w:rPr>
              <w:t>m</w:t>
            </w:r>
            <w:r>
              <w:rPr>
                <w:rFonts w:asciiTheme="minorHAnsi" w:hAnsiTheme="minorHAnsi"/>
                <w:sz w:val="20"/>
              </w:rPr>
              <w:t xml:space="preserve"> a</w:t>
            </w:r>
            <w:r w:rsidRPr="00AB315F">
              <w:rPr>
                <w:rFonts w:asciiTheme="minorHAnsi" w:hAnsiTheme="minorHAnsi"/>
                <w:sz w:val="20"/>
              </w:rPr>
              <w:t xml:space="preserve">ceitar” “Não </w:t>
            </w:r>
            <w:r>
              <w:rPr>
                <w:rFonts w:asciiTheme="minorHAnsi" w:hAnsiTheme="minorHAnsi"/>
                <w:sz w:val="20"/>
              </w:rPr>
              <w:t>deveria</w:t>
            </w:r>
            <w:r w:rsidR="009E34DB">
              <w:rPr>
                <w:rFonts w:asciiTheme="minorHAnsi" w:hAnsiTheme="minorHAnsi"/>
                <w:sz w:val="20"/>
              </w:rPr>
              <w:t>m</w:t>
            </w:r>
            <w:r>
              <w:rPr>
                <w:rFonts w:asciiTheme="minorHAnsi" w:hAnsiTheme="minorHAnsi"/>
                <w:sz w:val="20"/>
              </w:rPr>
              <w:t xml:space="preserve"> </w:t>
            </w:r>
            <w:r w:rsidRPr="00AB315F">
              <w:rPr>
                <w:rFonts w:asciiTheme="minorHAnsi" w:hAnsiTheme="minorHAnsi"/>
                <w:sz w:val="20"/>
              </w:rPr>
              <w:t>aceitar””</w:t>
            </w:r>
          </w:p>
        </w:tc>
      </w:tr>
      <w:tr w:rsidR="00712AD9" w:rsidRPr="00AB315F" w14:paraId="1CDEA7C3" w14:textId="77777777" w:rsidTr="008947A7">
        <w:tc>
          <w:tcPr>
            <w:tcW w:w="4106" w:type="dxa"/>
            <w:tcBorders>
              <w:left w:val="nil"/>
            </w:tcBorders>
            <w:vAlign w:val="center"/>
          </w:tcPr>
          <w:p w14:paraId="2164DD79" w14:textId="128AD528" w:rsidR="00712AD9" w:rsidRPr="00AB315F" w:rsidRDefault="00712AD9" w:rsidP="00712AD9">
            <w:pPr>
              <w:jc w:val="center"/>
              <w:rPr>
                <w:rFonts w:asciiTheme="minorHAnsi" w:hAnsiTheme="minorHAnsi"/>
                <w:sz w:val="20"/>
              </w:rPr>
            </w:pPr>
            <w:r w:rsidRPr="00AB315F">
              <w:rPr>
                <w:rFonts w:asciiTheme="minorHAnsi" w:hAnsiTheme="minorHAnsi"/>
                <w:sz w:val="20"/>
              </w:rPr>
              <w:t>“Uma mãe não consegue vaga para matricular seu filho na escola. Um candidato consegue uma vaga para o filho dela, o que ela DEVERIA fazer”</w:t>
            </w:r>
          </w:p>
        </w:tc>
        <w:tc>
          <w:tcPr>
            <w:tcW w:w="1134" w:type="dxa"/>
            <w:vAlign w:val="center"/>
          </w:tcPr>
          <w:p w14:paraId="20C44B8A" w14:textId="45BF9954"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voto3</w:t>
            </w:r>
          </w:p>
        </w:tc>
        <w:tc>
          <w:tcPr>
            <w:tcW w:w="3254" w:type="dxa"/>
            <w:tcBorders>
              <w:right w:val="nil"/>
            </w:tcBorders>
            <w:vAlign w:val="center"/>
          </w:tcPr>
          <w:p w14:paraId="483A95B0" w14:textId="421AFF63" w:rsidR="00712AD9" w:rsidRPr="00AB315F" w:rsidRDefault="00712AD9" w:rsidP="00712AD9">
            <w:pPr>
              <w:jc w:val="center"/>
              <w:rPr>
                <w:rFonts w:asciiTheme="minorHAnsi" w:hAnsiTheme="minorHAnsi"/>
                <w:sz w:val="20"/>
                <w:u w:val="single"/>
              </w:rPr>
            </w:pPr>
            <w:r w:rsidRPr="00AB315F">
              <w:rPr>
                <w:rFonts w:asciiTheme="minorHAnsi" w:hAnsiTheme="minorHAnsi"/>
                <w:sz w:val="20"/>
                <w:u w:val="single"/>
              </w:rPr>
              <w:t>Dicotômica</w:t>
            </w:r>
          </w:p>
          <w:p w14:paraId="35912900" w14:textId="0A8D4DF8" w:rsidR="00712AD9" w:rsidRPr="00AB315F" w:rsidRDefault="00712AD9" w:rsidP="00712AD9">
            <w:pPr>
              <w:jc w:val="center"/>
              <w:rPr>
                <w:rFonts w:asciiTheme="minorHAnsi" w:hAnsiTheme="minorHAnsi"/>
                <w:sz w:val="20"/>
                <w:u w:val="single"/>
              </w:rPr>
            </w:pPr>
            <w:r w:rsidRPr="00AB315F">
              <w:rPr>
                <w:rFonts w:asciiTheme="minorHAnsi" w:hAnsiTheme="minorHAnsi"/>
                <w:sz w:val="20"/>
              </w:rPr>
              <w:t xml:space="preserve"> “</w:t>
            </w:r>
            <w:r>
              <w:rPr>
                <w:rFonts w:asciiTheme="minorHAnsi" w:hAnsiTheme="minorHAnsi"/>
                <w:sz w:val="20"/>
              </w:rPr>
              <w:t>Deveria a</w:t>
            </w:r>
            <w:r w:rsidRPr="00AB315F">
              <w:rPr>
                <w:rFonts w:asciiTheme="minorHAnsi" w:hAnsiTheme="minorHAnsi"/>
                <w:sz w:val="20"/>
              </w:rPr>
              <w:t xml:space="preserve">ceitar” “Não </w:t>
            </w:r>
            <w:r>
              <w:rPr>
                <w:rFonts w:asciiTheme="minorHAnsi" w:hAnsiTheme="minorHAnsi"/>
                <w:sz w:val="20"/>
              </w:rPr>
              <w:t xml:space="preserve">deveria </w:t>
            </w:r>
            <w:r w:rsidRPr="00AB315F">
              <w:rPr>
                <w:rFonts w:asciiTheme="minorHAnsi" w:hAnsiTheme="minorHAnsi"/>
                <w:sz w:val="20"/>
              </w:rPr>
              <w:t>aceitar”</w:t>
            </w:r>
          </w:p>
        </w:tc>
      </w:tr>
      <w:tr w:rsidR="00712AD9" w:rsidRPr="00AB315F" w14:paraId="5DD206DD" w14:textId="77777777" w:rsidTr="008947A7">
        <w:tc>
          <w:tcPr>
            <w:tcW w:w="4106" w:type="dxa"/>
            <w:tcBorders>
              <w:left w:val="nil"/>
            </w:tcBorders>
            <w:vAlign w:val="center"/>
          </w:tcPr>
          <w:p w14:paraId="53036F59" w14:textId="6C4ED3F1" w:rsidR="00712AD9" w:rsidRPr="00AB315F" w:rsidRDefault="00712AD9" w:rsidP="00712AD9">
            <w:pPr>
              <w:jc w:val="center"/>
              <w:rPr>
                <w:rFonts w:asciiTheme="minorHAnsi" w:hAnsiTheme="minorHAnsi"/>
                <w:sz w:val="20"/>
              </w:rPr>
            </w:pPr>
            <w:r w:rsidRPr="00AB315F">
              <w:rPr>
                <w:rFonts w:asciiTheme="minorHAnsi" w:hAnsiTheme="minorHAnsi"/>
                <w:sz w:val="20"/>
              </w:rPr>
              <w:t>“Um candidato oferece para uma mãe que tem um filho doente dinheiro para o tratamento médico, o que ela DEVERIA fazer”</w:t>
            </w:r>
          </w:p>
        </w:tc>
        <w:tc>
          <w:tcPr>
            <w:tcW w:w="1134" w:type="dxa"/>
            <w:vAlign w:val="center"/>
          </w:tcPr>
          <w:p w14:paraId="061F873A" w14:textId="6269F505"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voto4</w:t>
            </w:r>
          </w:p>
        </w:tc>
        <w:tc>
          <w:tcPr>
            <w:tcW w:w="3254" w:type="dxa"/>
            <w:tcBorders>
              <w:right w:val="nil"/>
            </w:tcBorders>
            <w:vAlign w:val="center"/>
          </w:tcPr>
          <w:p w14:paraId="6F4602D0" w14:textId="2592A70E" w:rsidR="00712AD9" w:rsidRPr="00AB315F" w:rsidRDefault="00712AD9" w:rsidP="00712AD9">
            <w:pPr>
              <w:jc w:val="center"/>
              <w:rPr>
                <w:rFonts w:asciiTheme="minorHAnsi" w:hAnsiTheme="minorHAnsi"/>
                <w:sz w:val="20"/>
                <w:u w:val="single"/>
              </w:rPr>
            </w:pPr>
            <w:r w:rsidRPr="00AB315F">
              <w:rPr>
                <w:rFonts w:asciiTheme="minorHAnsi" w:hAnsiTheme="minorHAnsi"/>
                <w:sz w:val="20"/>
                <w:u w:val="single"/>
              </w:rPr>
              <w:t>Dicotômica</w:t>
            </w:r>
          </w:p>
          <w:p w14:paraId="45D37F93" w14:textId="1431A024" w:rsidR="00712AD9" w:rsidRPr="00AB315F" w:rsidRDefault="00712AD9" w:rsidP="00712AD9">
            <w:pPr>
              <w:jc w:val="center"/>
              <w:rPr>
                <w:rFonts w:asciiTheme="minorHAnsi" w:hAnsiTheme="minorHAnsi"/>
                <w:sz w:val="20"/>
                <w:u w:val="single"/>
              </w:rPr>
            </w:pPr>
            <w:r w:rsidRPr="00AB315F">
              <w:rPr>
                <w:rFonts w:asciiTheme="minorHAnsi" w:hAnsiTheme="minorHAnsi"/>
                <w:sz w:val="20"/>
              </w:rPr>
              <w:t xml:space="preserve"> “</w:t>
            </w:r>
            <w:r>
              <w:rPr>
                <w:rFonts w:asciiTheme="minorHAnsi" w:hAnsiTheme="minorHAnsi"/>
                <w:sz w:val="20"/>
              </w:rPr>
              <w:t>Deveria a</w:t>
            </w:r>
            <w:r w:rsidRPr="00AB315F">
              <w:rPr>
                <w:rFonts w:asciiTheme="minorHAnsi" w:hAnsiTheme="minorHAnsi"/>
                <w:sz w:val="20"/>
              </w:rPr>
              <w:t xml:space="preserve">ceitar” “Não </w:t>
            </w:r>
            <w:r>
              <w:rPr>
                <w:rFonts w:asciiTheme="minorHAnsi" w:hAnsiTheme="minorHAnsi"/>
                <w:sz w:val="20"/>
              </w:rPr>
              <w:t xml:space="preserve">deveria </w:t>
            </w:r>
            <w:r w:rsidRPr="00AB315F">
              <w:rPr>
                <w:rFonts w:asciiTheme="minorHAnsi" w:hAnsiTheme="minorHAnsi"/>
                <w:sz w:val="20"/>
              </w:rPr>
              <w:t>aceitar”</w:t>
            </w:r>
          </w:p>
        </w:tc>
      </w:tr>
      <w:tr w:rsidR="00712AD9" w:rsidRPr="00AB315F" w14:paraId="0BE0D9BC" w14:textId="77777777" w:rsidTr="008947A7">
        <w:tc>
          <w:tcPr>
            <w:tcW w:w="4106" w:type="dxa"/>
            <w:tcBorders>
              <w:left w:val="nil"/>
            </w:tcBorders>
            <w:vAlign w:val="center"/>
          </w:tcPr>
          <w:p w14:paraId="58D8C008" w14:textId="35D60616" w:rsidR="00712AD9" w:rsidRPr="00AB315F" w:rsidRDefault="00712AD9" w:rsidP="00712AD9">
            <w:pPr>
              <w:jc w:val="center"/>
              <w:rPr>
                <w:rFonts w:asciiTheme="minorHAnsi" w:hAnsiTheme="minorHAnsi"/>
                <w:sz w:val="20"/>
              </w:rPr>
            </w:pPr>
            <w:r w:rsidRPr="00AB315F">
              <w:rPr>
                <w:rFonts w:asciiTheme="minorHAnsi" w:hAnsiTheme="minorHAnsi"/>
                <w:sz w:val="20"/>
              </w:rPr>
              <w:t>“Um candidato oferece um caminhão de tijolos para várias famílias que precisam acabar de construir suas casas, o que as pessoas dessas famílias DEVERIAM fazer</w:t>
            </w:r>
          </w:p>
        </w:tc>
        <w:tc>
          <w:tcPr>
            <w:tcW w:w="1134" w:type="dxa"/>
            <w:vAlign w:val="center"/>
          </w:tcPr>
          <w:p w14:paraId="6BBB3015" w14:textId="15E9A1ED"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voto5</w:t>
            </w:r>
          </w:p>
        </w:tc>
        <w:tc>
          <w:tcPr>
            <w:tcW w:w="3254" w:type="dxa"/>
            <w:tcBorders>
              <w:right w:val="nil"/>
            </w:tcBorders>
            <w:vAlign w:val="center"/>
          </w:tcPr>
          <w:p w14:paraId="02328508" w14:textId="029365F6" w:rsidR="00712AD9" w:rsidRPr="00AB315F" w:rsidRDefault="00712AD9" w:rsidP="00712AD9">
            <w:pPr>
              <w:jc w:val="center"/>
              <w:rPr>
                <w:rFonts w:asciiTheme="minorHAnsi" w:hAnsiTheme="minorHAnsi"/>
                <w:sz w:val="20"/>
                <w:u w:val="single"/>
              </w:rPr>
            </w:pPr>
            <w:r w:rsidRPr="00AB315F">
              <w:rPr>
                <w:rFonts w:asciiTheme="minorHAnsi" w:hAnsiTheme="minorHAnsi"/>
                <w:sz w:val="20"/>
                <w:u w:val="single"/>
              </w:rPr>
              <w:t>Dicotômica</w:t>
            </w:r>
          </w:p>
          <w:p w14:paraId="0E4BC568" w14:textId="77897DE0" w:rsidR="00712AD9" w:rsidRPr="00AB315F" w:rsidRDefault="00712AD9" w:rsidP="00712AD9">
            <w:pPr>
              <w:jc w:val="center"/>
              <w:rPr>
                <w:rFonts w:asciiTheme="minorHAnsi" w:hAnsiTheme="minorHAnsi"/>
                <w:sz w:val="20"/>
                <w:u w:val="single"/>
              </w:rPr>
            </w:pPr>
            <w:r w:rsidRPr="00AB315F">
              <w:rPr>
                <w:rFonts w:asciiTheme="minorHAnsi" w:hAnsiTheme="minorHAnsi"/>
                <w:sz w:val="20"/>
              </w:rPr>
              <w:t xml:space="preserve"> “</w:t>
            </w:r>
            <w:r>
              <w:rPr>
                <w:rFonts w:asciiTheme="minorHAnsi" w:hAnsiTheme="minorHAnsi"/>
                <w:sz w:val="20"/>
              </w:rPr>
              <w:t>Deveria</w:t>
            </w:r>
            <w:r w:rsidR="009E34DB">
              <w:rPr>
                <w:rFonts w:asciiTheme="minorHAnsi" w:hAnsiTheme="minorHAnsi"/>
                <w:sz w:val="20"/>
              </w:rPr>
              <w:t>m</w:t>
            </w:r>
            <w:r>
              <w:rPr>
                <w:rFonts w:asciiTheme="minorHAnsi" w:hAnsiTheme="minorHAnsi"/>
                <w:sz w:val="20"/>
              </w:rPr>
              <w:t xml:space="preserve"> a</w:t>
            </w:r>
            <w:r w:rsidRPr="00AB315F">
              <w:rPr>
                <w:rFonts w:asciiTheme="minorHAnsi" w:hAnsiTheme="minorHAnsi"/>
                <w:sz w:val="20"/>
              </w:rPr>
              <w:t xml:space="preserve">ceitar” “Não </w:t>
            </w:r>
            <w:r>
              <w:rPr>
                <w:rFonts w:asciiTheme="minorHAnsi" w:hAnsiTheme="minorHAnsi"/>
                <w:sz w:val="20"/>
              </w:rPr>
              <w:t>deveria</w:t>
            </w:r>
            <w:r w:rsidR="009E34DB">
              <w:rPr>
                <w:rFonts w:asciiTheme="minorHAnsi" w:hAnsiTheme="minorHAnsi"/>
                <w:sz w:val="20"/>
              </w:rPr>
              <w:t>m</w:t>
            </w:r>
            <w:r>
              <w:rPr>
                <w:rFonts w:asciiTheme="minorHAnsi" w:hAnsiTheme="minorHAnsi"/>
                <w:sz w:val="20"/>
              </w:rPr>
              <w:t xml:space="preserve"> </w:t>
            </w:r>
            <w:r w:rsidRPr="00AB315F">
              <w:rPr>
                <w:rFonts w:asciiTheme="minorHAnsi" w:hAnsiTheme="minorHAnsi"/>
                <w:sz w:val="20"/>
              </w:rPr>
              <w:t>aceitar”</w:t>
            </w:r>
          </w:p>
        </w:tc>
      </w:tr>
      <w:tr w:rsidR="00712AD9" w:rsidRPr="00AB315F" w14:paraId="0062E4B6" w14:textId="77777777" w:rsidTr="008947A7">
        <w:tc>
          <w:tcPr>
            <w:tcW w:w="4106" w:type="dxa"/>
            <w:tcBorders>
              <w:left w:val="nil"/>
            </w:tcBorders>
            <w:vAlign w:val="center"/>
          </w:tcPr>
          <w:p w14:paraId="5D19F774" w14:textId="5ABB8FDE" w:rsidR="00712AD9" w:rsidRPr="00AB315F" w:rsidRDefault="00712AD9" w:rsidP="00712AD9">
            <w:pPr>
              <w:jc w:val="center"/>
              <w:rPr>
                <w:rFonts w:asciiTheme="minorHAnsi" w:hAnsiTheme="minorHAnsi"/>
                <w:sz w:val="20"/>
              </w:rPr>
            </w:pPr>
            <w:r w:rsidRPr="00AB315F">
              <w:rPr>
                <w:rFonts w:asciiTheme="minorHAnsi" w:hAnsiTheme="minorHAnsi"/>
                <w:sz w:val="20"/>
              </w:rPr>
              <w:t>“Um candidato oferece reformar um campo de futebol para um grupo de amigos que jogam bola juntos toda semana, o que eles DEVERIAM fazer”</w:t>
            </w:r>
          </w:p>
        </w:tc>
        <w:tc>
          <w:tcPr>
            <w:tcW w:w="1134" w:type="dxa"/>
            <w:vAlign w:val="center"/>
          </w:tcPr>
          <w:p w14:paraId="6C6FC662" w14:textId="3EF5C429"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voto6</w:t>
            </w:r>
          </w:p>
        </w:tc>
        <w:tc>
          <w:tcPr>
            <w:tcW w:w="3254" w:type="dxa"/>
            <w:tcBorders>
              <w:right w:val="nil"/>
            </w:tcBorders>
            <w:vAlign w:val="center"/>
          </w:tcPr>
          <w:p w14:paraId="690C6BD3" w14:textId="07308BCC" w:rsidR="00712AD9" w:rsidRPr="00AB315F" w:rsidRDefault="00712AD9" w:rsidP="00712AD9">
            <w:pPr>
              <w:jc w:val="center"/>
              <w:rPr>
                <w:rFonts w:asciiTheme="minorHAnsi" w:hAnsiTheme="minorHAnsi"/>
                <w:sz w:val="20"/>
                <w:u w:val="single"/>
              </w:rPr>
            </w:pPr>
            <w:r w:rsidRPr="00AB315F">
              <w:rPr>
                <w:rFonts w:asciiTheme="minorHAnsi" w:hAnsiTheme="minorHAnsi"/>
                <w:sz w:val="20"/>
                <w:u w:val="single"/>
              </w:rPr>
              <w:t>Dicotômica</w:t>
            </w:r>
          </w:p>
          <w:p w14:paraId="4836FBB3" w14:textId="70AEDFE6" w:rsidR="00712AD9" w:rsidRPr="00AB315F" w:rsidRDefault="00712AD9" w:rsidP="00712AD9">
            <w:pPr>
              <w:jc w:val="center"/>
              <w:rPr>
                <w:rFonts w:asciiTheme="minorHAnsi" w:hAnsiTheme="minorHAnsi"/>
                <w:sz w:val="20"/>
                <w:u w:val="single"/>
              </w:rPr>
            </w:pPr>
            <w:r w:rsidRPr="00AB315F">
              <w:rPr>
                <w:rFonts w:asciiTheme="minorHAnsi" w:hAnsiTheme="minorHAnsi"/>
                <w:sz w:val="20"/>
              </w:rPr>
              <w:t xml:space="preserve"> “</w:t>
            </w:r>
            <w:r>
              <w:rPr>
                <w:rFonts w:asciiTheme="minorHAnsi" w:hAnsiTheme="minorHAnsi"/>
                <w:sz w:val="20"/>
              </w:rPr>
              <w:t>Deveria</w:t>
            </w:r>
            <w:r w:rsidR="009E34DB">
              <w:rPr>
                <w:rFonts w:asciiTheme="minorHAnsi" w:hAnsiTheme="minorHAnsi"/>
                <w:sz w:val="20"/>
              </w:rPr>
              <w:t>m</w:t>
            </w:r>
            <w:r>
              <w:rPr>
                <w:rFonts w:asciiTheme="minorHAnsi" w:hAnsiTheme="minorHAnsi"/>
                <w:sz w:val="20"/>
              </w:rPr>
              <w:t xml:space="preserve"> a</w:t>
            </w:r>
            <w:r w:rsidRPr="00AB315F">
              <w:rPr>
                <w:rFonts w:asciiTheme="minorHAnsi" w:hAnsiTheme="minorHAnsi"/>
                <w:sz w:val="20"/>
              </w:rPr>
              <w:t xml:space="preserve">ceitar” “Não </w:t>
            </w:r>
            <w:r>
              <w:rPr>
                <w:rFonts w:asciiTheme="minorHAnsi" w:hAnsiTheme="minorHAnsi"/>
                <w:sz w:val="20"/>
              </w:rPr>
              <w:t>deveria</w:t>
            </w:r>
            <w:r w:rsidR="009E34DB">
              <w:rPr>
                <w:rFonts w:asciiTheme="minorHAnsi" w:hAnsiTheme="minorHAnsi"/>
                <w:sz w:val="20"/>
              </w:rPr>
              <w:t>m</w:t>
            </w:r>
            <w:r>
              <w:rPr>
                <w:rFonts w:asciiTheme="minorHAnsi" w:hAnsiTheme="minorHAnsi"/>
                <w:sz w:val="20"/>
              </w:rPr>
              <w:t xml:space="preserve"> </w:t>
            </w:r>
            <w:r w:rsidRPr="00AB315F">
              <w:rPr>
                <w:rFonts w:asciiTheme="minorHAnsi" w:hAnsiTheme="minorHAnsi"/>
                <w:sz w:val="20"/>
              </w:rPr>
              <w:t>aceitar”</w:t>
            </w:r>
          </w:p>
        </w:tc>
      </w:tr>
      <w:tr w:rsidR="00712AD9" w:rsidRPr="00AB315F" w14:paraId="23753563" w14:textId="77777777" w:rsidTr="008947A7">
        <w:tc>
          <w:tcPr>
            <w:tcW w:w="4106" w:type="dxa"/>
            <w:tcBorders>
              <w:left w:val="nil"/>
            </w:tcBorders>
            <w:vAlign w:val="center"/>
          </w:tcPr>
          <w:p w14:paraId="3907FD53" w14:textId="54754814" w:rsidR="00712AD9" w:rsidRPr="00AB315F" w:rsidRDefault="00712AD9" w:rsidP="00712AD9">
            <w:pPr>
              <w:jc w:val="center"/>
              <w:rPr>
                <w:rFonts w:asciiTheme="minorHAnsi" w:hAnsiTheme="minorHAnsi"/>
                <w:sz w:val="20"/>
              </w:rPr>
            </w:pPr>
            <w:r w:rsidRPr="00AB315F">
              <w:rPr>
                <w:rFonts w:asciiTheme="minorHAnsi" w:hAnsiTheme="minorHAnsi"/>
                <w:sz w:val="20"/>
              </w:rPr>
              <w:t>“Um candidato oferece uma bicicleta para uma criança, o que os pais da criança DEVERIAM fazer”</w:t>
            </w:r>
          </w:p>
        </w:tc>
        <w:tc>
          <w:tcPr>
            <w:tcW w:w="1134" w:type="dxa"/>
            <w:vAlign w:val="center"/>
          </w:tcPr>
          <w:p w14:paraId="6E3C922C" w14:textId="7573222C" w:rsidR="00712AD9" w:rsidRPr="00712AD9" w:rsidRDefault="00712AD9" w:rsidP="00712AD9">
            <w:pPr>
              <w:jc w:val="center"/>
              <w:rPr>
                <w:rFonts w:asciiTheme="minorHAnsi" w:hAnsiTheme="minorHAnsi"/>
                <w:b/>
                <w:sz w:val="20"/>
                <w:u w:val="single"/>
              </w:rPr>
            </w:pPr>
            <w:r w:rsidRPr="00712AD9">
              <w:rPr>
                <w:rFonts w:ascii="Calibri" w:hAnsi="Calibri"/>
                <w:b/>
                <w:sz w:val="22"/>
                <w:szCs w:val="22"/>
              </w:rPr>
              <w:t>voto7</w:t>
            </w:r>
          </w:p>
        </w:tc>
        <w:tc>
          <w:tcPr>
            <w:tcW w:w="3254" w:type="dxa"/>
            <w:tcBorders>
              <w:right w:val="nil"/>
            </w:tcBorders>
            <w:vAlign w:val="center"/>
          </w:tcPr>
          <w:p w14:paraId="1AAAD502" w14:textId="171A7D10" w:rsidR="00712AD9" w:rsidRPr="00AB315F" w:rsidRDefault="00712AD9" w:rsidP="00712AD9">
            <w:pPr>
              <w:jc w:val="center"/>
              <w:rPr>
                <w:rFonts w:asciiTheme="minorHAnsi" w:hAnsiTheme="minorHAnsi"/>
                <w:sz w:val="20"/>
                <w:u w:val="single"/>
              </w:rPr>
            </w:pPr>
            <w:r w:rsidRPr="00AB315F">
              <w:rPr>
                <w:rFonts w:asciiTheme="minorHAnsi" w:hAnsiTheme="minorHAnsi"/>
                <w:sz w:val="20"/>
                <w:u w:val="single"/>
              </w:rPr>
              <w:t>Dicotômica</w:t>
            </w:r>
          </w:p>
          <w:p w14:paraId="028E2D87" w14:textId="7FD07F8D" w:rsidR="00712AD9" w:rsidRPr="00AB315F" w:rsidRDefault="00712AD9" w:rsidP="00712AD9">
            <w:pPr>
              <w:jc w:val="center"/>
              <w:rPr>
                <w:rFonts w:asciiTheme="minorHAnsi" w:hAnsiTheme="minorHAnsi"/>
                <w:sz w:val="20"/>
                <w:u w:val="single"/>
              </w:rPr>
            </w:pPr>
            <w:r w:rsidRPr="00AB315F">
              <w:rPr>
                <w:rFonts w:asciiTheme="minorHAnsi" w:hAnsiTheme="minorHAnsi"/>
                <w:sz w:val="20"/>
              </w:rPr>
              <w:t xml:space="preserve"> “</w:t>
            </w:r>
            <w:r>
              <w:rPr>
                <w:rFonts w:asciiTheme="minorHAnsi" w:hAnsiTheme="minorHAnsi"/>
                <w:sz w:val="20"/>
              </w:rPr>
              <w:t>Deveria</w:t>
            </w:r>
            <w:r w:rsidR="009E34DB">
              <w:rPr>
                <w:rFonts w:asciiTheme="minorHAnsi" w:hAnsiTheme="minorHAnsi"/>
                <w:sz w:val="20"/>
              </w:rPr>
              <w:t>m</w:t>
            </w:r>
            <w:r>
              <w:rPr>
                <w:rFonts w:asciiTheme="minorHAnsi" w:hAnsiTheme="minorHAnsi"/>
                <w:sz w:val="20"/>
              </w:rPr>
              <w:t xml:space="preserve"> a</w:t>
            </w:r>
            <w:r w:rsidRPr="00AB315F">
              <w:rPr>
                <w:rFonts w:asciiTheme="minorHAnsi" w:hAnsiTheme="minorHAnsi"/>
                <w:sz w:val="20"/>
              </w:rPr>
              <w:t xml:space="preserve">ceitar” “Não </w:t>
            </w:r>
            <w:r>
              <w:rPr>
                <w:rFonts w:asciiTheme="minorHAnsi" w:hAnsiTheme="minorHAnsi"/>
                <w:sz w:val="20"/>
              </w:rPr>
              <w:t>deveria</w:t>
            </w:r>
            <w:r w:rsidR="009E34DB">
              <w:rPr>
                <w:rFonts w:asciiTheme="minorHAnsi" w:hAnsiTheme="minorHAnsi"/>
                <w:sz w:val="20"/>
              </w:rPr>
              <w:t>m</w:t>
            </w:r>
            <w:r>
              <w:rPr>
                <w:rFonts w:asciiTheme="minorHAnsi" w:hAnsiTheme="minorHAnsi"/>
                <w:sz w:val="20"/>
              </w:rPr>
              <w:t xml:space="preserve"> </w:t>
            </w:r>
            <w:r w:rsidRPr="00AB315F">
              <w:rPr>
                <w:rFonts w:asciiTheme="minorHAnsi" w:hAnsiTheme="minorHAnsi"/>
                <w:sz w:val="20"/>
              </w:rPr>
              <w:t>aceitar”</w:t>
            </w:r>
          </w:p>
        </w:tc>
      </w:tr>
    </w:tbl>
    <w:p w14:paraId="1E0D7A7B" w14:textId="13EB0BCF"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w:t>
      </w:r>
      <w:r w:rsidR="00FD55AE">
        <w:rPr>
          <w:rFonts w:ascii="Calibri" w:hAnsi="Calibri"/>
          <w:sz w:val="20"/>
          <w:szCs w:val="22"/>
        </w:rPr>
        <w:t>LAPOP 2008 -</w:t>
      </w:r>
      <w:r>
        <w:rPr>
          <w:rFonts w:ascii="Calibri" w:hAnsi="Calibri"/>
          <w:sz w:val="20"/>
          <w:szCs w:val="22"/>
        </w:rPr>
        <w:t xml:space="preserve"> elaboração própria</w:t>
      </w:r>
    </w:p>
    <w:p w14:paraId="24BE1944" w14:textId="77777777" w:rsidR="00A66C17" w:rsidRPr="00AB315F" w:rsidRDefault="00A66C17" w:rsidP="00F85DD0">
      <w:pPr>
        <w:spacing w:line="360" w:lineRule="auto"/>
        <w:jc w:val="both"/>
        <w:rPr>
          <w:rFonts w:asciiTheme="minorHAnsi" w:hAnsiTheme="minorHAnsi"/>
        </w:rPr>
      </w:pPr>
    </w:p>
    <w:p w14:paraId="3C1CB3E6" w14:textId="7CBA2DF1" w:rsidR="00FD4E99" w:rsidRPr="00AB315F" w:rsidRDefault="005A77B0" w:rsidP="005A7075">
      <w:pPr>
        <w:spacing w:after="240" w:line="360" w:lineRule="auto"/>
        <w:ind w:firstLine="708"/>
        <w:jc w:val="both"/>
        <w:rPr>
          <w:rFonts w:asciiTheme="minorHAnsi" w:hAnsiTheme="minorHAnsi"/>
        </w:rPr>
      </w:pPr>
      <w:r w:rsidRPr="00AB315F">
        <w:rPr>
          <w:rFonts w:asciiTheme="minorHAnsi" w:hAnsiTheme="minorHAnsi"/>
        </w:rPr>
        <w:lastRenderedPageBreak/>
        <w:t>Os dois primeiros itens referem-se às mesmas práticas do indicador de Aceitação da Corrupção, relacionadas ao cotidiano</w:t>
      </w:r>
      <w:r w:rsidR="00FD4E99" w:rsidRPr="00AB315F">
        <w:rPr>
          <w:rFonts w:asciiTheme="minorHAnsi" w:hAnsiTheme="minorHAnsi"/>
        </w:rPr>
        <w:t>. Já os próximos itens mensuram a dimensão do indicador “rouba mas faz”, e os sete últimos itens mensuram a dimensão da corrupção referente à venda ou compra de votos.</w:t>
      </w:r>
    </w:p>
    <w:p w14:paraId="77321DD4" w14:textId="6A2C09E4" w:rsidR="00FD4E99" w:rsidRPr="00AB315F" w:rsidRDefault="00FD4E99" w:rsidP="005A7075">
      <w:pPr>
        <w:spacing w:after="240" w:line="360" w:lineRule="auto"/>
        <w:ind w:firstLine="708"/>
        <w:jc w:val="both"/>
        <w:rPr>
          <w:rFonts w:asciiTheme="minorHAnsi" w:hAnsiTheme="minorHAnsi"/>
        </w:rPr>
      </w:pPr>
      <w:r w:rsidRPr="00AB315F">
        <w:rPr>
          <w:rFonts w:asciiTheme="minorHAnsi" w:hAnsiTheme="minorHAnsi"/>
        </w:rPr>
        <w:t xml:space="preserve">Outra limitação à análise é a natureza </w:t>
      </w:r>
      <w:r w:rsidR="00656889">
        <w:rPr>
          <w:rFonts w:asciiTheme="minorHAnsi" w:hAnsiTheme="minorHAnsi"/>
        </w:rPr>
        <w:t>dicotômica</w:t>
      </w:r>
      <w:r w:rsidRPr="00AB315F">
        <w:rPr>
          <w:rFonts w:asciiTheme="minorHAnsi" w:hAnsiTheme="minorHAnsi"/>
        </w:rPr>
        <w:t xml:space="preserve"> das escalas de mensuração. Seria impróprio utilizar técnicas multivariadas como índices de correlação ou análise fatorial para identificar padrões de correlação entre estas variáveis. Técnicas de correlação assumem que as escalas de respostas sejam contínuas</w:t>
      </w:r>
      <w:r w:rsidR="00656889">
        <w:rPr>
          <w:rFonts w:asciiTheme="minorHAnsi" w:hAnsiTheme="minorHAnsi"/>
        </w:rPr>
        <w:t>, caso contrário existe possibilidade de vieses na estimação</w:t>
      </w:r>
      <w:r w:rsidRPr="00AB315F">
        <w:rPr>
          <w:rFonts w:asciiTheme="minorHAnsi" w:hAnsiTheme="minorHAnsi"/>
        </w:rPr>
        <w:t xml:space="preserve">.  </w:t>
      </w:r>
    </w:p>
    <w:p w14:paraId="58AF5423" w14:textId="6A088987" w:rsidR="00FD4E99" w:rsidRPr="00AB315F" w:rsidRDefault="00FD4E99" w:rsidP="005A7075">
      <w:pPr>
        <w:spacing w:after="240" w:line="360" w:lineRule="auto"/>
        <w:ind w:firstLine="708"/>
        <w:jc w:val="both"/>
        <w:rPr>
          <w:rFonts w:asciiTheme="minorHAnsi" w:hAnsiTheme="minorHAnsi"/>
        </w:rPr>
      </w:pPr>
      <w:r w:rsidRPr="00AB315F">
        <w:rPr>
          <w:rFonts w:asciiTheme="minorHAnsi" w:hAnsiTheme="minorHAnsi"/>
        </w:rPr>
        <w:t>Entretant</w:t>
      </w:r>
      <w:r w:rsidR="00AD6B24" w:rsidRPr="00AB315F">
        <w:rPr>
          <w:rFonts w:asciiTheme="minorHAnsi" w:hAnsiTheme="minorHAnsi"/>
        </w:rPr>
        <w:t>o, quando a análise inclui variá</w:t>
      </w:r>
      <w:r w:rsidRPr="00AB315F">
        <w:rPr>
          <w:rFonts w:asciiTheme="minorHAnsi" w:hAnsiTheme="minorHAnsi"/>
        </w:rPr>
        <w:t xml:space="preserve">veis </w:t>
      </w:r>
      <w:r w:rsidR="00656889">
        <w:rPr>
          <w:rFonts w:asciiTheme="minorHAnsi" w:hAnsiTheme="minorHAnsi"/>
        </w:rPr>
        <w:t>dicotômicas</w:t>
      </w:r>
      <w:r w:rsidR="009E3FF0">
        <w:rPr>
          <w:rFonts w:asciiTheme="minorHAnsi" w:hAnsiTheme="minorHAnsi"/>
        </w:rPr>
        <w:t xml:space="preserve"> </w:t>
      </w:r>
      <w:r w:rsidRPr="00AB315F">
        <w:rPr>
          <w:rFonts w:asciiTheme="minorHAnsi" w:hAnsiTheme="minorHAnsi"/>
        </w:rPr>
        <w:t xml:space="preserve">pode-se avaliar o padrão de relação entre os itens através do índice de correlações </w:t>
      </w:r>
      <w:r w:rsidRPr="00AB315F">
        <w:rPr>
          <w:rStyle w:val="hps"/>
          <w:rFonts w:asciiTheme="minorHAnsi" w:hAnsiTheme="minorHAnsi"/>
          <w:lang w:val="pt-PT"/>
        </w:rPr>
        <w:t>policóricas</w:t>
      </w:r>
      <w:r w:rsidRPr="00AB315F">
        <w:rPr>
          <w:rFonts w:asciiTheme="minorHAnsi" w:hAnsiTheme="minorHAnsi"/>
        </w:rPr>
        <w:t xml:space="preserve"> (Hoffmann et al, 2013). Neste caso as variáveis podem ter natureza de mensuração dicotômica ordinal, mas não nominais</w:t>
      </w:r>
      <w:r w:rsidR="00656889">
        <w:rPr>
          <w:rFonts w:asciiTheme="minorHAnsi" w:hAnsiTheme="minorHAnsi"/>
        </w:rPr>
        <w:t>.</w:t>
      </w:r>
      <w:r w:rsidRPr="00AB315F">
        <w:rPr>
          <w:rFonts w:asciiTheme="minorHAnsi" w:hAnsiTheme="minorHAnsi"/>
        </w:rPr>
        <w:t xml:space="preserve"> A matrix de correlação policórica será usada como </w:t>
      </w:r>
      <w:r w:rsidRPr="00AB315F">
        <w:rPr>
          <w:rFonts w:asciiTheme="minorHAnsi" w:hAnsiTheme="minorHAnsi"/>
          <w:i/>
        </w:rPr>
        <w:t>input</w:t>
      </w:r>
      <w:r w:rsidRPr="00AB315F">
        <w:rPr>
          <w:rFonts w:asciiTheme="minorHAnsi" w:hAnsiTheme="minorHAnsi"/>
        </w:rPr>
        <w:t xml:space="preserve"> para estimar a análise fatorial. Os resultados da </w:t>
      </w:r>
      <w:r w:rsidR="0068546D" w:rsidRPr="00AB315F">
        <w:rPr>
          <w:rFonts w:asciiTheme="minorHAnsi" w:hAnsiTheme="minorHAnsi"/>
        </w:rPr>
        <w:t xml:space="preserve">AFE </w:t>
      </w:r>
      <w:r w:rsidRPr="00AB315F">
        <w:rPr>
          <w:rFonts w:asciiTheme="minorHAnsi" w:hAnsiTheme="minorHAnsi"/>
        </w:rPr>
        <w:t xml:space="preserve">com </w:t>
      </w:r>
      <w:r w:rsidRPr="00AB315F">
        <w:rPr>
          <w:rFonts w:asciiTheme="minorHAnsi" w:hAnsiTheme="minorHAnsi"/>
          <w:i/>
        </w:rPr>
        <w:t xml:space="preserve">input </w:t>
      </w:r>
      <w:r w:rsidRPr="00AB315F">
        <w:rPr>
          <w:rFonts w:asciiTheme="minorHAnsi" w:hAnsiTheme="minorHAnsi"/>
        </w:rPr>
        <w:t xml:space="preserve">da matriz policórica podem ser interpretados do mesmo modo que as </w:t>
      </w:r>
      <w:r w:rsidR="0068546D" w:rsidRPr="00AB315F">
        <w:rPr>
          <w:rFonts w:asciiTheme="minorHAnsi" w:hAnsiTheme="minorHAnsi"/>
        </w:rPr>
        <w:t>AFE padrão</w:t>
      </w:r>
    </w:p>
    <w:p w14:paraId="125715BA" w14:textId="31E93D1D" w:rsidR="008947A7" w:rsidRDefault="00FD4E99" w:rsidP="005A7075">
      <w:pPr>
        <w:spacing w:after="240" w:line="360" w:lineRule="auto"/>
        <w:jc w:val="both"/>
        <w:rPr>
          <w:rFonts w:asciiTheme="minorHAnsi" w:hAnsiTheme="minorHAnsi"/>
        </w:rPr>
      </w:pPr>
      <w:r w:rsidRPr="00AB315F">
        <w:rPr>
          <w:rFonts w:asciiTheme="minorHAnsi" w:hAnsiTheme="minorHAnsi"/>
        </w:rPr>
        <w:tab/>
        <w:t xml:space="preserve">As estimações da análise fatorial exploratória foram feitas segundo o critério de Kaiser, o qual sugere que devem ser extraídos apenas fatores com valor de </w:t>
      </w:r>
      <w:r w:rsidRPr="00AB315F">
        <w:rPr>
          <w:rFonts w:asciiTheme="minorHAnsi" w:hAnsiTheme="minorHAnsi"/>
          <w:i/>
        </w:rPr>
        <w:t>eigenvalue</w:t>
      </w:r>
      <w:r w:rsidRPr="00AB315F">
        <w:rPr>
          <w:rFonts w:asciiTheme="minorHAnsi" w:hAnsiTheme="minorHAnsi"/>
        </w:rPr>
        <w:t xml:space="preserve"> acima de 1. </w:t>
      </w:r>
      <w:r w:rsidR="005A77B0" w:rsidRPr="00AB315F">
        <w:rPr>
          <w:rFonts w:asciiTheme="minorHAnsi" w:hAnsiTheme="minorHAnsi"/>
        </w:rPr>
        <w:t xml:space="preserve"> </w:t>
      </w:r>
      <w:r w:rsidRPr="00AB315F">
        <w:rPr>
          <w:rFonts w:asciiTheme="minorHAnsi" w:hAnsiTheme="minorHAnsi"/>
        </w:rPr>
        <w:t>Assim, foram ge</w:t>
      </w:r>
      <w:r w:rsidR="0068546D" w:rsidRPr="00AB315F">
        <w:rPr>
          <w:rFonts w:asciiTheme="minorHAnsi" w:hAnsiTheme="minorHAnsi"/>
        </w:rPr>
        <w:t>rados três fatores conforme gráfico e tabelas das cargas fatoriais rotacionadas abaixo:</w:t>
      </w:r>
    </w:p>
    <w:p w14:paraId="5BDA5262" w14:textId="7567C53E" w:rsidR="008947A7" w:rsidRPr="00021DE4" w:rsidRDefault="008947A7" w:rsidP="00021DE4">
      <w:pPr>
        <w:spacing w:after="240" w:line="360" w:lineRule="auto"/>
        <w:jc w:val="center"/>
        <w:rPr>
          <w:rFonts w:asciiTheme="minorHAnsi" w:hAnsiTheme="minorHAnsi"/>
          <w:b/>
        </w:rPr>
      </w:pPr>
      <w:r w:rsidRPr="00021DE4">
        <w:rPr>
          <w:rFonts w:asciiTheme="minorHAnsi" w:hAnsiTheme="minorHAnsi"/>
          <w:b/>
        </w:rPr>
        <w:t xml:space="preserve">Gráfico </w:t>
      </w:r>
      <w:r w:rsidR="00021DE4" w:rsidRPr="00021DE4">
        <w:rPr>
          <w:rFonts w:asciiTheme="minorHAnsi" w:hAnsiTheme="minorHAnsi"/>
          <w:b/>
        </w:rPr>
        <w:t>7.</w:t>
      </w:r>
      <w:r w:rsidR="00021DE4">
        <w:rPr>
          <w:rFonts w:asciiTheme="minorHAnsi" w:hAnsiTheme="minorHAnsi"/>
          <w:b/>
        </w:rPr>
        <w:t xml:space="preserve"> Fatores sub</w:t>
      </w:r>
      <w:r w:rsidR="00184EA2">
        <w:rPr>
          <w:rFonts w:asciiTheme="minorHAnsi" w:hAnsiTheme="minorHAnsi"/>
          <w:b/>
        </w:rPr>
        <w:t>j</w:t>
      </w:r>
      <w:r w:rsidR="00021DE4">
        <w:rPr>
          <w:rFonts w:asciiTheme="minorHAnsi" w:hAnsiTheme="minorHAnsi"/>
          <w:b/>
        </w:rPr>
        <w:t>acentes</w:t>
      </w:r>
      <w:r w:rsidR="00184EA2">
        <w:rPr>
          <w:rFonts w:asciiTheme="minorHAnsi" w:hAnsiTheme="minorHAnsi"/>
          <w:b/>
        </w:rPr>
        <w:t xml:space="preserve"> de indicadores divergentes</w:t>
      </w:r>
    </w:p>
    <w:p w14:paraId="3FFCDD82" w14:textId="433ACF8C" w:rsidR="000958C2" w:rsidRDefault="0068546D" w:rsidP="001F22A9">
      <w:pPr>
        <w:spacing w:line="360" w:lineRule="auto"/>
        <w:ind w:firstLine="708"/>
        <w:jc w:val="center"/>
        <w:rPr>
          <w:rFonts w:asciiTheme="minorHAnsi" w:hAnsiTheme="minorHAnsi"/>
        </w:rPr>
      </w:pPr>
      <w:r w:rsidRPr="00AB315F">
        <w:rPr>
          <w:rFonts w:asciiTheme="minorHAnsi" w:hAnsiTheme="minorHAnsi"/>
          <w:noProof/>
        </w:rPr>
        <w:drawing>
          <wp:inline distT="0" distB="0" distL="0" distR="0" wp14:anchorId="42390AD9" wp14:editId="6DA71863">
            <wp:extent cx="3291840" cy="2155051"/>
            <wp:effectExtent l="0" t="0" r="3810" b="0"/>
            <wp:docPr id="264" name="Imagem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grafico eigenvalues AFE policóricas .png"/>
                    <pic:cNvPicPr/>
                  </pic:nvPicPr>
                  <pic:blipFill rotWithShape="1">
                    <a:blip r:embed="rId17">
                      <a:grayscl/>
                      <a:extLst>
                        <a:ext uri="{28A0092B-C50C-407E-A947-70E740481C1C}">
                          <a14:useLocalDpi xmlns:a14="http://schemas.microsoft.com/office/drawing/2010/main" val="0"/>
                        </a:ext>
                      </a:extLst>
                    </a:blip>
                    <a:srcRect t="10054"/>
                    <a:stretch/>
                  </pic:blipFill>
                  <pic:spPr bwMode="auto">
                    <a:xfrm>
                      <a:off x="0" y="0"/>
                      <a:ext cx="3314425" cy="2169836"/>
                    </a:xfrm>
                    <a:prstGeom prst="rect">
                      <a:avLst/>
                    </a:prstGeom>
                    <a:ln>
                      <a:noFill/>
                    </a:ln>
                    <a:extLst>
                      <a:ext uri="{53640926-AAD7-44D8-BBD7-CCE9431645EC}">
                        <a14:shadowObscured xmlns:a14="http://schemas.microsoft.com/office/drawing/2010/main"/>
                      </a:ext>
                    </a:extLst>
                  </pic:spPr>
                </pic:pic>
              </a:graphicData>
            </a:graphic>
          </wp:inline>
        </w:drawing>
      </w:r>
    </w:p>
    <w:p w14:paraId="0D1C9F07" w14:textId="3B30CA08" w:rsidR="001F728A" w:rsidRPr="001F728A" w:rsidRDefault="001F728A" w:rsidP="001F22A9">
      <w:pPr>
        <w:spacing w:line="360" w:lineRule="auto"/>
        <w:ind w:left="708" w:firstLine="708"/>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 </w:t>
      </w:r>
      <w:r>
        <w:rPr>
          <w:rFonts w:ascii="Calibri" w:hAnsi="Calibri"/>
          <w:sz w:val="20"/>
          <w:szCs w:val="22"/>
        </w:rPr>
        <w:t>elaboração própria</w:t>
      </w:r>
    </w:p>
    <w:p w14:paraId="7799CF0B" w14:textId="77777777" w:rsidR="00021DE4" w:rsidRDefault="00021DE4" w:rsidP="00427D29">
      <w:pPr>
        <w:spacing w:line="360" w:lineRule="auto"/>
        <w:ind w:firstLine="708"/>
        <w:jc w:val="both"/>
        <w:rPr>
          <w:rFonts w:asciiTheme="minorHAnsi" w:hAnsiTheme="minorHAnsi"/>
        </w:rPr>
      </w:pPr>
    </w:p>
    <w:p w14:paraId="62A8C544" w14:textId="427BA48B" w:rsidR="00021DE4" w:rsidRPr="00021DE4" w:rsidRDefault="00021DE4" w:rsidP="00021DE4">
      <w:pPr>
        <w:spacing w:line="360" w:lineRule="auto"/>
        <w:jc w:val="center"/>
        <w:rPr>
          <w:rFonts w:asciiTheme="minorHAnsi" w:hAnsiTheme="minorHAnsi"/>
          <w:b/>
        </w:rPr>
      </w:pPr>
      <w:r w:rsidRPr="00021DE4">
        <w:rPr>
          <w:rFonts w:asciiTheme="minorHAnsi" w:hAnsiTheme="minorHAnsi"/>
          <w:b/>
        </w:rPr>
        <w:t xml:space="preserve">Tabela 6. </w:t>
      </w:r>
      <w:r w:rsidR="00686A3D">
        <w:rPr>
          <w:rFonts w:asciiTheme="minorHAnsi" w:hAnsiTheme="minorHAnsi"/>
          <w:b/>
        </w:rPr>
        <w:t>Fatores Rotacionados</w:t>
      </w:r>
      <w:r w:rsidRPr="00021DE4">
        <w:rPr>
          <w:rFonts w:asciiTheme="minorHAnsi" w:hAnsiTheme="minorHAnsi"/>
          <w:b/>
        </w:rPr>
        <w:t xml:space="preserve"> indicadores divergentes</w:t>
      </w:r>
    </w:p>
    <w:tbl>
      <w:tblPr>
        <w:tblW w:w="5310" w:type="dxa"/>
        <w:jc w:val="center"/>
        <w:tblCellMar>
          <w:left w:w="70" w:type="dxa"/>
          <w:right w:w="70" w:type="dxa"/>
        </w:tblCellMar>
        <w:tblLook w:val="04A0" w:firstRow="1" w:lastRow="0" w:firstColumn="1" w:lastColumn="0" w:noHBand="0" w:noVBand="1"/>
      </w:tblPr>
      <w:tblGrid>
        <w:gridCol w:w="984"/>
        <w:gridCol w:w="921"/>
        <w:gridCol w:w="1074"/>
        <w:gridCol w:w="1111"/>
        <w:gridCol w:w="1410"/>
      </w:tblGrid>
      <w:tr w:rsidR="00686A3D" w:rsidRPr="00AB315F" w14:paraId="752740C8" w14:textId="77777777" w:rsidTr="00686A3D">
        <w:trPr>
          <w:trHeight w:val="290"/>
          <w:jc w:val="center"/>
        </w:trPr>
        <w:tc>
          <w:tcPr>
            <w:tcW w:w="984" w:type="dxa"/>
            <w:tcBorders>
              <w:top w:val="single" w:sz="4" w:space="0" w:color="auto"/>
              <w:left w:val="nil"/>
              <w:bottom w:val="single" w:sz="4" w:space="0" w:color="auto"/>
              <w:right w:val="nil"/>
            </w:tcBorders>
            <w:shd w:val="clear" w:color="auto" w:fill="auto"/>
            <w:noWrap/>
            <w:vAlign w:val="center"/>
          </w:tcPr>
          <w:p w14:paraId="0A96B2BF" w14:textId="38BFB942" w:rsidR="00686A3D" w:rsidRPr="00AB315F" w:rsidRDefault="00686A3D" w:rsidP="005308FF">
            <w:pPr>
              <w:jc w:val="center"/>
              <w:rPr>
                <w:rFonts w:ascii="Calibri" w:hAnsi="Calibri"/>
                <w:sz w:val="22"/>
                <w:szCs w:val="22"/>
              </w:rPr>
            </w:pPr>
            <w:r w:rsidRPr="00AB315F">
              <w:rPr>
                <w:rFonts w:ascii="Calibri" w:hAnsi="Calibri"/>
                <w:sz w:val="22"/>
                <w:szCs w:val="22"/>
              </w:rPr>
              <w:t>Indicador</w:t>
            </w:r>
          </w:p>
        </w:tc>
        <w:tc>
          <w:tcPr>
            <w:tcW w:w="9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53FA2A" w14:textId="2E32F969" w:rsidR="00686A3D" w:rsidRPr="00AB315F" w:rsidRDefault="00686A3D" w:rsidP="005308FF">
            <w:pPr>
              <w:jc w:val="center"/>
              <w:rPr>
                <w:rFonts w:ascii="Calibri" w:hAnsi="Calibri"/>
                <w:sz w:val="22"/>
                <w:szCs w:val="22"/>
              </w:rPr>
            </w:pPr>
            <w:r w:rsidRPr="00AB315F">
              <w:rPr>
                <w:rFonts w:ascii="Calibri" w:hAnsi="Calibri"/>
                <w:sz w:val="22"/>
                <w:szCs w:val="22"/>
              </w:rPr>
              <w:t>Fator1</w:t>
            </w:r>
          </w:p>
        </w:tc>
        <w:tc>
          <w:tcPr>
            <w:tcW w:w="1074" w:type="dxa"/>
            <w:tcBorders>
              <w:top w:val="single" w:sz="4" w:space="0" w:color="auto"/>
              <w:left w:val="nil"/>
              <w:bottom w:val="single" w:sz="4" w:space="0" w:color="auto"/>
              <w:right w:val="single" w:sz="4" w:space="0" w:color="auto"/>
            </w:tcBorders>
            <w:shd w:val="clear" w:color="auto" w:fill="auto"/>
            <w:noWrap/>
            <w:vAlign w:val="center"/>
          </w:tcPr>
          <w:p w14:paraId="7AB1009C" w14:textId="74970237" w:rsidR="00686A3D" w:rsidRPr="00AB315F" w:rsidRDefault="00686A3D" w:rsidP="005308FF">
            <w:pPr>
              <w:jc w:val="center"/>
              <w:rPr>
                <w:rFonts w:ascii="Calibri" w:hAnsi="Calibri"/>
                <w:sz w:val="22"/>
                <w:szCs w:val="22"/>
              </w:rPr>
            </w:pPr>
            <w:r w:rsidRPr="00AB315F">
              <w:rPr>
                <w:rFonts w:ascii="Calibri" w:hAnsi="Calibri"/>
                <w:sz w:val="22"/>
                <w:szCs w:val="22"/>
              </w:rPr>
              <w:t>Fator2</w:t>
            </w:r>
          </w:p>
        </w:tc>
        <w:tc>
          <w:tcPr>
            <w:tcW w:w="1111" w:type="dxa"/>
            <w:tcBorders>
              <w:top w:val="single" w:sz="4" w:space="0" w:color="auto"/>
              <w:left w:val="nil"/>
              <w:bottom w:val="single" w:sz="4" w:space="0" w:color="auto"/>
              <w:right w:val="single" w:sz="4" w:space="0" w:color="auto"/>
            </w:tcBorders>
            <w:shd w:val="clear" w:color="auto" w:fill="auto"/>
            <w:noWrap/>
            <w:vAlign w:val="center"/>
          </w:tcPr>
          <w:p w14:paraId="73715B54" w14:textId="603CE659" w:rsidR="00686A3D" w:rsidRPr="00AB315F" w:rsidRDefault="00686A3D" w:rsidP="005308FF">
            <w:pPr>
              <w:jc w:val="center"/>
              <w:rPr>
                <w:rFonts w:ascii="Calibri" w:hAnsi="Calibri"/>
                <w:sz w:val="22"/>
                <w:szCs w:val="22"/>
              </w:rPr>
            </w:pPr>
            <w:r w:rsidRPr="00AB315F">
              <w:rPr>
                <w:rFonts w:ascii="Calibri" w:hAnsi="Calibri"/>
                <w:sz w:val="22"/>
                <w:szCs w:val="22"/>
              </w:rPr>
              <w:t>Fator3</w:t>
            </w:r>
          </w:p>
        </w:tc>
        <w:tc>
          <w:tcPr>
            <w:tcW w:w="1220" w:type="dxa"/>
            <w:tcBorders>
              <w:top w:val="single" w:sz="4" w:space="0" w:color="auto"/>
              <w:left w:val="nil"/>
              <w:bottom w:val="single" w:sz="4" w:space="0" w:color="auto"/>
              <w:right w:val="nil"/>
            </w:tcBorders>
            <w:shd w:val="clear" w:color="auto" w:fill="auto"/>
            <w:noWrap/>
            <w:vAlign w:val="center"/>
          </w:tcPr>
          <w:p w14:paraId="5EC98CB1" w14:textId="5F0566F2" w:rsidR="00686A3D" w:rsidRPr="00AB315F" w:rsidRDefault="005D5DC8" w:rsidP="005308FF">
            <w:pPr>
              <w:jc w:val="center"/>
              <w:rPr>
                <w:rFonts w:ascii="Calibri" w:hAnsi="Calibri"/>
                <w:sz w:val="22"/>
                <w:szCs w:val="22"/>
              </w:rPr>
            </w:pPr>
            <w:r>
              <w:rPr>
                <w:rFonts w:ascii="Calibri" w:hAnsi="Calibri"/>
                <w:sz w:val="22"/>
                <w:szCs w:val="22"/>
              </w:rPr>
              <w:t>Especificidade</w:t>
            </w:r>
          </w:p>
        </w:tc>
      </w:tr>
      <w:tr w:rsidR="00686A3D" w:rsidRPr="00AB315F" w14:paraId="3E8C018A" w14:textId="77777777" w:rsidTr="00686A3D">
        <w:trPr>
          <w:trHeight w:val="290"/>
          <w:jc w:val="center"/>
        </w:trPr>
        <w:tc>
          <w:tcPr>
            <w:tcW w:w="984" w:type="dxa"/>
            <w:tcBorders>
              <w:top w:val="nil"/>
              <w:left w:val="nil"/>
              <w:bottom w:val="nil"/>
              <w:right w:val="nil"/>
            </w:tcBorders>
            <w:shd w:val="clear" w:color="auto" w:fill="auto"/>
            <w:noWrap/>
            <w:vAlign w:val="center"/>
          </w:tcPr>
          <w:p w14:paraId="7DED3ABA" w14:textId="798B8AAA" w:rsidR="00686A3D" w:rsidRPr="00AB315F" w:rsidRDefault="00686A3D" w:rsidP="005308FF">
            <w:pPr>
              <w:jc w:val="center"/>
              <w:rPr>
                <w:rFonts w:ascii="Calibri" w:hAnsi="Calibri"/>
                <w:sz w:val="22"/>
                <w:szCs w:val="22"/>
              </w:rPr>
            </w:pPr>
            <w:r w:rsidRPr="00AB315F">
              <w:rPr>
                <w:rFonts w:ascii="Calibri" w:hAnsi="Calibri"/>
                <w:sz w:val="22"/>
                <w:szCs w:val="22"/>
              </w:rPr>
              <w:t>propina1</w:t>
            </w:r>
          </w:p>
        </w:tc>
        <w:tc>
          <w:tcPr>
            <w:tcW w:w="921" w:type="dxa"/>
            <w:tcBorders>
              <w:top w:val="nil"/>
              <w:left w:val="single" w:sz="4" w:space="0" w:color="auto"/>
              <w:bottom w:val="nil"/>
              <w:right w:val="single" w:sz="4" w:space="0" w:color="auto"/>
            </w:tcBorders>
            <w:shd w:val="clear" w:color="auto" w:fill="auto"/>
            <w:noWrap/>
            <w:vAlign w:val="center"/>
          </w:tcPr>
          <w:p w14:paraId="10F2FE5D" w14:textId="7953A626" w:rsidR="00686A3D" w:rsidRPr="00AB315F" w:rsidRDefault="00686A3D" w:rsidP="005308FF">
            <w:pPr>
              <w:jc w:val="center"/>
              <w:rPr>
                <w:rFonts w:ascii="Calibri" w:hAnsi="Calibri"/>
                <w:sz w:val="22"/>
                <w:szCs w:val="22"/>
              </w:rPr>
            </w:pPr>
            <w:r w:rsidRPr="00AB315F">
              <w:rPr>
                <w:rFonts w:ascii="Calibri" w:hAnsi="Calibri"/>
                <w:sz w:val="22"/>
                <w:szCs w:val="22"/>
              </w:rPr>
              <w:t>0,055</w:t>
            </w:r>
          </w:p>
        </w:tc>
        <w:tc>
          <w:tcPr>
            <w:tcW w:w="1074" w:type="dxa"/>
            <w:tcBorders>
              <w:top w:val="nil"/>
              <w:left w:val="nil"/>
              <w:bottom w:val="nil"/>
              <w:right w:val="single" w:sz="4" w:space="0" w:color="auto"/>
            </w:tcBorders>
            <w:shd w:val="clear" w:color="auto" w:fill="auto"/>
            <w:noWrap/>
            <w:vAlign w:val="center"/>
          </w:tcPr>
          <w:p w14:paraId="5514F4F3" w14:textId="1919EC87" w:rsidR="00686A3D" w:rsidRPr="00AB315F" w:rsidRDefault="00686A3D" w:rsidP="005308FF">
            <w:pPr>
              <w:jc w:val="center"/>
              <w:rPr>
                <w:rFonts w:ascii="Calibri" w:hAnsi="Calibri"/>
                <w:sz w:val="22"/>
                <w:szCs w:val="22"/>
              </w:rPr>
            </w:pPr>
            <w:r w:rsidRPr="00AB315F">
              <w:rPr>
                <w:rFonts w:ascii="Calibri" w:hAnsi="Calibri"/>
                <w:sz w:val="22"/>
                <w:szCs w:val="22"/>
              </w:rPr>
              <w:t>0,145</w:t>
            </w:r>
          </w:p>
        </w:tc>
        <w:tc>
          <w:tcPr>
            <w:tcW w:w="1111" w:type="dxa"/>
            <w:tcBorders>
              <w:top w:val="nil"/>
              <w:left w:val="nil"/>
              <w:bottom w:val="nil"/>
              <w:right w:val="single" w:sz="4" w:space="0" w:color="auto"/>
            </w:tcBorders>
            <w:shd w:val="clear" w:color="auto" w:fill="auto"/>
            <w:noWrap/>
            <w:vAlign w:val="center"/>
          </w:tcPr>
          <w:p w14:paraId="2005ECD7" w14:textId="1293C01A"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0,861</w:t>
            </w:r>
          </w:p>
        </w:tc>
        <w:tc>
          <w:tcPr>
            <w:tcW w:w="1220" w:type="dxa"/>
            <w:tcBorders>
              <w:top w:val="nil"/>
              <w:left w:val="nil"/>
              <w:bottom w:val="nil"/>
              <w:right w:val="nil"/>
            </w:tcBorders>
            <w:shd w:val="clear" w:color="auto" w:fill="auto"/>
            <w:noWrap/>
            <w:vAlign w:val="center"/>
          </w:tcPr>
          <w:p w14:paraId="1E5BB06D" w14:textId="493D5CBE" w:rsidR="00686A3D" w:rsidRPr="00AB315F" w:rsidRDefault="00686A3D" w:rsidP="005308FF">
            <w:pPr>
              <w:jc w:val="center"/>
              <w:rPr>
                <w:rFonts w:ascii="Calibri" w:hAnsi="Calibri"/>
                <w:sz w:val="22"/>
                <w:szCs w:val="22"/>
              </w:rPr>
            </w:pPr>
            <w:r w:rsidRPr="00AB315F">
              <w:rPr>
                <w:rFonts w:ascii="Calibri" w:hAnsi="Calibri"/>
                <w:sz w:val="22"/>
                <w:szCs w:val="22"/>
              </w:rPr>
              <w:t>0,235</w:t>
            </w:r>
          </w:p>
        </w:tc>
      </w:tr>
      <w:tr w:rsidR="00686A3D" w:rsidRPr="00AB315F" w14:paraId="60E59C8E" w14:textId="77777777" w:rsidTr="00686A3D">
        <w:trPr>
          <w:trHeight w:val="290"/>
          <w:jc w:val="center"/>
        </w:trPr>
        <w:tc>
          <w:tcPr>
            <w:tcW w:w="984" w:type="dxa"/>
            <w:tcBorders>
              <w:top w:val="nil"/>
              <w:left w:val="nil"/>
              <w:bottom w:val="nil"/>
              <w:right w:val="nil"/>
            </w:tcBorders>
            <w:shd w:val="clear" w:color="auto" w:fill="auto"/>
            <w:noWrap/>
            <w:vAlign w:val="center"/>
          </w:tcPr>
          <w:p w14:paraId="1C23F0F6" w14:textId="521BC0CF" w:rsidR="00686A3D" w:rsidRPr="00AB315F" w:rsidRDefault="00686A3D" w:rsidP="005308FF">
            <w:pPr>
              <w:jc w:val="center"/>
              <w:rPr>
                <w:rFonts w:ascii="Calibri" w:hAnsi="Calibri"/>
                <w:sz w:val="22"/>
                <w:szCs w:val="22"/>
              </w:rPr>
            </w:pPr>
            <w:r w:rsidRPr="00AB315F">
              <w:rPr>
                <w:rFonts w:ascii="Calibri" w:hAnsi="Calibri"/>
                <w:sz w:val="22"/>
                <w:szCs w:val="22"/>
              </w:rPr>
              <w:t>propina2</w:t>
            </w:r>
          </w:p>
        </w:tc>
        <w:tc>
          <w:tcPr>
            <w:tcW w:w="921" w:type="dxa"/>
            <w:tcBorders>
              <w:top w:val="nil"/>
              <w:left w:val="single" w:sz="4" w:space="0" w:color="auto"/>
              <w:bottom w:val="nil"/>
              <w:right w:val="single" w:sz="4" w:space="0" w:color="auto"/>
            </w:tcBorders>
            <w:shd w:val="clear" w:color="auto" w:fill="auto"/>
            <w:noWrap/>
            <w:vAlign w:val="center"/>
          </w:tcPr>
          <w:p w14:paraId="29DFE170" w14:textId="0DC0B299" w:rsidR="00686A3D" w:rsidRPr="00AB315F" w:rsidRDefault="00686A3D" w:rsidP="005308FF">
            <w:pPr>
              <w:jc w:val="center"/>
              <w:rPr>
                <w:rFonts w:ascii="Calibri" w:hAnsi="Calibri"/>
                <w:sz w:val="22"/>
                <w:szCs w:val="22"/>
              </w:rPr>
            </w:pPr>
            <w:r w:rsidRPr="00AB315F">
              <w:rPr>
                <w:rFonts w:ascii="Calibri" w:hAnsi="Calibri"/>
                <w:sz w:val="22"/>
                <w:szCs w:val="22"/>
              </w:rPr>
              <w:t>0,003</w:t>
            </w:r>
          </w:p>
        </w:tc>
        <w:tc>
          <w:tcPr>
            <w:tcW w:w="1074" w:type="dxa"/>
            <w:tcBorders>
              <w:top w:val="nil"/>
              <w:left w:val="nil"/>
              <w:bottom w:val="nil"/>
              <w:right w:val="single" w:sz="4" w:space="0" w:color="auto"/>
            </w:tcBorders>
            <w:shd w:val="clear" w:color="auto" w:fill="auto"/>
            <w:noWrap/>
            <w:vAlign w:val="center"/>
          </w:tcPr>
          <w:p w14:paraId="0CD857E3" w14:textId="3490528D" w:rsidR="00686A3D" w:rsidRPr="00AB315F" w:rsidRDefault="00686A3D" w:rsidP="005308FF">
            <w:pPr>
              <w:jc w:val="center"/>
              <w:rPr>
                <w:rFonts w:ascii="Calibri" w:hAnsi="Calibri"/>
                <w:sz w:val="22"/>
                <w:szCs w:val="22"/>
              </w:rPr>
            </w:pPr>
            <w:r w:rsidRPr="00AB315F">
              <w:rPr>
                <w:rFonts w:ascii="Calibri" w:hAnsi="Calibri"/>
                <w:sz w:val="22"/>
                <w:szCs w:val="22"/>
              </w:rPr>
              <w:t>0,147</w:t>
            </w:r>
          </w:p>
        </w:tc>
        <w:tc>
          <w:tcPr>
            <w:tcW w:w="1111" w:type="dxa"/>
            <w:tcBorders>
              <w:top w:val="nil"/>
              <w:left w:val="nil"/>
              <w:bottom w:val="nil"/>
              <w:right w:val="single" w:sz="4" w:space="0" w:color="auto"/>
            </w:tcBorders>
            <w:shd w:val="clear" w:color="auto" w:fill="auto"/>
            <w:noWrap/>
            <w:vAlign w:val="center"/>
          </w:tcPr>
          <w:p w14:paraId="62B05CE7" w14:textId="1FBBC331"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0,862</w:t>
            </w:r>
          </w:p>
        </w:tc>
        <w:tc>
          <w:tcPr>
            <w:tcW w:w="1220" w:type="dxa"/>
            <w:tcBorders>
              <w:top w:val="nil"/>
              <w:left w:val="nil"/>
              <w:bottom w:val="nil"/>
              <w:right w:val="nil"/>
            </w:tcBorders>
            <w:shd w:val="clear" w:color="auto" w:fill="auto"/>
            <w:noWrap/>
            <w:vAlign w:val="center"/>
          </w:tcPr>
          <w:p w14:paraId="22E90806" w14:textId="013BEBB9" w:rsidR="00686A3D" w:rsidRPr="00AB315F" w:rsidRDefault="00686A3D" w:rsidP="005308FF">
            <w:pPr>
              <w:jc w:val="center"/>
              <w:rPr>
                <w:rFonts w:ascii="Calibri" w:hAnsi="Calibri"/>
                <w:sz w:val="22"/>
                <w:szCs w:val="22"/>
              </w:rPr>
            </w:pPr>
            <w:r w:rsidRPr="00AB315F">
              <w:rPr>
                <w:rFonts w:ascii="Calibri" w:hAnsi="Calibri"/>
                <w:sz w:val="22"/>
                <w:szCs w:val="22"/>
              </w:rPr>
              <w:t>0,235</w:t>
            </w:r>
          </w:p>
        </w:tc>
      </w:tr>
      <w:tr w:rsidR="00686A3D" w:rsidRPr="00AB315F" w14:paraId="71F6A919" w14:textId="77777777" w:rsidTr="00686A3D">
        <w:trPr>
          <w:trHeight w:val="290"/>
          <w:jc w:val="center"/>
        </w:trPr>
        <w:tc>
          <w:tcPr>
            <w:tcW w:w="984" w:type="dxa"/>
            <w:tcBorders>
              <w:top w:val="nil"/>
              <w:left w:val="nil"/>
              <w:bottom w:val="nil"/>
              <w:right w:val="nil"/>
            </w:tcBorders>
            <w:shd w:val="clear" w:color="auto" w:fill="auto"/>
            <w:noWrap/>
            <w:vAlign w:val="center"/>
          </w:tcPr>
          <w:p w14:paraId="63B3CD46" w14:textId="72CEBF2B" w:rsidR="00686A3D" w:rsidRPr="00AB315F" w:rsidRDefault="00686A3D" w:rsidP="005308FF">
            <w:pPr>
              <w:jc w:val="center"/>
              <w:rPr>
                <w:rFonts w:ascii="Calibri" w:hAnsi="Calibri"/>
                <w:sz w:val="22"/>
                <w:szCs w:val="22"/>
              </w:rPr>
            </w:pPr>
            <w:r w:rsidRPr="00AB315F">
              <w:rPr>
                <w:rFonts w:ascii="Calibri" w:hAnsi="Calibri"/>
                <w:sz w:val="22"/>
                <w:szCs w:val="22"/>
              </w:rPr>
              <w:t>rmf1</w:t>
            </w:r>
          </w:p>
        </w:tc>
        <w:tc>
          <w:tcPr>
            <w:tcW w:w="921" w:type="dxa"/>
            <w:tcBorders>
              <w:top w:val="nil"/>
              <w:left w:val="single" w:sz="4" w:space="0" w:color="auto"/>
              <w:bottom w:val="nil"/>
              <w:right w:val="single" w:sz="4" w:space="0" w:color="auto"/>
            </w:tcBorders>
            <w:shd w:val="clear" w:color="auto" w:fill="auto"/>
            <w:noWrap/>
            <w:vAlign w:val="center"/>
          </w:tcPr>
          <w:p w14:paraId="03D6E088" w14:textId="0088BFD9" w:rsidR="00686A3D" w:rsidRPr="00AB315F" w:rsidRDefault="00686A3D" w:rsidP="005308FF">
            <w:pPr>
              <w:jc w:val="center"/>
              <w:rPr>
                <w:rFonts w:ascii="Calibri" w:hAnsi="Calibri"/>
                <w:sz w:val="22"/>
                <w:szCs w:val="22"/>
              </w:rPr>
            </w:pPr>
            <w:r w:rsidRPr="00AB315F">
              <w:rPr>
                <w:rFonts w:ascii="Calibri" w:hAnsi="Calibri"/>
                <w:sz w:val="22"/>
                <w:szCs w:val="22"/>
              </w:rPr>
              <w:t>0,206</w:t>
            </w:r>
          </w:p>
        </w:tc>
        <w:tc>
          <w:tcPr>
            <w:tcW w:w="1074" w:type="dxa"/>
            <w:tcBorders>
              <w:top w:val="nil"/>
              <w:left w:val="nil"/>
              <w:bottom w:val="nil"/>
              <w:right w:val="single" w:sz="4" w:space="0" w:color="auto"/>
            </w:tcBorders>
            <w:shd w:val="clear" w:color="auto" w:fill="auto"/>
            <w:noWrap/>
            <w:vAlign w:val="center"/>
          </w:tcPr>
          <w:p w14:paraId="65707CAC" w14:textId="1934A427"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0,705</w:t>
            </w:r>
          </w:p>
        </w:tc>
        <w:tc>
          <w:tcPr>
            <w:tcW w:w="1111" w:type="dxa"/>
            <w:tcBorders>
              <w:top w:val="nil"/>
              <w:left w:val="nil"/>
              <w:bottom w:val="nil"/>
              <w:right w:val="single" w:sz="4" w:space="0" w:color="auto"/>
            </w:tcBorders>
            <w:shd w:val="clear" w:color="auto" w:fill="auto"/>
            <w:noWrap/>
            <w:vAlign w:val="center"/>
          </w:tcPr>
          <w:p w14:paraId="276BC653" w14:textId="138A281D" w:rsidR="00686A3D" w:rsidRPr="00AB315F" w:rsidRDefault="00686A3D" w:rsidP="005308FF">
            <w:pPr>
              <w:jc w:val="center"/>
              <w:rPr>
                <w:rFonts w:ascii="Calibri" w:hAnsi="Calibri"/>
                <w:sz w:val="22"/>
                <w:szCs w:val="22"/>
              </w:rPr>
            </w:pPr>
            <w:r w:rsidRPr="00AB315F">
              <w:rPr>
                <w:rFonts w:ascii="Calibri" w:hAnsi="Calibri"/>
                <w:sz w:val="22"/>
                <w:szCs w:val="22"/>
              </w:rPr>
              <w:t>0,160</w:t>
            </w:r>
          </w:p>
        </w:tc>
        <w:tc>
          <w:tcPr>
            <w:tcW w:w="1220" w:type="dxa"/>
            <w:tcBorders>
              <w:top w:val="nil"/>
              <w:left w:val="nil"/>
              <w:bottom w:val="nil"/>
              <w:right w:val="nil"/>
            </w:tcBorders>
            <w:shd w:val="clear" w:color="auto" w:fill="auto"/>
            <w:noWrap/>
            <w:vAlign w:val="center"/>
          </w:tcPr>
          <w:p w14:paraId="6CA430F2" w14:textId="3631AB80" w:rsidR="00686A3D" w:rsidRPr="00AB315F" w:rsidRDefault="00686A3D" w:rsidP="005308FF">
            <w:pPr>
              <w:jc w:val="center"/>
              <w:rPr>
                <w:rFonts w:ascii="Calibri" w:hAnsi="Calibri"/>
                <w:sz w:val="22"/>
                <w:szCs w:val="22"/>
              </w:rPr>
            </w:pPr>
            <w:r w:rsidRPr="00AB315F">
              <w:rPr>
                <w:rFonts w:ascii="Calibri" w:hAnsi="Calibri"/>
                <w:sz w:val="22"/>
                <w:szCs w:val="22"/>
              </w:rPr>
              <w:t>0,436</w:t>
            </w:r>
          </w:p>
        </w:tc>
      </w:tr>
      <w:tr w:rsidR="00686A3D" w:rsidRPr="00AB315F" w14:paraId="148F7FD8" w14:textId="77777777" w:rsidTr="00686A3D">
        <w:trPr>
          <w:trHeight w:val="290"/>
          <w:jc w:val="center"/>
        </w:trPr>
        <w:tc>
          <w:tcPr>
            <w:tcW w:w="984" w:type="dxa"/>
            <w:tcBorders>
              <w:top w:val="nil"/>
              <w:left w:val="nil"/>
              <w:bottom w:val="nil"/>
              <w:right w:val="nil"/>
            </w:tcBorders>
            <w:shd w:val="clear" w:color="auto" w:fill="auto"/>
            <w:noWrap/>
            <w:vAlign w:val="center"/>
            <w:hideMark/>
          </w:tcPr>
          <w:p w14:paraId="1EC22795" w14:textId="057FA6EB" w:rsidR="00686A3D" w:rsidRPr="00AB315F" w:rsidRDefault="00686A3D" w:rsidP="005308FF">
            <w:pPr>
              <w:jc w:val="center"/>
              <w:rPr>
                <w:rFonts w:ascii="Calibri" w:hAnsi="Calibri"/>
                <w:sz w:val="22"/>
                <w:szCs w:val="22"/>
              </w:rPr>
            </w:pPr>
            <w:r w:rsidRPr="00AB315F">
              <w:rPr>
                <w:rFonts w:ascii="Calibri" w:hAnsi="Calibri"/>
                <w:sz w:val="22"/>
                <w:szCs w:val="22"/>
              </w:rPr>
              <w:t>rmf2</w:t>
            </w:r>
          </w:p>
        </w:tc>
        <w:tc>
          <w:tcPr>
            <w:tcW w:w="921" w:type="dxa"/>
            <w:tcBorders>
              <w:top w:val="nil"/>
              <w:left w:val="single" w:sz="4" w:space="0" w:color="auto"/>
              <w:bottom w:val="nil"/>
              <w:right w:val="single" w:sz="4" w:space="0" w:color="auto"/>
            </w:tcBorders>
            <w:shd w:val="clear" w:color="auto" w:fill="auto"/>
            <w:noWrap/>
            <w:vAlign w:val="center"/>
            <w:hideMark/>
          </w:tcPr>
          <w:p w14:paraId="19755094" w14:textId="020FE363" w:rsidR="00686A3D" w:rsidRPr="00AB315F" w:rsidRDefault="00686A3D" w:rsidP="005308FF">
            <w:pPr>
              <w:jc w:val="center"/>
              <w:rPr>
                <w:sz w:val="20"/>
                <w:szCs w:val="20"/>
              </w:rPr>
            </w:pPr>
            <w:r w:rsidRPr="00AB315F">
              <w:rPr>
                <w:rFonts w:ascii="Calibri" w:hAnsi="Calibri"/>
                <w:sz w:val="22"/>
                <w:szCs w:val="22"/>
              </w:rPr>
              <w:t>0,186</w:t>
            </w:r>
          </w:p>
        </w:tc>
        <w:tc>
          <w:tcPr>
            <w:tcW w:w="1074" w:type="dxa"/>
            <w:tcBorders>
              <w:top w:val="nil"/>
              <w:left w:val="nil"/>
              <w:bottom w:val="nil"/>
              <w:right w:val="single" w:sz="4" w:space="0" w:color="auto"/>
            </w:tcBorders>
            <w:shd w:val="clear" w:color="auto" w:fill="auto"/>
            <w:noWrap/>
            <w:vAlign w:val="center"/>
            <w:hideMark/>
          </w:tcPr>
          <w:p w14:paraId="44A10240" w14:textId="3F14D147" w:rsidR="00686A3D" w:rsidRPr="00AB315F" w:rsidRDefault="00686A3D" w:rsidP="005308FF">
            <w:pPr>
              <w:jc w:val="center"/>
              <w:rPr>
                <w:sz w:val="20"/>
                <w:szCs w:val="20"/>
              </w:rPr>
            </w:pPr>
            <w:r w:rsidRPr="00AB315F">
              <w:rPr>
                <w:rFonts w:ascii="Calibri" w:hAnsi="Calibri"/>
                <w:sz w:val="22"/>
                <w:szCs w:val="22"/>
                <w:highlight w:val="lightGray"/>
              </w:rPr>
              <w:t>0,700</w:t>
            </w:r>
          </w:p>
        </w:tc>
        <w:tc>
          <w:tcPr>
            <w:tcW w:w="1111" w:type="dxa"/>
            <w:tcBorders>
              <w:top w:val="nil"/>
              <w:left w:val="nil"/>
              <w:bottom w:val="nil"/>
              <w:right w:val="single" w:sz="4" w:space="0" w:color="auto"/>
            </w:tcBorders>
            <w:shd w:val="clear" w:color="auto" w:fill="auto"/>
            <w:noWrap/>
            <w:vAlign w:val="center"/>
            <w:hideMark/>
          </w:tcPr>
          <w:p w14:paraId="6FE02BD6" w14:textId="45D1E426" w:rsidR="00686A3D" w:rsidRPr="00AB315F" w:rsidRDefault="00686A3D" w:rsidP="005308FF">
            <w:pPr>
              <w:jc w:val="center"/>
              <w:rPr>
                <w:sz w:val="20"/>
                <w:szCs w:val="20"/>
              </w:rPr>
            </w:pPr>
            <w:r w:rsidRPr="00AB315F">
              <w:rPr>
                <w:rFonts w:ascii="Calibri" w:hAnsi="Calibri"/>
                <w:sz w:val="22"/>
                <w:szCs w:val="22"/>
              </w:rPr>
              <w:t>0,185</w:t>
            </w:r>
          </w:p>
        </w:tc>
        <w:tc>
          <w:tcPr>
            <w:tcW w:w="1220" w:type="dxa"/>
            <w:tcBorders>
              <w:top w:val="nil"/>
              <w:left w:val="nil"/>
              <w:bottom w:val="nil"/>
              <w:right w:val="nil"/>
            </w:tcBorders>
            <w:shd w:val="clear" w:color="auto" w:fill="auto"/>
            <w:noWrap/>
            <w:vAlign w:val="center"/>
            <w:hideMark/>
          </w:tcPr>
          <w:p w14:paraId="05FEA1BD" w14:textId="16F713D8" w:rsidR="00686A3D" w:rsidRPr="00AB315F" w:rsidRDefault="00686A3D" w:rsidP="005308FF">
            <w:pPr>
              <w:jc w:val="center"/>
              <w:rPr>
                <w:sz w:val="20"/>
                <w:szCs w:val="20"/>
              </w:rPr>
            </w:pPr>
            <w:r w:rsidRPr="00AB315F">
              <w:rPr>
                <w:rFonts w:ascii="Calibri" w:hAnsi="Calibri"/>
                <w:sz w:val="22"/>
                <w:szCs w:val="22"/>
              </w:rPr>
              <w:t>0,441</w:t>
            </w:r>
          </w:p>
        </w:tc>
      </w:tr>
      <w:tr w:rsidR="00686A3D" w:rsidRPr="00AB315F" w14:paraId="28289D18" w14:textId="77777777" w:rsidTr="00021DE4">
        <w:trPr>
          <w:trHeight w:val="290"/>
          <w:jc w:val="center"/>
        </w:trPr>
        <w:tc>
          <w:tcPr>
            <w:tcW w:w="984" w:type="dxa"/>
            <w:tcBorders>
              <w:top w:val="nil"/>
              <w:left w:val="nil"/>
              <w:bottom w:val="nil"/>
              <w:right w:val="nil"/>
            </w:tcBorders>
            <w:shd w:val="clear" w:color="auto" w:fill="auto"/>
            <w:noWrap/>
            <w:vAlign w:val="center"/>
            <w:hideMark/>
          </w:tcPr>
          <w:p w14:paraId="60282D13" w14:textId="4D6DDBCC" w:rsidR="00686A3D" w:rsidRPr="00AB315F" w:rsidRDefault="00686A3D" w:rsidP="005308FF">
            <w:pPr>
              <w:jc w:val="center"/>
              <w:rPr>
                <w:rFonts w:ascii="Calibri" w:hAnsi="Calibri"/>
                <w:sz w:val="22"/>
                <w:szCs w:val="22"/>
              </w:rPr>
            </w:pPr>
            <w:r w:rsidRPr="00AB315F">
              <w:rPr>
                <w:rFonts w:ascii="Calibri" w:hAnsi="Calibri"/>
                <w:sz w:val="22"/>
                <w:szCs w:val="22"/>
              </w:rPr>
              <w:t>rmf3</w:t>
            </w:r>
          </w:p>
        </w:tc>
        <w:tc>
          <w:tcPr>
            <w:tcW w:w="921" w:type="dxa"/>
            <w:tcBorders>
              <w:top w:val="nil"/>
              <w:left w:val="single" w:sz="4" w:space="0" w:color="auto"/>
              <w:bottom w:val="nil"/>
              <w:right w:val="single" w:sz="4" w:space="0" w:color="auto"/>
            </w:tcBorders>
            <w:shd w:val="clear" w:color="auto" w:fill="auto"/>
            <w:noWrap/>
            <w:vAlign w:val="center"/>
            <w:hideMark/>
          </w:tcPr>
          <w:p w14:paraId="0056272B" w14:textId="34A9C665" w:rsidR="00686A3D" w:rsidRPr="00AB315F" w:rsidRDefault="00686A3D" w:rsidP="005308FF">
            <w:pPr>
              <w:jc w:val="center"/>
              <w:rPr>
                <w:rFonts w:ascii="Calibri" w:hAnsi="Calibri"/>
                <w:sz w:val="22"/>
                <w:szCs w:val="22"/>
              </w:rPr>
            </w:pPr>
            <w:r w:rsidRPr="00AB315F">
              <w:rPr>
                <w:rFonts w:ascii="Calibri" w:hAnsi="Calibri"/>
                <w:sz w:val="22"/>
                <w:szCs w:val="22"/>
              </w:rPr>
              <w:t>0,156</w:t>
            </w:r>
          </w:p>
        </w:tc>
        <w:tc>
          <w:tcPr>
            <w:tcW w:w="1074" w:type="dxa"/>
            <w:tcBorders>
              <w:top w:val="nil"/>
              <w:left w:val="nil"/>
              <w:bottom w:val="nil"/>
              <w:right w:val="single" w:sz="4" w:space="0" w:color="auto"/>
            </w:tcBorders>
            <w:shd w:val="clear" w:color="auto" w:fill="auto"/>
            <w:noWrap/>
            <w:vAlign w:val="center"/>
            <w:hideMark/>
          </w:tcPr>
          <w:p w14:paraId="04295A5E" w14:textId="021AC407"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0,695</w:t>
            </w:r>
          </w:p>
        </w:tc>
        <w:tc>
          <w:tcPr>
            <w:tcW w:w="1111" w:type="dxa"/>
            <w:tcBorders>
              <w:top w:val="nil"/>
              <w:left w:val="nil"/>
              <w:bottom w:val="nil"/>
              <w:right w:val="single" w:sz="4" w:space="0" w:color="auto"/>
            </w:tcBorders>
            <w:shd w:val="clear" w:color="auto" w:fill="auto"/>
            <w:noWrap/>
            <w:vAlign w:val="center"/>
            <w:hideMark/>
          </w:tcPr>
          <w:p w14:paraId="417C6F0A" w14:textId="1F2D3687" w:rsidR="00686A3D" w:rsidRPr="00AB315F" w:rsidRDefault="00686A3D" w:rsidP="005308FF">
            <w:pPr>
              <w:jc w:val="center"/>
              <w:rPr>
                <w:rFonts w:ascii="Calibri" w:hAnsi="Calibri"/>
                <w:sz w:val="22"/>
                <w:szCs w:val="22"/>
              </w:rPr>
            </w:pPr>
            <w:r w:rsidRPr="00AB315F">
              <w:rPr>
                <w:rFonts w:ascii="Calibri" w:hAnsi="Calibri"/>
                <w:sz w:val="22"/>
                <w:szCs w:val="22"/>
              </w:rPr>
              <w:t>0,152</w:t>
            </w:r>
          </w:p>
        </w:tc>
        <w:tc>
          <w:tcPr>
            <w:tcW w:w="1220" w:type="dxa"/>
            <w:tcBorders>
              <w:top w:val="nil"/>
              <w:left w:val="nil"/>
              <w:bottom w:val="nil"/>
              <w:right w:val="nil"/>
            </w:tcBorders>
            <w:shd w:val="clear" w:color="auto" w:fill="auto"/>
            <w:noWrap/>
            <w:vAlign w:val="center"/>
            <w:hideMark/>
          </w:tcPr>
          <w:p w14:paraId="5DBC9EE5" w14:textId="015ADE60" w:rsidR="00686A3D" w:rsidRPr="00AB315F" w:rsidRDefault="00686A3D" w:rsidP="005308FF">
            <w:pPr>
              <w:jc w:val="center"/>
              <w:rPr>
                <w:rFonts w:ascii="Calibri" w:hAnsi="Calibri"/>
                <w:sz w:val="22"/>
                <w:szCs w:val="22"/>
              </w:rPr>
            </w:pPr>
            <w:r w:rsidRPr="00AB315F">
              <w:rPr>
                <w:rFonts w:ascii="Calibri" w:hAnsi="Calibri"/>
                <w:sz w:val="22"/>
                <w:szCs w:val="22"/>
              </w:rPr>
              <w:t>0,469</w:t>
            </w:r>
          </w:p>
        </w:tc>
      </w:tr>
      <w:tr w:rsidR="00686A3D" w:rsidRPr="00AB315F" w14:paraId="2ED48AE5" w14:textId="77777777" w:rsidTr="00021DE4">
        <w:trPr>
          <w:trHeight w:val="290"/>
          <w:jc w:val="center"/>
        </w:trPr>
        <w:tc>
          <w:tcPr>
            <w:tcW w:w="984" w:type="dxa"/>
            <w:tcBorders>
              <w:top w:val="nil"/>
              <w:left w:val="nil"/>
              <w:bottom w:val="nil"/>
              <w:right w:val="nil"/>
            </w:tcBorders>
            <w:shd w:val="clear" w:color="auto" w:fill="auto"/>
            <w:noWrap/>
            <w:vAlign w:val="center"/>
            <w:hideMark/>
          </w:tcPr>
          <w:p w14:paraId="391F7CC2" w14:textId="43AFA0A2" w:rsidR="00686A3D" w:rsidRPr="00AB315F" w:rsidRDefault="00686A3D" w:rsidP="005308FF">
            <w:pPr>
              <w:jc w:val="center"/>
              <w:rPr>
                <w:rFonts w:ascii="Calibri" w:hAnsi="Calibri"/>
                <w:sz w:val="22"/>
                <w:szCs w:val="22"/>
              </w:rPr>
            </w:pPr>
            <w:r w:rsidRPr="00AB315F">
              <w:rPr>
                <w:rFonts w:ascii="Calibri" w:hAnsi="Calibri"/>
                <w:sz w:val="22"/>
                <w:szCs w:val="22"/>
              </w:rPr>
              <w:t>rmf4</w:t>
            </w:r>
          </w:p>
        </w:tc>
        <w:tc>
          <w:tcPr>
            <w:tcW w:w="921" w:type="dxa"/>
            <w:tcBorders>
              <w:top w:val="nil"/>
              <w:left w:val="single" w:sz="4" w:space="0" w:color="auto"/>
              <w:bottom w:val="nil"/>
              <w:right w:val="single" w:sz="4" w:space="0" w:color="auto"/>
            </w:tcBorders>
            <w:shd w:val="clear" w:color="auto" w:fill="auto"/>
            <w:noWrap/>
            <w:vAlign w:val="center"/>
            <w:hideMark/>
          </w:tcPr>
          <w:p w14:paraId="0801EC8E" w14:textId="27E5CDD2" w:rsidR="00686A3D" w:rsidRPr="00AB315F" w:rsidRDefault="00686A3D" w:rsidP="005308FF">
            <w:pPr>
              <w:jc w:val="center"/>
              <w:rPr>
                <w:rFonts w:ascii="Calibri" w:hAnsi="Calibri"/>
                <w:sz w:val="22"/>
                <w:szCs w:val="22"/>
              </w:rPr>
            </w:pPr>
            <w:r w:rsidRPr="00AB315F">
              <w:rPr>
                <w:rFonts w:ascii="Calibri" w:hAnsi="Calibri"/>
                <w:sz w:val="22"/>
                <w:szCs w:val="22"/>
              </w:rPr>
              <w:t>0,102</w:t>
            </w:r>
          </w:p>
        </w:tc>
        <w:tc>
          <w:tcPr>
            <w:tcW w:w="1074" w:type="dxa"/>
            <w:tcBorders>
              <w:top w:val="nil"/>
              <w:left w:val="nil"/>
              <w:bottom w:val="nil"/>
              <w:right w:val="single" w:sz="4" w:space="0" w:color="auto"/>
            </w:tcBorders>
            <w:shd w:val="clear" w:color="auto" w:fill="auto"/>
            <w:noWrap/>
            <w:vAlign w:val="center"/>
            <w:hideMark/>
          </w:tcPr>
          <w:p w14:paraId="4CDCC167" w14:textId="7BE250E2"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0,601</w:t>
            </w:r>
          </w:p>
        </w:tc>
        <w:tc>
          <w:tcPr>
            <w:tcW w:w="1111" w:type="dxa"/>
            <w:tcBorders>
              <w:top w:val="nil"/>
              <w:left w:val="nil"/>
              <w:bottom w:val="nil"/>
              <w:right w:val="single" w:sz="4" w:space="0" w:color="auto"/>
            </w:tcBorders>
            <w:shd w:val="clear" w:color="auto" w:fill="auto"/>
            <w:noWrap/>
            <w:vAlign w:val="center"/>
            <w:hideMark/>
          </w:tcPr>
          <w:p w14:paraId="4BF460A3" w14:textId="78B48503" w:rsidR="00686A3D" w:rsidRPr="00AB315F" w:rsidRDefault="00686A3D" w:rsidP="005308FF">
            <w:pPr>
              <w:jc w:val="center"/>
              <w:rPr>
                <w:rFonts w:ascii="Calibri" w:hAnsi="Calibri"/>
                <w:sz w:val="22"/>
                <w:szCs w:val="22"/>
                <w:highlight w:val="lightGray"/>
              </w:rPr>
            </w:pPr>
            <w:r w:rsidRPr="00AB315F">
              <w:rPr>
                <w:rFonts w:ascii="Calibri" w:hAnsi="Calibri"/>
                <w:sz w:val="22"/>
                <w:szCs w:val="22"/>
              </w:rPr>
              <w:t>0,067</w:t>
            </w:r>
          </w:p>
        </w:tc>
        <w:tc>
          <w:tcPr>
            <w:tcW w:w="1220" w:type="dxa"/>
            <w:tcBorders>
              <w:top w:val="nil"/>
              <w:left w:val="nil"/>
              <w:bottom w:val="nil"/>
              <w:right w:val="nil"/>
            </w:tcBorders>
            <w:shd w:val="clear" w:color="auto" w:fill="auto"/>
            <w:noWrap/>
            <w:vAlign w:val="center"/>
            <w:hideMark/>
          </w:tcPr>
          <w:p w14:paraId="792C2D58" w14:textId="3478E8E3" w:rsidR="00686A3D" w:rsidRPr="00AB315F" w:rsidRDefault="00686A3D" w:rsidP="005308FF">
            <w:pPr>
              <w:jc w:val="center"/>
              <w:rPr>
                <w:rFonts w:ascii="Calibri" w:hAnsi="Calibri"/>
                <w:sz w:val="22"/>
                <w:szCs w:val="22"/>
              </w:rPr>
            </w:pPr>
            <w:r w:rsidRPr="00AB315F">
              <w:rPr>
                <w:rFonts w:ascii="Calibri" w:hAnsi="Calibri"/>
                <w:sz w:val="22"/>
                <w:szCs w:val="22"/>
              </w:rPr>
              <w:t>0,624</w:t>
            </w:r>
          </w:p>
        </w:tc>
      </w:tr>
      <w:tr w:rsidR="00686A3D" w:rsidRPr="00AB315F" w14:paraId="618DF6E8" w14:textId="77777777" w:rsidTr="00021DE4">
        <w:trPr>
          <w:trHeight w:val="290"/>
          <w:jc w:val="center"/>
        </w:trPr>
        <w:tc>
          <w:tcPr>
            <w:tcW w:w="984" w:type="dxa"/>
            <w:tcBorders>
              <w:top w:val="nil"/>
              <w:left w:val="nil"/>
              <w:bottom w:val="nil"/>
              <w:right w:val="nil"/>
            </w:tcBorders>
            <w:shd w:val="clear" w:color="auto" w:fill="auto"/>
            <w:noWrap/>
            <w:vAlign w:val="center"/>
            <w:hideMark/>
          </w:tcPr>
          <w:p w14:paraId="2AE14BD5" w14:textId="7F5A63B8" w:rsidR="00686A3D" w:rsidRPr="00AB315F" w:rsidRDefault="00686A3D" w:rsidP="005308FF">
            <w:pPr>
              <w:jc w:val="center"/>
              <w:rPr>
                <w:rFonts w:ascii="Calibri" w:hAnsi="Calibri"/>
                <w:sz w:val="22"/>
                <w:szCs w:val="22"/>
              </w:rPr>
            </w:pPr>
            <w:r w:rsidRPr="00AB315F">
              <w:rPr>
                <w:rFonts w:ascii="Calibri" w:hAnsi="Calibri"/>
                <w:sz w:val="22"/>
                <w:szCs w:val="22"/>
              </w:rPr>
              <w:t>rmf5</w:t>
            </w:r>
          </w:p>
        </w:tc>
        <w:tc>
          <w:tcPr>
            <w:tcW w:w="921" w:type="dxa"/>
            <w:tcBorders>
              <w:top w:val="nil"/>
              <w:left w:val="single" w:sz="4" w:space="0" w:color="auto"/>
              <w:bottom w:val="nil"/>
              <w:right w:val="single" w:sz="4" w:space="0" w:color="auto"/>
            </w:tcBorders>
            <w:shd w:val="clear" w:color="auto" w:fill="auto"/>
            <w:noWrap/>
            <w:vAlign w:val="center"/>
            <w:hideMark/>
          </w:tcPr>
          <w:p w14:paraId="2026FFA6" w14:textId="136DAE64" w:rsidR="00686A3D" w:rsidRPr="00AB315F" w:rsidRDefault="00686A3D" w:rsidP="005308FF">
            <w:pPr>
              <w:jc w:val="center"/>
              <w:rPr>
                <w:rFonts w:ascii="Calibri" w:hAnsi="Calibri"/>
                <w:sz w:val="22"/>
                <w:szCs w:val="22"/>
              </w:rPr>
            </w:pPr>
            <w:r w:rsidRPr="00AB315F">
              <w:rPr>
                <w:rFonts w:ascii="Calibri" w:hAnsi="Calibri"/>
                <w:sz w:val="22"/>
                <w:szCs w:val="22"/>
              </w:rPr>
              <w:t>0,101</w:t>
            </w:r>
          </w:p>
        </w:tc>
        <w:tc>
          <w:tcPr>
            <w:tcW w:w="1074" w:type="dxa"/>
            <w:tcBorders>
              <w:top w:val="nil"/>
              <w:left w:val="nil"/>
              <w:bottom w:val="nil"/>
              <w:right w:val="single" w:sz="4" w:space="0" w:color="auto"/>
            </w:tcBorders>
            <w:shd w:val="clear" w:color="auto" w:fill="auto"/>
            <w:noWrap/>
            <w:vAlign w:val="center"/>
            <w:hideMark/>
          </w:tcPr>
          <w:p w14:paraId="132A51E8" w14:textId="1C468754"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0,647</w:t>
            </w:r>
          </w:p>
        </w:tc>
        <w:tc>
          <w:tcPr>
            <w:tcW w:w="1111" w:type="dxa"/>
            <w:tcBorders>
              <w:top w:val="nil"/>
              <w:left w:val="nil"/>
              <w:bottom w:val="nil"/>
              <w:right w:val="single" w:sz="4" w:space="0" w:color="auto"/>
            </w:tcBorders>
            <w:shd w:val="clear" w:color="auto" w:fill="auto"/>
            <w:noWrap/>
            <w:vAlign w:val="center"/>
            <w:hideMark/>
          </w:tcPr>
          <w:p w14:paraId="5994F983" w14:textId="37006F5F" w:rsidR="00686A3D" w:rsidRPr="00AB315F" w:rsidRDefault="00686A3D" w:rsidP="005308FF">
            <w:pPr>
              <w:jc w:val="center"/>
              <w:rPr>
                <w:rFonts w:ascii="Calibri" w:hAnsi="Calibri"/>
                <w:sz w:val="22"/>
                <w:szCs w:val="22"/>
                <w:highlight w:val="lightGray"/>
              </w:rPr>
            </w:pPr>
            <w:r w:rsidRPr="00AB315F">
              <w:rPr>
                <w:rFonts w:ascii="Calibri" w:hAnsi="Calibri"/>
                <w:sz w:val="22"/>
                <w:szCs w:val="22"/>
              </w:rPr>
              <w:t>0,194</w:t>
            </w:r>
          </w:p>
        </w:tc>
        <w:tc>
          <w:tcPr>
            <w:tcW w:w="1220" w:type="dxa"/>
            <w:tcBorders>
              <w:top w:val="nil"/>
              <w:left w:val="nil"/>
              <w:bottom w:val="nil"/>
              <w:right w:val="nil"/>
            </w:tcBorders>
            <w:shd w:val="clear" w:color="auto" w:fill="auto"/>
            <w:noWrap/>
            <w:vAlign w:val="center"/>
            <w:hideMark/>
          </w:tcPr>
          <w:p w14:paraId="4334F453" w14:textId="49858A21" w:rsidR="00686A3D" w:rsidRPr="00AB315F" w:rsidRDefault="00686A3D" w:rsidP="005308FF">
            <w:pPr>
              <w:jc w:val="center"/>
              <w:rPr>
                <w:rFonts w:ascii="Calibri" w:hAnsi="Calibri"/>
                <w:sz w:val="22"/>
                <w:szCs w:val="22"/>
              </w:rPr>
            </w:pPr>
            <w:r w:rsidRPr="00AB315F">
              <w:rPr>
                <w:rFonts w:ascii="Calibri" w:hAnsi="Calibri"/>
                <w:sz w:val="22"/>
                <w:szCs w:val="22"/>
              </w:rPr>
              <w:t>0,534</w:t>
            </w:r>
          </w:p>
        </w:tc>
      </w:tr>
      <w:tr w:rsidR="00686A3D" w:rsidRPr="00AB315F" w14:paraId="49D0DF9A" w14:textId="77777777" w:rsidTr="00021DE4">
        <w:trPr>
          <w:trHeight w:val="290"/>
          <w:jc w:val="center"/>
        </w:trPr>
        <w:tc>
          <w:tcPr>
            <w:tcW w:w="984" w:type="dxa"/>
            <w:tcBorders>
              <w:top w:val="nil"/>
              <w:left w:val="nil"/>
              <w:bottom w:val="nil"/>
              <w:right w:val="nil"/>
            </w:tcBorders>
            <w:shd w:val="clear" w:color="auto" w:fill="auto"/>
            <w:noWrap/>
            <w:vAlign w:val="center"/>
            <w:hideMark/>
          </w:tcPr>
          <w:p w14:paraId="1E460B8F" w14:textId="5AE576AB" w:rsidR="00686A3D" w:rsidRPr="00AB315F" w:rsidRDefault="00686A3D" w:rsidP="005308FF">
            <w:pPr>
              <w:jc w:val="center"/>
              <w:rPr>
                <w:rFonts w:ascii="Calibri" w:hAnsi="Calibri"/>
                <w:sz w:val="22"/>
                <w:szCs w:val="22"/>
              </w:rPr>
            </w:pPr>
            <w:r w:rsidRPr="00AB315F">
              <w:rPr>
                <w:rFonts w:ascii="Calibri" w:hAnsi="Calibri"/>
                <w:sz w:val="22"/>
                <w:szCs w:val="22"/>
              </w:rPr>
              <w:t>voto1</w:t>
            </w:r>
          </w:p>
        </w:tc>
        <w:tc>
          <w:tcPr>
            <w:tcW w:w="921" w:type="dxa"/>
            <w:tcBorders>
              <w:top w:val="nil"/>
              <w:left w:val="single" w:sz="4" w:space="0" w:color="auto"/>
              <w:bottom w:val="nil"/>
              <w:right w:val="single" w:sz="4" w:space="0" w:color="auto"/>
            </w:tcBorders>
            <w:shd w:val="clear" w:color="auto" w:fill="auto"/>
            <w:noWrap/>
            <w:vAlign w:val="center"/>
            <w:hideMark/>
          </w:tcPr>
          <w:p w14:paraId="0036284C" w14:textId="02F295CC"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0,844</w:t>
            </w:r>
          </w:p>
        </w:tc>
        <w:tc>
          <w:tcPr>
            <w:tcW w:w="1074" w:type="dxa"/>
            <w:tcBorders>
              <w:top w:val="nil"/>
              <w:left w:val="nil"/>
              <w:bottom w:val="nil"/>
              <w:right w:val="single" w:sz="4" w:space="0" w:color="auto"/>
            </w:tcBorders>
            <w:shd w:val="clear" w:color="auto" w:fill="auto"/>
            <w:noWrap/>
            <w:vAlign w:val="center"/>
            <w:hideMark/>
          </w:tcPr>
          <w:p w14:paraId="38B499B1" w14:textId="7735B552" w:rsidR="00686A3D" w:rsidRPr="00AB315F" w:rsidRDefault="00686A3D" w:rsidP="005308FF">
            <w:pPr>
              <w:jc w:val="center"/>
              <w:rPr>
                <w:rFonts w:ascii="Calibri" w:hAnsi="Calibri"/>
                <w:sz w:val="22"/>
                <w:szCs w:val="22"/>
                <w:highlight w:val="lightGray"/>
              </w:rPr>
            </w:pPr>
            <w:r w:rsidRPr="00AB315F">
              <w:rPr>
                <w:rFonts w:ascii="Calibri" w:hAnsi="Calibri"/>
                <w:sz w:val="22"/>
                <w:szCs w:val="22"/>
              </w:rPr>
              <w:t>0,066</w:t>
            </w:r>
          </w:p>
        </w:tc>
        <w:tc>
          <w:tcPr>
            <w:tcW w:w="1111" w:type="dxa"/>
            <w:tcBorders>
              <w:top w:val="nil"/>
              <w:left w:val="nil"/>
              <w:bottom w:val="nil"/>
              <w:right w:val="single" w:sz="4" w:space="0" w:color="auto"/>
            </w:tcBorders>
            <w:shd w:val="clear" w:color="auto" w:fill="auto"/>
            <w:noWrap/>
            <w:vAlign w:val="center"/>
            <w:hideMark/>
          </w:tcPr>
          <w:p w14:paraId="0378E9FB" w14:textId="7FDC1A64" w:rsidR="00686A3D" w:rsidRPr="00AB315F" w:rsidRDefault="00686A3D" w:rsidP="005308FF">
            <w:pPr>
              <w:jc w:val="center"/>
              <w:rPr>
                <w:rFonts w:ascii="Calibri" w:hAnsi="Calibri"/>
                <w:sz w:val="22"/>
                <w:szCs w:val="22"/>
              </w:rPr>
            </w:pPr>
            <w:r w:rsidRPr="00AB315F">
              <w:rPr>
                <w:rFonts w:ascii="Calibri" w:hAnsi="Calibri"/>
                <w:sz w:val="22"/>
                <w:szCs w:val="22"/>
              </w:rPr>
              <w:t>0,089</w:t>
            </w:r>
          </w:p>
        </w:tc>
        <w:tc>
          <w:tcPr>
            <w:tcW w:w="1220" w:type="dxa"/>
            <w:tcBorders>
              <w:top w:val="nil"/>
              <w:left w:val="nil"/>
              <w:bottom w:val="nil"/>
              <w:right w:val="nil"/>
            </w:tcBorders>
            <w:shd w:val="clear" w:color="auto" w:fill="auto"/>
            <w:noWrap/>
            <w:vAlign w:val="center"/>
            <w:hideMark/>
          </w:tcPr>
          <w:p w14:paraId="50B4F968" w14:textId="666835B3" w:rsidR="00686A3D" w:rsidRPr="00AB315F" w:rsidRDefault="00686A3D" w:rsidP="005308FF">
            <w:pPr>
              <w:jc w:val="center"/>
              <w:rPr>
                <w:rFonts w:ascii="Calibri" w:hAnsi="Calibri"/>
                <w:sz w:val="22"/>
                <w:szCs w:val="22"/>
              </w:rPr>
            </w:pPr>
            <w:r w:rsidRPr="00AB315F">
              <w:rPr>
                <w:rFonts w:ascii="Calibri" w:hAnsi="Calibri"/>
                <w:sz w:val="22"/>
                <w:szCs w:val="22"/>
              </w:rPr>
              <w:t>0,275</w:t>
            </w:r>
          </w:p>
        </w:tc>
      </w:tr>
      <w:tr w:rsidR="00686A3D" w:rsidRPr="00AB315F" w14:paraId="65C5A1A5" w14:textId="77777777" w:rsidTr="00021DE4">
        <w:trPr>
          <w:trHeight w:val="290"/>
          <w:jc w:val="center"/>
        </w:trPr>
        <w:tc>
          <w:tcPr>
            <w:tcW w:w="984" w:type="dxa"/>
            <w:tcBorders>
              <w:top w:val="nil"/>
              <w:left w:val="nil"/>
              <w:bottom w:val="nil"/>
              <w:right w:val="nil"/>
            </w:tcBorders>
            <w:shd w:val="clear" w:color="auto" w:fill="auto"/>
            <w:noWrap/>
            <w:vAlign w:val="center"/>
            <w:hideMark/>
          </w:tcPr>
          <w:p w14:paraId="6D1EE219" w14:textId="3ED2C6A8" w:rsidR="00686A3D" w:rsidRPr="00AB315F" w:rsidRDefault="00686A3D" w:rsidP="005308FF">
            <w:pPr>
              <w:jc w:val="center"/>
              <w:rPr>
                <w:rFonts w:ascii="Calibri" w:hAnsi="Calibri"/>
                <w:sz w:val="22"/>
                <w:szCs w:val="22"/>
              </w:rPr>
            </w:pPr>
            <w:r w:rsidRPr="00AB315F">
              <w:rPr>
                <w:rFonts w:ascii="Calibri" w:hAnsi="Calibri"/>
                <w:sz w:val="22"/>
                <w:szCs w:val="22"/>
              </w:rPr>
              <w:t>voto2</w:t>
            </w:r>
          </w:p>
        </w:tc>
        <w:tc>
          <w:tcPr>
            <w:tcW w:w="921" w:type="dxa"/>
            <w:tcBorders>
              <w:top w:val="nil"/>
              <w:left w:val="single" w:sz="4" w:space="0" w:color="auto"/>
              <w:bottom w:val="nil"/>
              <w:right w:val="single" w:sz="4" w:space="0" w:color="auto"/>
            </w:tcBorders>
            <w:shd w:val="clear" w:color="auto" w:fill="auto"/>
            <w:noWrap/>
            <w:vAlign w:val="center"/>
            <w:hideMark/>
          </w:tcPr>
          <w:p w14:paraId="54D4BA0A" w14:textId="455A4E85"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0,864</w:t>
            </w:r>
          </w:p>
        </w:tc>
        <w:tc>
          <w:tcPr>
            <w:tcW w:w="1074" w:type="dxa"/>
            <w:tcBorders>
              <w:top w:val="nil"/>
              <w:left w:val="nil"/>
              <w:bottom w:val="nil"/>
              <w:right w:val="single" w:sz="4" w:space="0" w:color="auto"/>
            </w:tcBorders>
            <w:shd w:val="clear" w:color="auto" w:fill="auto"/>
            <w:noWrap/>
            <w:vAlign w:val="center"/>
            <w:hideMark/>
          </w:tcPr>
          <w:p w14:paraId="7FF1ED44" w14:textId="27EEB643" w:rsidR="00686A3D" w:rsidRPr="00AB315F" w:rsidRDefault="00686A3D" w:rsidP="005308FF">
            <w:pPr>
              <w:jc w:val="center"/>
              <w:rPr>
                <w:rFonts w:ascii="Calibri" w:hAnsi="Calibri"/>
                <w:sz w:val="22"/>
                <w:szCs w:val="22"/>
                <w:highlight w:val="lightGray"/>
              </w:rPr>
            </w:pPr>
            <w:r w:rsidRPr="00AB315F">
              <w:rPr>
                <w:rFonts w:ascii="Calibri" w:hAnsi="Calibri"/>
                <w:sz w:val="22"/>
                <w:szCs w:val="22"/>
              </w:rPr>
              <w:t>0,068</w:t>
            </w:r>
          </w:p>
        </w:tc>
        <w:tc>
          <w:tcPr>
            <w:tcW w:w="1111" w:type="dxa"/>
            <w:tcBorders>
              <w:top w:val="nil"/>
              <w:left w:val="nil"/>
              <w:bottom w:val="nil"/>
              <w:right w:val="single" w:sz="4" w:space="0" w:color="auto"/>
            </w:tcBorders>
            <w:shd w:val="clear" w:color="auto" w:fill="auto"/>
            <w:noWrap/>
            <w:vAlign w:val="center"/>
            <w:hideMark/>
          </w:tcPr>
          <w:p w14:paraId="7F284F86" w14:textId="35E57477" w:rsidR="00686A3D" w:rsidRPr="00AB315F" w:rsidRDefault="00686A3D" w:rsidP="005308FF">
            <w:pPr>
              <w:jc w:val="center"/>
              <w:rPr>
                <w:rFonts w:ascii="Calibri" w:hAnsi="Calibri"/>
                <w:sz w:val="22"/>
                <w:szCs w:val="22"/>
              </w:rPr>
            </w:pPr>
            <w:r w:rsidRPr="00AB315F">
              <w:rPr>
                <w:rFonts w:ascii="Calibri" w:hAnsi="Calibri"/>
                <w:sz w:val="22"/>
                <w:szCs w:val="22"/>
              </w:rPr>
              <w:t>0,060</w:t>
            </w:r>
          </w:p>
        </w:tc>
        <w:tc>
          <w:tcPr>
            <w:tcW w:w="1220" w:type="dxa"/>
            <w:tcBorders>
              <w:top w:val="nil"/>
              <w:left w:val="nil"/>
              <w:bottom w:val="nil"/>
              <w:right w:val="nil"/>
            </w:tcBorders>
            <w:shd w:val="clear" w:color="auto" w:fill="auto"/>
            <w:noWrap/>
            <w:vAlign w:val="center"/>
            <w:hideMark/>
          </w:tcPr>
          <w:p w14:paraId="487FB167" w14:textId="46BECDED" w:rsidR="00686A3D" w:rsidRPr="00AB315F" w:rsidRDefault="00686A3D" w:rsidP="005308FF">
            <w:pPr>
              <w:jc w:val="center"/>
              <w:rPr>
                <w:rFonts w:ascii="Calibri" w:hAnsi="Calibri"/>
                <w:sz w:val="22"/>
                <w:szCs w:val="22"/>
              </w:rPr>
            </w:pPr>
            <w:r w:rsidRPr="00AB315F">
              <w:rPr>
                <w:rFonts w:ascii="Calibri" w:hAnsi="Calibri"/>
                <w:sz w:val="22"/>
                <w:szCs w:val="22"/>
              </w:rPr>
              <w:t>0,246</w:t>
            </w:r>
          </w:p>
        </w:tc>
      </w:tr>
      <w:tr w:rsidR="00686A3D" w:rsidRPr="00AB315F" w14:paraId="62D06C2B" w14:textId="77777777" w:rsidTr="00021DE4">
        <w:trPr>
          <w:trHeight w:val="290"/>
          <w:jc w:val="center"/>
        </w:trPr>
        <w:tc>
          <w:tcPr>
            <w:tcW w:w="984" w:type="dxa"/>
            <w:tcBorders>
              <w:top w:val="nil"/>
              <w:left w:val="nil"/>
              <w:bottom w:val="nil"/>
              <w:right w:val="nil"/>
            </w:tcBorders>
            <w:shd w:val="clear" w:color="auto" w:fill="auto"/>
            <w:noWrap/>
            <w:vAlign w:val="center"/>
            <w:hideMark/>
          </w:tcPr>
          <w:p w14:paraId="69D71FFD" w14:textId="071FD6B3" w:rsidR="00686A3D" w:rsidRPr="00AB315F" w:rsidRDefault="00686A3D" w:rsidP="005308FF">
            <w:pPr>
              <w:jc w:val="center"/>
              <w:rPr>
                <w:rFonts w:ascii="Calibri" w:hAnsi="Calibri"/>
                <w:sz w:val="22"/>
                <w:szCs w:val="22"/>
              </w:rPr>
            </w:pPr>
            <w:r w:rsidRPr="00AB315F">
              <w:rPr>
                <w:rFonts w:ascii="Calibri" w:hAnsi="Calibri"/>
                <w:sz w:val="22"/>
                <w:szCs w:val="22"/>
              </w:rPr>
              <w:t>voto3</w:t>
            </w:r>
          </w:p>
        </w:tc>
        <w:tc>
          <w:tcPr>
            <w:tcW w:w="921" w:type="dxa"/>
            <w:tcBorders>
              <w:top w:val="nil"/>
              <w:left w:val="single" w:sz="4" w:space="0" w:color="auto"/>
              <w:bottom w:val="nil"/>
              <w:right w:val="single" w:sz="4" w:space="0" w:color="auto"/>
            </w:tcBorders>
            <w:shd w:val="clear" w:color="auto" w:fill="auto"/>
            <w:noWrap/>
            <w:vAlign w:val="center"/>
            <w:hideMark/>
          </w:tcPr>
          <w:p w14:paraId="7CF32012" w14:textId="16D617A3"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0,899</w:t>
            </w:r>
          </w:p>
        </w:tc>
        <w:tc>
          <w:tcPr>
            <w:tcW w:w="1074" w:type="dxa"/>
            <w:tcBorders>
              <w:top w:val="nil"/>
              <w:left w:val="nil"/>
              <w:bottom w:val="nil"/>
              <w:right w:val="single" w:sz="4" w:space="0" w:color="auto"/>
            </w:tcBorders>
            <w:shd w:val="clear" w:color="auto" w:fill="auto"/>
            <w:noWrap/>
            <w:vAlign w:val="center"/>
            <w:hideMark/>
          </w:tcPr>
          <w:p w14:paraId="162259B6" w14:textId="2162BC5F" w:rsidR="00686A3D" w:rsidRPr="00AB315F" w:rsidRDefault="00686A3D" w:rsidP="005308FF">
            <w:pPr>
              <w:jc w:val="center"/>
              <w:rPr>
                <w:rFonts w:ascii="Calibri" w:hAnsi="Calibri"/>
                <w:sz w:val="22"/>
                <w:szCs w:val="22"/>
                <w:highlight w:val="lightGray"/>
              </w:rPr>
            </w:pPr>
            <w:r w:rsidRPr="00AB315F">
              <w:rPr>
                <w:rFonts w:ascii="Calibri" w:hAnsi="Calibri"/>
                <w:sz w:val="22"/>
                <w:szCs w:val="22"/>
              </w:rPr>
              <w:t>0,116</w:t>
            </w:r>
          </w:p>
        </w:tc>
        <w:tc>
          <w:tcPr>
            <w:tcW w:w="1111" w:type="dxa"/>
            <w:tcBorders>
              <w:top w:val="nil"/>
              <w:left w:val="nil"/>
              <w:bottom w:val="nil"/>
              <w:right w:val="single" w:sz="4" w:space="0" w:color="auto"/>
            </w:tcBorders>
            <w:shd w:val="clear" w:color="auto" w:fill="auto"/>
            <w:noWrap/>
            <w:vAlign w:val="center"/>
            <w:hideMark/>
          </w:tcPr>
          <w:p w14:paraId="3ED868AB" w14:textId="53CF9EAF" w:rsidR="00686A3D" w:rsidRPr="00AB315F" w:rsidRDefault="00686A3D" w:rsidP="005308FF">
            <w:pPr>
              <w:jc w:val="center"/>
              <w:rPr>
                <w:rFonts w:ascii="Calibri" w:hAnsi="Calibri"/>
                <w:sz w:val="22"/>
                <w:szCs w:val="22"/>
              </w:rPr>
            </w:pPr>
            <w:r w:rsidRPr="00AB315F">
              <w:rPr>
                <w:rFonts w:ascii="Calibri" w:hAnsi="Calibri"/>
                <w:sz w:val="22"/>
                <w:szCs w:val="22"/>
              </w:rPr>
              <w:t>-0,031</w:t>
            </w:r>
          </w:p>
        </w:tc>
        <w:tc>
          <w:tcPr>
            <w:tcW w:w="1220" w:type="dxa"/>
            <w:tcBorders>
              <w:top w:val="nil"/>
              <w:left w:val="nil"/>
              <w:bottom w:val="nil"/>
              <w:right w:val="nil"/>
            </w:tcBorders>
            <w:shd w:val="clear" w:color="auto" w:fill="auto"/>
            <w:noWrap/>
            <w:vAlign w:val="center"/>
            <w:hideMark/>
          </w:tcPr>
          <w:p w14:paraId="0F3441E3" w14:textId="3D64E232" w:rsidR="00686A3D" w:rsidRPr="00AB315F" w:rsidRDefault="00686A3D" w:rsidP="005308FF">
            <w:pPr>
              <w:jc w:val="center"/>
              <w:rPr>
                <w:rFonts w:ascii="Calibri" w:hAnsi="Calibri"/>
                <w:sz w:val="22"/>
                <w:szCs w:val="22"/>
              </w:rPr>
            </w:pPr>
            <w:r w:rsidRPr="00AB315F">
              <w:rPr>
                <w:rFonts w:ascii="Calibri" w:hAnsi="Calibri"/>
                <w:sz w:val="22"/>
                <w:szCs w:val="22"/>
              </w:rPr>
              <w:t>0,177</w:t>
            </w:r>
          </w:p>
        </w:tc>
      </w:tr>
      <w:tr w:rsidR="00686A3D" w:rsidRPr="00AB315F" w14:paraId="52D123DD" w14:textId="77777777" w:rsidTr="00021DE4">
        <w:trPr>
          <w:trHeight w:val="290"/>
          <w:jc w:val="center"/>
        </w:trPr>
        <w:tc>
          <w:tcPr>
            <w:tcW w:w="984" w:type="dxa"/>
            <w:tcBorders>
              <w:top w:val="nil"/>
              <w:left w:val="nil"/>
              <w:bottom w:val="nil"/>
              <w:right w:val="nil"/>
            </w:tcBorders>
            <w:shd w:val="clear" w:color="auto" w:fill="auto"/>
            <w:noWrap/>
            <w:vAlign w:val="center"/>
            <w:hideMark/>
          </w:tcPr>
          <w:p w14:paraId="70D28B21" w14:textId="44A4559F" w:rsidR="00686A3D" w:rsidRPr="00AB315F" w:rsidRDefault="00686A3D" w:rsidP="005308FF">
            <w:pPr>
              <w:jc w:val="center"/>
              <w:rPr>
                <w:rFonts w:ascii="Calibri" w:hAnsi="Calibri"/>
                <w:sz w:val="22"/>
                <w:szCs w:val="22"/>
              </w:rPr>
            </w:pPr>
            <w:r w:rsidRPr="00AB315F">
              <w:rPr>
                <w:rFonts w:ascii="Calibri" w:hAnsi="Calibri"/>
                <w:sz w:val="22"/>
                <w:szCs w:val="22"/>
              </w:rPr>
              <w:t>voto4</w:t>
            </w:r>
          </w:p>
        </w:tc>
        <w:tc>
          <w:tcPr>
            <w:tcW w:w="921" w:type="dxa"/>
            <w:tcBorders>
              <w:top w:val="nil"/>
              <w:left w:val="single" w:sz="4" w:space="0" w:color="auto"/>
              <w:bottom w:val="nil"/>
              <w:right w:val="single" w:sz="4" w:space="0" w:color="auto"/>
            </w:tcBorders>
            <w:shd w:val="clear" w:color="auto" w:fill="auto"/>
            <w:noWrap/>
            <w:vAlign w:val="center"/>
            <w:hideMark/>
          </w:tcPr>
          <w:p w14:paraId="58306533" w14:textId="0A0F5117"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0,872</w:t>
            </w:r>
          </w:p>
        </w:tc>
        <w:tc>
          <w:tcPr>
            <w:tcW w:w="1074" w:type="dxa"/>
            <w:tcBorders>
              <w:top w:val="nil"/>
              <w:left w:val="nil"/>
              <w:bottom w:val="nil"/>
              <w:right w:val="single" w:sz="4" w:space="0" w:color="auto"/>
            </w:tcBorders>
            <w:shd w:val="clear" w:color="auto" w:fill="auto"/>
            <w:noWrap/>
            <w:vAlign w:val="center"/>
            <w:hideMark/>
          </w:tcPr>
          <w:p w14:paraId="53A74B3D" w14:textId="785352F2" w:rsidR="00686A3D" w:rsidRPr="00AB315F" w:rsidRDefault="00686A3D" w:rsidP="005308FF">
            <w:pPr>
              <w:jc w:val="center"/>
              <w:rPr>
                <w:rFonts w:ascii="Calibri" w:hAnsi="Calibri"/>
                <w:sz w:val="22"/>
                <w:szCs w:val="22"/>
                <w:highlight w:val="lightGray"/>
              </w:rPr>
            </w:pPr>
            <w:r w:rsidRPr="00AB315F">
              <w:rPr>
                <w:rFonts w:ascii="Calibri" w:hAnsi="Calibri"/>
                <w:sz w:val="22"/>
                <w:szCs w:val="22"/>
              </w:rPr>
              <w:t>0,171</w:t>
            </w:r>
          </w:p>
        </w:tc>
        <w:tc>
          <w:tcPr>
            <w:tcW w:w="1111" w:type="dxa"/>
            <w:tcBorders>
              <w:top w:val="nil"/>
              <w:left w:val="nil"/>
              <w:bottom w:val="nil"/>
              <w:right w:val="single" w:sz="4" w:space="0" w:color="auto"/>
            </w:tcBorders>
            <w:shd w:val="clear" w:color="auto" w:fill="auto"/>
            <w:noWrap/>
            <w:vAlign w:val="center"/>
            <w:hideMark/>
          </w:tcPr>
          <w:p w14:paraId="53FE4AB6" w14:textId="7646AF2D" w:rsidR="00686A3D" w:rsidRPr="00AB315F" w:rsidRDefault="00686A3D" w:rsidP="005308FF">
            <w:pPr>
              <w:jc w:val="center"/>
              <w:rPr>
                <w:rFonts w:ascii="Calibri" w:hAnsi="Calibri"/>
                <w:sz w:val="22"/>
                <w:szCs w:val="22"/>
              </w:rPr>
            </w:pPr>
            <w:r w:rsidRPr="00AB315F">
              <w:rPr>
                <w:rFonts w:ascii="Calibri" w:hAnsi="Calibri"/>
                <w:sz w:val="22"/>
                <w:szCs w:val="22"/>
              </w:rPr>
              <w:t>0,024</w:t>
            </w:r>
          </w:p>
        </w:tc>
        <w:tc>
          <w:tcPr>
            <w:tcW w:w="1220" w:type="dxa"/>
            <w:tcBorders>
              <w:top w:val="nil"/>
              <w:left w:val="nil"/>
              <w:bottom w:val="nil"/>
              <w:right w:val="nil"/>
            </w:tcBorders>
            <w:shd w:val="clear" w:color="auto" w:fill="auto"/>
            <w:noWrap/>
            <w:vAlign w:val="center"/>
            <w:hideMark/>
          </w:tcPr>
          <w:p w14:paraId="5D850301" w14:textId="7EB2AEB1" w:rsidR="00686A3D" w:rsidRPr="00AB315F" w:rsidRDefault="00686A3D" w:rsidP="005308FF">
            <w:pPr>
              <w:jc w:val="center"/>
              <w:rPr>
                <w:rFonts w:ascii="Calibri" w:hAnsi="Calibri"/>
                <w:sz w:val="22"/>
                <w:szCs w:val="22"/>
              </w:rPr>
            </w:pPr>
            <w:r w:rsidRPr="00AB315F">
              <w:rPr>
                <w:rFonts w:ascii="Calibri" w:hAnsi="Calibri"/>
                <w:sz w:val="22"/>
                <w:szCs w:val="22"/>
              </w:rPr>
              <w:t>0,211</w:t>
            </w:r>
          </w:p>
        </w:tc>
      </w:tr>
      <w:tr w:rsidR="00686A3D" w:rsidRPr="00AB315F" w14:paraId="63CF666D" w14:textId="77777777" w:rsidTr="00021DE4">
        <w:trPr>
          <w:trHeight w:val="290"/>
          <w:jc w:val="center"/>
        </w:trPr>
        <w:tc>
          <w:tcPr>
            <w:tcW w:w="984" w:type="dxa"/>
            <w:tcBorders>
              <w:top w:val="nil"/>
              <w:left w:val="nil"/>
              <w:bottom w:val="nil"/>
              <w:right w:val="nil"/>
            </w:tcBorders>
            <w:shd w:val="clear" w:color="auto" w:fill="auto"/>
            <w:noWrap/>
            <w:vAlign w:val="center"/>
            <w:hideMark/>
          </w:tcPr>
          <w:p w14:paraId="3C59C1B5" w14:textId="0B68A67A" w:rsidR="00686A3D" w:rsidRPr="00AB315F" w:rsidRDefault="00686A3D" w:rsidP="005308FF">
            <w:pPr>
              <w:jc w:val="center"/>
              <w:rPr>
                <w:rFonts w:ascii="Calibri" w:hAnsi="Calibri"/>
                <w:sz w:val="22"/>
                <w:szCs w:val="22"/>
              </w:rPr>
            </w:pPr>
            <w:r w:rsidRPr="00AB315F">
              <w:rPr>
                <w:rFonts w:ascii="Calibri" w:hAnsi="Calibri"/>
                <w:sz w:val="22"/>
                <w:szCs w:val="22"/>
              </w:rPr>
              <w:t>voto5</w:t>
            </w:r>
          </w:p>
        </w:tc>
        <w:tc>
          <w:tcPr>
            <w:tcW w:w="921" w:type="dxa"/>
            <w:tcBorders>
              <w:top w:val="nil"/>
              <w:left w:val="single" w:sz="4" w:space="0" w:color="auto"/>
              <w:bottom w:val="nil"/>
              <w:right w:val="single" w:sz="4" w:space="0" w:color="auto"/>
            </w:tcBorders>
            <w:shd w:val="clear" w:color="auto" w:fill="auto"/>
            <w:noWrap/>
            <w:vAlign w:val="center"/>
            <w:hideMark/>
          </w:tcPr>
          <w:p w14:paraId="5A691039" w14:textId="1F2D96E1" w:rsidR="00686A3D" w:rsidRPr="00AB315F" w:rsidRDefault="00686A3D" w:rsidP="005308FF">
            <w:pPr>
              <w:jc w:val="center"/>
              <w:rPr>
                <w:rFonts w:ascii="Calibri" w:hAnsi="Calibri"/>
                <w:sz w:val="22"/>
                <w:szCs w:val="22"/>
              </w:rPr>
            </w:pPr>
            <w:r w:rsidRPr="00AB315F">
              <w:rPr>
                <w:rFonts w:ascii="Calibri" w:hAnsi="Calibri"/>
                <w:sz w:val="22"/>
                <w:szCs w:val="22"/>
                <w:highlight w:val="lightGray"/>
              </w:rPr>
              <w:t>0,940</w:t>
            </w:r>
          </w:p>
        </w:tc>
        <w:tc>
          <w:tcPr>
            <w:tcW w:w="1074" w:type="dxa"/>
            <w:tcBorders>
              <w:top w:val="nil"/>
              <w:left w:val="nil"/>
              <w:bottom w:val="nil"/>
              <w:right w:val="single" w:sz="4" w:space="0" w:color="auto"/>
            </w:tcBorders>
            <w:shd w:val="clear" w:color="auto" w:fill="auto"/>
            <w:noWrap/>
            <w:vAlign w:val="center"/>
            <w:hideMark/>
          </w:tcPr>
          <w:p w14:paraId="0BA041E3" w14:textId="6F5EE67B" w:rsidR="00686A3D" w:rsidRPr="00AB315F" w:rsidRDefault="00686A3D" w:rsidP="005308FF">
            <w:pPr>
              <w:jc w:val="center"/>
              <w:rPr>
                <w:rFonts w:ascii="Calibri" w:hAnsi="Calibri"/>
                <w:sz w:val="22"/>
                <w:szCs w:val="22"/>
                <w:highlight w:val="lightGray"/>
              </w:rPr>
            </w:pPr>
            <w:r w:rsidRPr="00AB315F">
              <w:rPr>
                <w:rFonts w:ascii="Calibri" w:hAnsi="Calibri"/>
                <w:sz w:val="22"/>
                <w:szCs w:val="22"/>
              </w:rPr>
              <w:t>0,113</w:t>
            </w:r>
          </w:p>
        </w:tc>
        <w:tc>
          <w:tcPr>
            <w:tcW w:w="1111" w:type="dxa"/>
            <w:tcBorders>
              <w:top w:val="nil"/>
              <w:left w:val="nil"/>
              <w:bottom w:val="nil"/>
              <w:right w:val="single" w:sz="4" w:space="0" w:color="auto"/>
            </w:tcBorders>
            <w:shd w:val="clear" w:color="auto" w:fill="auto"/>
            <w:noWrap/>
            <w:vAlign w:val="center"/>
            <w:hideMark/>
          </w:tcPr>
          <w:p w14:paraId="1E0C5983" w14:textId="392A9A36" w:rsidR="00686A3D" w:rsidRPr="00AB315F" w:rsidRDefault="00686A3D" w:rsidP="005308FF">
            <w:pPr>
              <w:jc w:val="center"/>
              <w:rPr>
                <w:rFonts w:ascii="Calibri" w:hAnsi="Calibri"/>
                <w:sz w:val="22"/>
                <w:szCs w:val="22"/>
              </w:rPr>
            </w:pPr>
            <w:r w:rsidRPr="00AB315F">
              <w:rPr>
                <w:rFonts w:ascii="Calibri" w:hAnsi="Calibri"/>
                <w:sz w:val="22"/>
                <w:szCs w:val="22"/>
              </w:rPr>
              <w:t>0,053</w:t>
            </w:r>
          </w:p>
        </w:tc>
        <w:tc>
          <w:tcPr>
            <w:tcW w:w="1220" w:type="dxa"/>
            <w:tcBorders>
              <w:top w:val="nil"/>
              <w:left w:val="nil"/>
              <w:bottom w:val="nil"/>
              <w:right w:val="nil"/>
            </w:tcBorders>
            <w:shd w:val="clear" w:color="auto" w:fill="auto"/>
            <w:noWrap/>
            <w:vAlign w:val="center"/>
            <w:hideMark/>
          </w:tcPr>
          <w:p w14:paraId="5AD2CB55" w14:textId="4AEF624E" w:rsidR="00686A3D" w:rsidRPr="00AB315F" w:rsidRDefault="00686A3D" w:rsidP="005308FF">
            <w:pPr>
              <w:jc w:val="center"/>
              <w:rPr>
                <w:rFonts w:ascii="Calibri" w:hAnsi="Calibri"/>
                <w:sz w:val="22"/>
                <w:szCs w:val="22"/>
              </w:rPr>
            </w:pPr>
            <w:r w:rsidRPr="00AB315F">
              <w:rPr>
                <w:rFonts w:ascii="Calibri" w:hAnsi="Calibri"/>
                <w:sz w:val="22"/>
                <w:szCs w:val="22"/>
              </w:rPr>
              <w:t>0,102</w:t>
            </w:r>
          </w:p>
        </w:tc>
      </w:tr>
      <w:tr w:rsidR="00686A3D" w:rsidRPr="00AB315F" w14:paraId="406349A9" w14:textId="77777777" w:rsidTr="00021DE4">
        <w:trPr>
          <w:trHeight w:val="290"/>
          <w:jc w:val="center"/>
        </w:trPr>
        <w:tc>
          <w:tcPr>
            <w:tcW w:w="984" w:type="dxa"/>
            <w:tcBorders>
              <w:top w:val="nil"/>
              <w:left w:val="nil"/>
              <w:bottom w:val="nil"/>
              <w:right w:val="nil"/>
            </w:tcBorders>
            <w:shd w:val="clear" w:color="auto" w:fill="auto"/>
            <w:noWrap/>
            <w:vAlign w:val="center"/>
            <w:hideMark/>
          </w:tcPr>
          <w:p w14:paraId="269948AE" w14:textId="44AE1C34" w:rsidR="00686A3D" w:rsidRPr="00AB315F" w:rsidRDefault="00686A3D" w:rsidP="005308FF">
            <w:pPr>
              <w:jc w:val="center"/>
              <w:rPr>
                <w:rFonts w:ascii="Calibri" w:hAnsi="Calibri"/>
                <w:sz w:val="22"/>
                <w:szCs w:val="22"/>
              </w:rPr>
            </w:pPr>
            <w:r w:rsidRPr="00AB315F">
              <w:rPr>
                <w:rFonts w:ascii="Calibri" w:hAnsi="Calibri"/>
                <w:sz w:val="22"/>
                <w:szCs w:val="22"/>
              </w:rPr>
              <w:t>voto6</w:t>
            </w:r>
          </w:p>
        </w:tc>
        <w:tc>
          <w:tcPr>
            <w:tcW w:w="921" w:type="dxa"/>
            <w:tcBorders>
              <w:top w:val="nil"/>
              <w:left w:val="single" w:sz="4" w:space="0" w:color="auto"/>
              <w:bottom w:val="nil"/>
              <w:right w:val="single" w:sz="4" w:space="0" w:color="auto"/>
            </w:tcBorders>
            <w:shd w:val="clear" w:color="auto" w:fill="auto"/>
            <w:noWrap/>
            <w:vAlign w:val="center"/>
            <w:hideMark/>
          </w:tcPr>
          <w:p w14:paraId="6185EFF5" w14:textId="5DD0828F" w:rsidR="00686A3D" w:rsidRPr="00AB315F" w:rsidRDefault="00686A3D" w:rsidP="005308FF">
            <w:pPr>
              <w:jc w:val="center"/>
              <w:rPr>
                <w:rFonts w:ascii="Calibri" w:hAnsi="Calibri"/>
                <w:sz w:val="22"/>
                <w:szCs w:val="22"/>
                <w:highlight w:val="lightGray"/>
              </w:rPr>
            </w:pPr>
            <w:r w:rsidRPr="00AB315F">
              <w:rPr>
                <w:rFonts w:ascii="Calibri" w:hAnsi="Calibri"/>
                <w:sz w:val="22"/>
                <w:szCs w:val="22"/>
                <w:highlight w:val="lightGray"/>
              </w:rPr>
              <w:t>0,897</w:t>
            </w:r>
          </w:p>
        </w:tc>
        <w:tc>
          <w:tcPr>
            <w:tcW w:w="1074" w:type="dxa"/>
            <w:tcBorders>
              <w:top w:val="nil"/>
              <w:left w:val="nil"/>
              <w:bottom w:val="nil"/>
              <w:right w:val="single" w:sz="4" w:space="0" w:color="auto"/>
            </w:tcBorders>
            <w:shd w:val="clear" w:color="auto" w:fill="auto"/>
            <w:noWrap/>
            <w:vAlign w:val="center"/>
            <w:hideMark/>
          </w:tcPr>
          <w:p w14:paraId="6A538569" w14:textId="28709F2A" w:rsidR="00686A3D" w:rsidRPr="00AB315F" w:rsidRDefault="00686A3D" w:rsidP="005308FF">
            <w:pPr>
              <w:jc w:val="center"/>
              <w:rPr>
                <w:rFonts w:ascii="Calibri" w:hAnsi="Calibri"/>
                <w:sz w:val="22"/>
                <w:szCs w:val="22"/>
              </w:rPr>
            </w:pPr>
            <w:r w:rsidRPr="00AB315F">
              <w:rPr>
                <w:rFonts w:ascii="Calibri" w:hAnsi="Calibri"/>
                <w:sz w:val="22"/>
                <w:szCs w:val="22"/>
              </w:rPr>
              <w:t>0,098</w:t>
            </w:r>
          </w:p>
        </w:tc>
        <w:tc>
          <w:tcPr>
            <w:tcW w:w="1111" w:type="dxa"/>
            <w:tcBorders>
              <w:top w:val="nil"/>
              <w:left w:val="nil"/>
              <w:bottom w:val="nil"/>
              <w:right w:val="single" w:sz="4" w:space="0" w:color="auto"/>
            </w:tcBorders>
            <w:shd w:val="clear" w:color="auto" w:fill="auto"/>
            <w:noWrap/>
            <w:vAlign w:val="center"/>
            <w:hideMark/>
          </w:tcPr>
          <w:p w14:paraId="2131ED34" w14:textId="49E0B77A" w:rsidR="00686A3D" w:rsidRPr="00AB315F" w:rsidRDefault="00686A3D" w:rsidP="005308FF">
            <w:pPr>
              <w:jc w:val="center"/>
              <w:rPr>
                <w:rFonts w:ascii="Calibri" w:hAnsi="Calibri"/>
                <w:sz w:val="22"/>
                <w:szCs w:val="22"/>
              </w:rPr>
            </w:pPr>
            <w:r w:rsidRPr="00AB315F">
              <w:rPr>
                <w:rFonts w:ascii="Calibri" w:hAnsi="Calibri"/>
                <w:sz w:val="22"/>
                <w:szCs w:val="22"/>
              </w:rPr>
              <w:t>0,020</w:t>
            </w:r>
          </w:p>
        </w:tc>
        <w:tc>
          <w:tcPr>
            <w:tcW w:w="1220" w:type="dxa"/>
            <w:tcBorders>
              <w:top w:val="nil"/>
              <w:left w:val="nil"/>
              <w:bottom w:val="nil"/>
              <w:right w:val="nil"/>
            </w:tcBorders>
            <w:shd w:val="clear" w:color="auto" w:fill="auto"/>
            <w:noWrap/>
            <w:vAlign w:val="center"/>
            <w:hideMark/>
          </w:tcPr>
          <w:p w14:paraId="1365B87D" w14:textId="067A59C0" w:rsidR="00686A3D" w:rsidRPr="00AB315F" w:rsidRDefault="00686A3D" w:rsidP="005308FF">
            <w:pPr>
              <w:jc w:val="center"/>
              <w:rPr>
                <w:rFonts w:ascii="Calibri" w:hAnsi="Calibri"/>
                <w:sz w:val="22"/>
                <w:szCs w:val="22"/>
              </w:rPr>
            </w:pPr>
            <w:r w:rsidRPr="00AB315F">
              <w:rPr>
                <w:rFonts w:ascii="Calibri" w:hAnsi="Calibri"/>
                <w:sz w:val="22"/>
                <w:szCs w:val="22"/>
              </w:rPr>
              <w:t>0,186</w:t>
            </w:r>
          </w:p>
        </w:tc>
      </w:tr>
      <w:tr w:rsidR="00686A3D" w:rsidRPr="00AB315F" w14:paraId="0F529406" w14:textId="77777777" w:rsidTr="00686A3D">
        <w:trPr>
          <w:trHeight w:val="290"/>
          <w:jc w:val="center"/>
        </w:trPr>
        <w:tc>
          <w:tcPr>
            <w:tcW w:w="984" w:type="dxa"/>
            <w:tcBorders>
              <w:top w:val="nil"/>
              <w:left w:val="nil"/>
              <w:bottom w:val="single" w:sz="4" w:space="0" w:color="auto"/>
              <w:right w:val="nil"/>
            </w:tcBorders>
            <w:shd w:val="clear" w:color="auto" w:fill="auto"/>
            <w:noWrap/>
            <w:vAlign w:val="center"/>
            <w:hideMark/>
          </w:tcPr>
          <w:p w14:paraId="3C0D9F5A" w14:textId="72C46E86" w:rsidR="00686A3D" w:rsidRPr="00AB315F" w:rsidRDefault="00686A3D" w:rsidP="005308FF">
            <w:pPr>
              <w:jc w:val="center"/>
              <w:rPr>
                <w:rFonts w:ascii="Calibri" w:hAnsi="Calibri"/>
                <w:sz w:val="22"/>
                <w:szCs w:val="22"/>
              </w:rPr>
            </w:pPr>
            <w:r w:rsidRPr="00AB315F">
              <w:rPr>
                <w:rFonts w:ascii="Calibri" w:hAnsi="Calibri"/>
                <w:sz w:val="22"/>
                <w:szCs w:val="22"/>
              </w:rPr>
              <w:t>voto7</w:t>
            </w:r>
          </w:p>
        </w:tc>
        <w:tc>
          <w:tcPr>
            <w:tcW w:w="921" w:type="dxa"/>
            <w:tcBorders>
              <w:top w:val="nil"/>
              <w:left w:val="single" w:sz="4" w:space="0" w:color="auto"/>
              <w:bottom w:val="single" w:sz="4" w:space="0" w:color="auto"/>
              <w:right w:val="single" w:sz="4" w:space="0" w:color="auto"/>
            </w:tcBorders>
            <w:shd w:val="clear" w:color="auto" w:fill="auto"/>
            <w:noWrap/>
            <w:vAlign w:val="center"/>
            <w:hideMark/>
          </w:tcPr>
          <w:p w14:paraId="71A71A0E" w14:textId="0FBE52C1" w:rsidR="00686A3D" w:rsidRPr="00AB315F" w:rsidRDefault="00686A3D" w:rsidP="005308FF">
            <w:pPr>
              <w:jc w:val="center"/>
              <w:rPr>
                <w:rFonts w:ascii="Calibri" w:hAnsi="Calibri"/>
                <w:sz w:val="22"/>
                <w:szCs w:val="22"/>
                <w:highlight w:val="lightGray"/>
              </w:rPr>
            </w:pPr>
            <w:r w:rsidRPr="00AB315F">
              <w:rPr>
                <w:rFonts w:ascii="Calibri" w:hAnsi="Calibri"/>
                <w:sz w:val="22"/>
                <w:szCs w:val="22"/>
                <w:highlight w:val="lightGray"/>
              </w:rPr>
              <w:t>0,883</w:t>
            </w:r>
          </w:p>
        </w:tc>
        <w:tc>
          <w:tcPr>
            <w:tcW w:w="1074" w:type="dxa"/>
            <w:tcBorders>
              <w:top w:val="nil"/>
              <w:left w:val="nil"/>
              <w:bottom w:val="single" w:sz="4" w:space="0" w:color="auto"/>
              <w:right w:val="single" w:sz="4" w:space="0" w:color="auto"/>
            </w:tcBorders>
            <w:shd w:val="clear" w:color="auto" w:fill="auto"/>
            <w:noWrap/>
            <w:vAlign w:val="center"/>
            <w:hideMark/>
          </w:tcPr>
          <w:p w14:paraId="329F8D8A" w14:textId="3607FE2E" w:rsidR="00686A3D" w:rsidRPr="00AB315F" w:rsidRDefault="00686A3D" w:rsidP="005308FF">
            <w:pPr>
              <w:jc w:val="center"/>
              <w:rPr>
                <w:rFonts w:ascii="Calibri" w:hAnsi="Calibri"/>
                <w:sz w:val="22"/>
                <w:szCs w:val="22"/>
              </w:rPr>
            </w:pPr>
            <w:r w:rsidRPr="00AB315F">
              <w:rPr>
                <w:rFonts w:ascii="Calibri" w:hAnsi="Calibri"/>
                <w:sz w:val="22"/>
                <w:szCs w:val="22"/>
              </w:rPr>
              <w:t>0,078</w:t>
            </w:r>
          </w:p>
        </w:tc>
        <w:tc>
          <w:tcPr>
            <w:tcW w:w="1111" w:type="dxa"/>
            <w:tcBorders>
              <w:top w:val="nil"/>
              <w:left w:val="nil"/>
              <w:bottom w:val="single" w:sz="4" w:space="0" w:color="auto"/>
              <w:right w:val="single" w:sz="4" w:space="0" w:color="auto"/>
            </w:tcBorders>
            <w:shd w:val="clear" w:color="auto" w:fill="auto"/>
            <w:noWrap/>
            <w:vAlign w:val="center"/>
            <w:hideMark/>
          </w:tcPr>
          <w:p w14:paraId="2E05A3C0" w14:textId="33ECAB4B" w:rsidR="00686A3D" w:rsidRPr="00AB315F" w:rsidRDefault="00686A3D" w:rsidP="005308FF">
            <w:pPr>
              <w:jc w:val="center"/>
              <w:rPr>
                <w:rFonts w:ascii="Calibri" w:hAnsi="Calibri"/>
                <w:sz w:val="22"/>
                <w:szCs w:val="22"/>
              </w:rPr>
            </w:pPr>
            <w:r w:rsidRPr="00AB315F">
              <w:rPr>
                <w:rFonts w:ascii="Calibri" w:hAnsi="Calibri"/>
                <w:sz w:val="22"/>
                <w:szCs w:val="22"/>
              </w:rPr>
              <w:t>-0,011</w:t>
            </w:r>
          </w:p>
        </w:tc>
        <w:tc>
          <w:tcPr>
            <w:tcW w:w="1220" w:type="dxa"/>
            <w:tcBorders>
              <w:top w:val="nil"/>
              <w:left w:val="nil"/>
              <w:bottom w:val="single" w:sz="4" w:space="0" w:color="auto"/>
              <w:right w:val="nil"/>
            </w:tcBorders>
            <w:shd w:val="clear" w:color="auto" w:fill="auto"/>
            <w:noWrap/>
            <w:vAlign w:val="center"/>
            <w:hideMark/>
          </w:tcPr>
          <w:p w14:paraId="2967D491" w14:textId="183AD376" w:rsidR="00686A3D" w:rsidRPr="00AB315F" w:rsidRDefault="00686A3D" w:rsidP="005308FF">
            <w:pPr>
              <w:jc w:val="center"/>
              <w:rPr>
                <w:rFonts w:ascii="Calibri" w:hAnsi="Calibri"/>
                <w:sz w:val="22"/>
                <w:szCs w:val="22"/>
              </w:rPr>
            </w:pPr>
            <w:r w:rsidRPr="00AB315F">
              <w:rPr>
                <w:rFonts w:ascii="Calibri" w:hAnsi="Calibri"/>
                <w:sz w:val="22"/>
                <w:szCs w:val="22"/>
              </w:rPr>
              <w:t>0,214</w:t>
            </w:r>
          </w:p>
        </w:tc>
      </w:tr>
      <w:tr w:rsidR="00686A3D" w:rsidRPr="00AB315F" w14:paraId="5DD27413" w14:textId="77777777" w:rsidTr="00686A3D">
        <w:trPr>
          <w:trHeight w:val="290"/>
          <w:jc w:val="center"/>
        </w:trPr>
        <w:tc>
          <w:tcPr>
            <w:tcW w:w="984" w:type="dxa"/>
            <w:tcBorders>
              <w:top w:val="nil"/>
              <w:left w:val="nil"/>
              <w:bottom w:val="single" w:sz="4" w:space="0" w:color="auto"/>
              <w:right w:val="nil"/>
            </w:tcBorders>
            <w:shd w:val="clear" w:color="auto" w:fill="auto"/>
            <w:noWrap/>
            <w:vAlign w:val="center"/>
            <w:hideMark/>
          </w:tcPr>
          <w:p w14:paraId="6E055962" w14:textId="5CFBD4B8" w:rsidR="00686A3D" w:rsidRPr="00AB315F" w:rsidRDefault="00686A3D" w:rsidP="005308FF">
            <w:pPr>
              <w:jc w:val="center"/>
              <w:rPr>
                <w:rFonts w:ascii="Calibri" w:hAnsi="Calibri"/>
                <w:sz w:val="22"/>
                <w:szCs w:val="22"/>
              </w:rPr>
            </w:pPr>
            <w:r w:rsidRPr="00021DE4">
              <w:rPr>
                <w:rFonts w:asciiTheme="minorHAnsi" w:hAnsiTheme="minorHAnsi"/>
                <w:sz w:val="22"/>
              </w:rPr>
              <w:t xml:space="preserve">KMO test:  </w:t>
            </w:r>
          </w:p>
        </w:tc>
        <w:tc>
          <w:tcPr>
            <w:tcW w:w="921" w:type="dxa"/>
            <w:tcBorders>
              <w:top w:val="nil"/>
              <w:left w:val="single" w:sz="4" w:space="0" w:color="auto"/>
              <w:bottom w:val="single" w:sz="4" w:space="0" w:color="auto"/>
              <w:right w:val="single" w:sz="4" w:space="0" w:color="auto"/>
            </w:tcBorders>
            <w:shd w:val="clear" w:color="auto" w:fill="auto"/>
            <w:noWrap/>
            <w:vAlign w:val="center"/>
            <w:hideMark/>
          </w:tcPr>
          <w:p w14:paraId="5E42EF13" w14:textId="151E1897" w:rsidR="00686A3D" w:rsidRPr="00AB315F" w:rsidRDefault="00686A3D" w:rsidP="005308FF">
            <w:pPr>
              <w:jc w:val="center"/>
              <w:rPr>
                <w:rFonts w:ascii="Calibri" w:hAnsi="Calibri"/>
                <w:sz w:val="22"/>
                <w:szCs w:val="22"/>
                <w:highlight w:val="lightGray"/>
              </w:rPr>
            </w:pPr>
            <w:r w:rsidRPr="00021DE4">
              <w:rPr>
                <w:rFonts w:asciiTheme="minorHAnsi" w:hAnsiTheme="minorHAnsi"/>
                <w:sz w:val="22"/>
              </w:rPr>
              <w:t>0,8389</w:t>
            </w:r>
          </w:p>
        </w:tc>
        <w:tc>
          <w:tcPr>
            <w:tcW w:w="1074" w:type="dxa"/>
            <w:tcBorders>
              <w:top w:val="nil"/>
              <w:left w:val="nil"/>
              <w:bottom w:val="single" w:sz="4" w:space="0" w:color="auto"/>
              <w:right w:val="single" w:sz="4" w:space="0" w:color="auto"/>
            </w:tcBorders>
            <w:shd w:val="clear" w:color="auto" w:fill="auto"/>
            <w:noWrap/>
            <w:vAlign w:val="center"/>
            <w:hideMark/>
          </w:tcPr>
          <w:p w14:paraId="48DA8A16" w14:textId="3EA213F9" w:rsidR="00686A3D" w:rsidRPr="00AB315F" w:rsidRDefault="00686A3D" w:rsidP="005308FF">
            <w:pPr>
              <w:jc w:val="center"/>
              <w:rPr>
                <w:rFonts w:ascii="Calibri" w:hAnsi="Calibri"/>
                <w:sz w:val="22"/>
                <w:szCs w:val="22"/>
              </w:rPr>
            </w:pPr>
          </w:p>
        </w:tc>
        <w:tc>
          <w:tcPr>
            <w:tcW w:w="1111" w:type="dxa"/>
            <w:tcBorders>
              <w:top w:val="nil"/>
              <w:left w:val="nil"/>
              <w:bottom w:val="single" w:sz="4" w:space="0" w:color="auto"/>
              <w:right w:val="single" w:sz="4" w:space="0" w:color="auto"/>
            </w:tcBorders>
            <w:shd w:val="clear" w:color="auto" w:fill="auto"/>
            <w:noWrap/>
            <w:vAlign w:val="center"/>
            <w:hideMark/>
          </w:tcPr>
          <w:p w14:paraId="02F05433" w14:textId="6AE51D5B" w:rsidR="00686A3D" w:rsidRPr="00AB315F" w:rsidRDefault="00686A3D" w:rsidP="005308FF">
            <w:pPr>
              <w:jc w:val="center"/>
              <w:rPr>
                <w:rFonts w:ascii="Calibri" w:hAnsi="Calibri"/>
                <w:sz w:val="22"/>
                <w:szCs w:val="22"/>
              </w:rPr>
            </w:pPr>
          </w:p>
        </w:tc>
        <w:tc>
          <w:tcPr>
            <w:tcW w:w="1220" w:type="dxa"/>
            <w:tcBorders>
              <w:top w:val="nil"/>
              <w:left w:val="nil"/>
              <w:bottom w:val="single" w:sz="4" w:space="0" w:color="auto"/>
              <w:right w:val="nil"/>
            </w:tcBorders>
            <w:shd w:val="clear" w:color="auto" w:fill="auto"/>
            <w:noWrap/>
            <w:vAlign w:val="center"/>
            <w:hideMark/>
          </w:tcPr>
          <w:p w14:paraId="58DAD2B6" w14:textId="72A42D75" w:rsidR="00686A3D" w:rsidRPr="00AB315F" w:rsidRDefault="00686A3D" w:rsidP="005308FF">
            <w:pPr>
              <w:jc w:val="center"/>
              <w:rPr>
                <w:rFonts w:ascii="Calibri" w:hAnsi="Calibri"/>
                <w:sz w:val="22"/>
                <w:szCs w:val="22"/>
              </w:rPr>
            </w:pPr>
          </w:p>
        </w:tc>
      </w:tr>
    </w:tbl>
    <w:p w14:paraId="5B9943E5" w14:textId="77777777" w:rsidR="001F728A" w:rsidRPr="001F728A" w:rsidRDefault="001F728A" w:rsidP="001F728A">
      <w:pPr>
        <w:spacing w:line="360" w:lineRule="auto"/>
        <w:ind w:left="708" w:firstLine="708"/>
        <w:rPr>
          <w:rFonts w:ascii="Calibri" w:hAnsi="Calibri"/>
          <w:sz w:val="20"/>
          <w:szCs w:val="22"/>
        </w:rPr>
      </w:pPr>
      <w:r w:rsidRPr="001F728A">
        <w:rPr>
          <w:rFonts w:ascii="Calibri" w:hAnsi="Calibri"/>
          <w:sz w:val="20"/>
          <w:szCs w:val="22"/>
        </w:rPr>
        <w:t>Fonte</w:t>
      </w:r>
      <w:r>
        <w:rPr>
          <w:rFonts w:ascii="Calibri" w:hAnsi="Calibri"/>
          <w:sz w:val="20"/>
          <w:szCs w:val="22"/>
        </w:rPr>
        <w:t>: elaboração própria</w:t>
      </w:r>
    </w:p>
    <w:p w14:paraId="21CE9451" w14:textId="77777777" w:rsidR="001F728A" w:rsidRDefault="001F728A" w:rsidP="005A7075">
      <w:pPr>
        <w:spacing w:after="240" w:line="360" w:lineRule="auto"/>
        <w:ind w:firstLine="708"/>
        <w:jc w:val="both"/>
        <w:rPr>
          <w:rFonts w:asciiTheme="minorHAnsi" w:hAnsiTheme="minorHAnsi"/>
        </w:rPr>
      </w:pPr>
    </w:p>
    <w:p w14:paraId="50F2DA47" w14:textId="158F2727" w:rsidR="0068546D" w:rsidRPr="00AB315F" w:rsidRDefault="009C6D93" w:rsidP="005A7075">
      <w:pPr>
        <w:spacing w:after="240" w:line="360" w:lineRule="auto"/>
        <w:ind w:firstLine="708"/>
        <w:jc w:val="both"/>
        <w:rPr>
          <w:rFonts w:asciiTheme="minorHAnsi" w:hAnsiTheme="minorHAnsi"/>
        </w:rPr>
      </w:pPr>
      <w:r w:rsidRPr="00AB315F">
        <w:rPr>
          <w:rFonts w:asciiTheme="minorHAnsi" w:hAnsiTheme="minorHAnsi"/>
        </w:rPr>
        <w:t xml:space="preserve">A análise fatorial exploratória </w:t>
      </w:r>
      <w:r w:rsidR="005308FF" w:rsidRPr="00AB315F">
        <w:rPr>
          <w:rFonts w:asciiTheme="minorHAnsi" w:hAnsiTheme="minorHAnsi"/>
        </w:rPr>
        <w:t>sugere</w:t>
      </w:r>
      <w:r w:rsidRPr="00AB315F">
        <w:rPr>
          <w:rFonts w:asciiTheme="minorHAnsi" w:hAnsiTheme="minorHAnsi"/>
        </w:rPr>
        <w:t xml:space="preserve"> que o conjunto de variáveis observáveis podem refletir três variáveis latentes. A primeira, expressa no primeiro fator, seria aquela relacionada à dimensão da compra ou venda de votos, a segunda relacionada </w:t>
      </w:r>
      <w:r w:rsidR="00C16E8E" w:rsidRPr="00AB315F">
        <w:rPr>
          <w:rFonts w:asciiTheme="minorHAnsi" w:hAnsiTheme="minorHAnsi"/>
        </w:rPr>
        <w:t xml:space="preserve">as variáveis observadas que refletem a dimensão do “rouba, mas faz”, e a última refletida na aceitação da prática de oferecer propina. </w:t>
      </w:r>
    </w:p>
    <w:p w14:paraId="43679F1F" w14:textId="77777777" w:rsidR="005308FF" w:rsidRPr="00AB315F" w:rsidRDefault="00C16E8E" w:rsidP="005A7075">
      <w:pPr>
        <w:spacing w:after="240" w:line="360" w:lineRule="auto"/>
        <w:ind w:firstLine="708"/>
        <w:jc w:val="both"/>
        <w:rPr>
          <w:rFonts w:asciiTheme="minorHAnsi" w:hAnsiTheme="minorHAnsi"/>
        </w:rPr>
      </w:pPr>
      <w:r w:rsidRPr="00AB315F">
        <w:rPr>
          <w:rFonts w:asciiTheme="minorHAnsi" w:hAnsiTheme="minorHAnsi"/>
        </w:rPr>
        <w:t xml:space="preserve">A análise da estatística do coneficiente Alpha de Crombach também </w:t>
      </w:r>
      <w:r w:rsidR="005308FF" w:rsidRPr="00AB315F">
        <w:rPr>
          <w:rFonts w:asciiTheme="minorHAnsi" w:hAnsiTheme="minorHAnsi"/>
        </w:rPr>
        <w:t xml:space="preserve">pode </w:t>
      </w:r>
      <w:r w:rsidRPr="00AB315F">
        <w:rPr>
          <w:rFonts w:asciiTheme="minorHAnsi" w:hAnsiTheme="minorHAnsi"/>
        </w:rPr>
        <w:t>reportar a magnitude em que os itens estão relacionados. Aqui considera-se que todos os itens avaliados são um indicativo de aceitação da corrupção, mas como visto, podem ser agrupados em três conjuntos que mede</w:t>
      </w:r>
      <w:r w:rsidR="005308FF" w:rsidRPr="00AB315F">
        <w:rPr>
          <w:rFonts w:asciiTheme="minorHAnsi" w:hAnsiTheme="minorHAnsi"/>
        </w:rPr>
        <w:t>m três dimensões diferentes do fenômeno</w:t>
      </w:r>
      <w:r w:rsidRPr="00AB315F">
        <w:rPr>
          <w:rFonts w:asciiTheme="minorHAnsi" w:hAnsiTheme="minorHAnsi"/>
        </w:rPr>
        <w:t xml:space="preserve">. </w:t>
      </w:r>
    </w:p>
    <w:p w14:paraId="705715A5" w14:textId="795046BE" w:rsidR="00C16E8E" w:rsidRDefault="00C16E8E" w:rsidP="005A7075">
      <w:pPr>
        <w:spacing w:after="240" w:line="360" w:lineRule="auto"/>
        <w:ind w:firstLine="708"/>
        <w:jc w:val="both"/>
        <w:rPr>
          <w:rFonts w:asciiTheme="minorHAnsi" w:hAnsiTheme="minorHAnsi"/>
        </w:rPr>
      </w:pPr>
      <w:r w:rsidRPr="00AB315F">
        <w:rPr>
          <w:rFonts w:asciiTheme="minorHAnsi" w:hAnsiTheme="minorHAnsi"/>
        </w:rPr>
        <w:t xml:space="preserve">Usa-se o coeficiente alpha de Crombach para avaliar a média das correlações </w:t>
      </w:r>
      <w:r w:rsidR="009302A0" w:rsidRPr="00AB315F">
        <w:rPr>
          <w:rFonts w:asciiTheme="minorHAnsi" w:hAnsiTheme="minorHAnsi"/>
        </w:rPr>
        <w:t xml:space="preserve">entre os itens. A estimação do coeficiente é feita com base na soma padronizada das variáveis, uma vez que elas não estão pontuadas em uma mesma escala. </w:t>
      </w:r>
    </w:p>
    <w:p w14:paraId="7CBAE1A1" w14:textId="118278AB" w:rsidR="00021DE4" w:rsidRPr="00021DE4" w:rsidRDefault="00021DE4" w:rsidP="00021DE4">
      <w:pPr>
        <w:spacing w:after="240" w:line="360" w:lineRule="auto"/>
        <w:jc w:val="center"/>
        <w:rPr>
          <w:rFonts w:asciiTheme="minorHAnsi" w:hAnsiTheme="minorHAnsi"/>
          <w:b/>
        </w:rPr>
      </w:pPr>
      <w:r w:rsidRPr="00021DE4">
        <w:rPr>
          <w:rFonts w:asciiTheme="minorHAnsi" w:hAnsiTheme="minorHAnsi"/>
          <w:b/>
        </w:rPr>
        <w:t xml:space="preserve">Tabela 7. Coeficiente alpha de </w:t>
      </w:r>
      <w:r>
        <w:rPr>
          <w:rFonts w:asciiTheme="minorHAnsi" w:hAnsiTheme="minorHAnsi"/>
          <w:b/>
        </w:rPr>
        <w:t>C</w:t>
      </w:r>
      <w:r w:rsidRPr="00021DE4">
        <w:rPr>
          <w:rFonts w:asciiTheme="minorHAnsi" w:hAnsiTheme="minorHAnsi"/>
          <w:b/>
        </w:rPr>
        <w:t>ronbach para indicadores convergentes</w:t>
      </w:r>
    </w:p>
    <w:tbl>
      <w:tblPr>
        <w:tblW w:w="5326" w:type="dxa"/>
        <w:jc w:val="center"/>
        <w:tblCellMar>
          <w:left w:w="70" w:type="dxa"/>
          <w:right w:w="70" w:type="dxa"/>
        </w:tblCellMar>
        <w:tblLook w:val="04A0" w:firstRow="1" w:lastRow="0" w:firstColumn="1" w:lastColumn="0" w:noHBand="0" w:noVBand="1"/>
      </w:tblPr>
      <w:tblGrid>
        <w:gridCol w:w="1200"/>
        <w:gridCol w:w="1124"/>
        <w:gridCol w:w="1124"/>
        <w:gridCol w:w="1147"/>
        <w:gridCol w:w="754"/>
      </w:tblGrid>
      <w:tr w:rsidR="00686A3D" w:rsidRPr="00AB315F" w14:paraId="3DF36D45" w14:textId="77777777" w:rsidTr="00686A3D">
        <w:trPr>
          <w:trHeight w:val="870"/>
          <w:jc w:val="center"/>
        </w:trPr>
        <w:tc>
          <w:tcPr>
            <w:tcW w:w="1200" w:type="dxa"/>
            <w:tcBorders>
              <w:top w:val="single" w:sz="4" w:space="0" w:color="auto"/>
              <w:left w:val="nil"/>
              <w:bottom w:val="single" w:sz="4" w:space="0" w:color="auto"/>
              <w:right w:val="single" w:sz="4" w:space="0" w:color="auto"/>
            </w:tcBorders>
            <w:shd w:val="clear" w:color="auto" w:fill="auto"/>
            <w:noWrap/>
            <w:vAlign w:val="center"/>
            <w:hideMark/>
          </w:tcPr>
          <w:p w14:paraId="4C07E2FC" w14:textId="77777777" w:rsidR="00686A3D" w:rsidRPr="00686A3D" w:rsidRDefault="00686A3D" w:rsidP="009302A0">
            <w:pPr>
              <w:jc w:val="center"/>
              <w:rPr>
                <w:rFonts w:ascii="Calibri" w:hAnsi="Calibri"/>
                <w:b/>
                <w:sz w:val="22"/>
                <w:szCs w:val="22"/>
              </w:rPr>
            </w:pPr>
            <w:r w:rsidRPr="00686A3D">
              <w:rPr>
                <w:rFonts w:ascii="Calibri" w:hAnsi="Calibri"/>
                <w:b/>
                <w:sz w:val="22"/>
                <w:szCs w:val="22"/>
              </w:rPr>
              <w:lastRenderedPageBreak/>
              <w:t>Item</w:t>
            </w:r>
          </w:p>
        </w:tc>
        <w:tc>
          <w:tcPr>
            <w:tcW w:w="11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59B7DB" w14:textId="2039BD6A" w:rsidR="00686A3D" w:rsidRPr="00686A3D" w:rsidRDefault="00686A3D" w:rsidP="009302A0">
            <w:pPr>
              <w:jc w:val="center"/>
              <w:rPr>
                <w:rFonts w:ascii="Calibri" w:hAnsi="Calibri"/>
                <w:b/>
                <w:sz w:val="22"/>
                <w:szCs w:val="22"/>
              </w:rPr>
            </w:pPr>
            <w:r w:rsidRPr="00686A3D">
              <w:rPr>
                <w:rFonts w:ascii="Calibri" w:hAnsi="Calibri"/>
                <w:b/>
                <w:sz w:val="22"/>
                <w:szCs w:val="22"/>
              </w:rPr>
              <w:t>Correlação Item-teste</w:t>
            </w:r>
          </w:p>
        </w:tc>
        <w:tc>
          <w:tcPr>
            <w:tcW w:w="11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EF38C1" w14:textId="534E381C" w:rsidR="00686A3D" w:rsidRPr="00686A3D" w:rsidRDefault="00686A3D" w:rsidP="009302A0">
            <w:pPr>
              <w:jc w:val="center"/>
              <w:rPr>
                <w:rFonts w:ascii="Calibri" w:hAnsi="Calibri"/>
                <w:b/>
                <w:sz w:val="22"/>
                <w:szCs w:val="22"/>
              </w:rPr>
            </w:pPr>
            <w:r w:rsidRPr="00686A3D">
              <w:rPr>
                <w:rFonts w:ascii="Calibri" w:hAnsi="Calibri"/>
                <w:b/>
                <w:sz w:val="22"/>
                <w:szCs w:val="22"/>
              </w:rPr>
              <w:t>Correlação Item-resto</w:t>
            </w:r>
          </w:p>
        </w:tc>
        <w:tc>
          <w:tcPr>
            <w:tcW w:w="11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61290B" w14:textId="7FEAF0C3" w:rsidR="00686A3D" w:rsidRPr="00686A3D" w:rsidRDefault="00686A3D" w:rsidP="009302A0">
            <w:pPr>
              <w:jc w:val="center"/>
              <w:rPr>
                <w:rFonts w:ascii="Calibri" w:hAnsi="Calibri"/>
                <w:b/>
                <w:sz w:val="22"/>
                <w:szCs w:val="22"/>
              </w:rPr>
            </w:pPr>
            <w:r w:rsidRPr="00686A3D">
              <w:rPr>
                <w:rFonts w:ascii="Calibri" w:hAnsi="Calibri"/>
                <w:b/>
                <w:sz w:val="22"/>
                <w:szCs w:val="22"/>
              </w:rPr>
              <w:t>Covariança Interitem</w:t>
            </w:r>
          </w:p>
        </w:tc>
        <w:tc>
          <w:tcPr>
            <w:tcW w:w="754" w:type="dxa"/>
            <w:tcBorders>
              <w:top w:val="single" w:sz="4" w:space="0" w:color="auto"/>
              <w:left w:val="single" w:sz="4" w:space="0" w:color="auto"/>
              <w:bottom w:val="single" w:sz="4" w:space="0" w:color="auto"/>
              <w:right w:val="nil"/>
            </w:tcBorders>
            <w:shd w:val="clear" w:color="auto" w:fill="auto"/>
            <w:vAlign w:val="center"/>
            <w:hideMark/>
          </w:tcPr>
          <w:p w14:paraId="3170582C" w14:textId="32BDA315" w:rsidR="00686A3D" w:rsidRPr="00686A3D" w:rsidRDefault="00686A3D" w:rsidP="009302A0">
            <w:pPr>
              <w:jc w:val="center"/>
              <w:rPr>
                <w:rFonts w:ascii="Calibri" w:hAnsi="Calibri"/>
                <w:b/>
                <w:sz w:val="22"/>
                <w:szCs w:val="22"/>
              </w:rPr>
            </w:pPr>
            <w:r w:rsidRPr="00686A3D">
              <w:rPr>
                <w:rFonts w:ascii="Calibri" w:hAnsi="Calibri"/>
                <w:b/>
                <w:sz w:val="22"/>
                <w:szCs w:val="22"/>
              </w:rPr>
              <w:t>Alpha</w:t>
            </w:r>
          </w:p>
        </w:tc>
      </w:tr>
      <w:tr w:rsidR="00686A3D" w:rsidRPr="00AB315F" w14:paraId="00C2F508" w14:textId="77777777" w:rsidTr="00686A3D">
        <w:trPr>
          <w:trHeight w:val="290"/>
          <w:jc w:val="center"/>
        </w:trPr>
        <w:tc>
          <w:tcPr>
            <w:tcW w:w="1200" w:type="dxa"/>
            <w:tcBorders>
              <w:top w:val="single" w:sz="4" w:space="0" w:color="auto"/>
              <w:left w:val="nil"/>
              <w:bottom w:val="nil"/>
              <w:right w:val="single" w:sz="4" w:space="0" w:color="auto"/>
            </w:tcBorders>
            <w:shd w:val="clear" w:color="auto" w:fill="auto"/>
            <w:noWrap/>
            <w:vAlign w:val="center"/>
            <w:hideMark/>
          </w:tcPr>
          <w:p w14:paraId="3EB3CF60" w14:textId="77777777" w:rsidR="00686A3D" w:rsidRPr="00AB315F" w:rsidRDefault="00686A3D" w:rsidP="009302A0">
            <w:pPr>
              <w:jc w:val="center"/>
              <w:rPr>
                <w:rFonts w:ascii="Calibri" w:hAnsi="Calibri"/>
                <w:sz w:val="22"/>
                <w:szCs w:val="22"/>
              </w:rPr>
            </w:pPr>
            <w:r w:rsidRPr="00AB315F">
              <w:rPr>
                <w:rFonts w:ascii="Calibri" w:hAnsi="Calibri"/>
                <w:sz w:val="22"/>
                <w:szCs w:val="22"/>
              </w:rPr>
              <w:t>propina1</w:t>
            </w:r>
          </w:p>
        </w:tc>
        <w:tc>
          <w:tcPr>
            <w:tcW w:w="1124" w:type="dxa"/>
            <w:tcBorders>
              <w:top w:val="nil"/>
              <w:left w:val="single" w:sz="4" w:space="0" w:color="auto"/>
              <w:bottom w:val="nil"/>
              <w:right w:val="single" w:sz="4" w:space="0" w:color="auto"/>
            </w:tcBorders>
            <w:shd w:val="clear" w:color="auto" w:fill="auto"/>
            <w:noWrap/>
            <w:vAlign w:val="center"/>
            <w:hideMark/>
          </w:tcPr>
          <w:p w14:paraId="40684BEF" w14:textId="77777777" w:rsidR="00686A3D" w:rsidRPr="00AB315F" w:rsidRDefault="00686A3D" w:rsidP="009302A0">
            <w:pPr>
              <w:jc w:val="center"/>
              <w:rPr>
                <w:rFonts w:ascii="Calibri" w:hAnsi="Calibri"/>
                <w:sz w:val="22"/>
                <w:szCs w:val="22"/>
              </w:rPr>
            </w:pPr>
            <w:r w:rsidRPr="00AB315F">
              <w:rPr>
                <w:rFonts w:ascii="Calibri" w:hAnsi="Calibri"/>
                <w:sz w:val="22"/>
                <w:szCs w:val="22"/>
              </w:rPr>
              <w:t>0,321</w:t>
            </w:r>
          </w:p>
        </w:tc>
        <w:tc>
          <w:tcPr>
            <w:tcW w:w="1124" w:type="dxa"/>
            <w:tcBorders>
              <w:top w:val="single" w:sz="4" w:space="0" w:color="auto"/>
              <w:left w:val="nil"/>
              <w:bottom w:val="nil"/>
              <w:right w:val="single" w:sz="4" w:space="0" w:color="auto"/>
            </w:tcBorders>
            <w:shd w:val="clear" w:color="auto" w:fill="auto"/>
            <w:noWrap/>
            <w:vAlign w:val="center"/>
            <w:hideMark/>
          </w:tcPr>
          <w:p w14:paraId="7C35E71D" w14:textId="77777777" w:rsidR="00686A3D" w:rsidRPr="00AB315F" w:rsidRDefault="00686A3D" w:rsidP="009302A0">
            <w:pPr>
              <w:jc w:val="center"/>
              <w:rPr>
                <w:rFonts w:ascii="Calibri" w:hAnsi="Calibri"/>
                <w:sz w:val="22"/>
                <w:szCs w:val="22"/>
              </w:rPr>
            </w:pPr>
            <w:r w:rsidRPr="00AB315F">
              <w:rPr>
                <w:rFonts w:ascii="Calibri" w:hAnsi="Calibri"/>
                <w:sz w:val="22"/>
                <w:szCs w:val="22"/>
              </w:rPr>
              <w:t>0,189</w:t>
            </w:r>
          </w:p>
        </w:tc>
        <w:tc>
          <w:tcPr>
            <w:tcW w:w="1124" w:type="dxa"/>
            <w:tcBorders>
              <w:top w:val="nil"/>
              <w:left w:val="nil"/>
              <w:bottom w:val="nil"/>
              <w:right w:val="single" w:sz="4" w:space="0" w:color="auto"/>
            </w:tcBorders>
            <w:shd w:val="clear" w:color="auto" w:fill="auto"/>
            <w:noWrap/>
            <w:vAlign w:val="center"/>
            <w:hideMark/>
          </w:tcPr>
          <w:p w14:paraId="3AF034D4" w14:textId="77777777" w:rsidR="00686A3D" w:rsidRPr="00AB315F" w:rsidRDefault="00686A3D" w:rsidP="009302A0">
            <w:pPr>
              <w:jc w:val="center"/>
              <w:rPr>
                <w:rFonts w:ascii="Calibri" w:hAnsi="Calibri"/>
                <w:sz w:val="22"/>
                <w:szCs w:val="22"/>
              </w:rPr>
            </w:pPr>
            <w:r w:rsidRPr="00AB315F">
              <w:rPr>
                <w:rFonts w:ascii="Calibri" w:hAnsi="Calibri"/>
                <w:sz w:val="22"/>
                <w:szCs w:val="22"/>
              </w:rPr>
              <w:t>0,265</w:t>
            </w:r>
          </w:p>
        </w:tc>
        <w:tc>
          <w:tcPr>
            <w:tcW w:w="754" w:type="dxa"/>
            <w:tcBorders>
              <w:top w:val="nil"/>
              <w:left w:val="nil"/>
              <w:bottom w:val="nil"/>
              <w:right w:val="nil"/>
            </w:tcBorders>
            <w:shd w:val="clear" w:color="auto" w:fill="auto"/>
            <w:noWrap/>
            <w:vAlign w:val="center"/>
            <w:hideMark/>
          </w:tcPr>
          <w:p w14:paraId="2C277512" w14:textId="77777777" w:rsidR="00686A3D" w:rsidRPr="00AB315F" w:rsidRDefault="00686A3D" w:rsidP="009302A0">
            <w:pPr>
              <w:jc w:val="center"/>
              <w:rPr>
                <w:rFonts w:ascii="Calibri" w:hAnsi="Calibri"/>
                <w:sz w:val="22"/>
                <w:szCs w:val="22"/>
              </w:rPr>
            </w:pPr>
            <w:r w:rsidRPr="00AB315F">
              <w:rPr>
                <w:rFonts w:ascii="Calibri" w:hAnsi="Calibri"/>
                <w:sz w:val="22"/>
                <w:szCs w:val="22"/>
              </w:rPr>
              <w:t>0,824</w:t>
            </w:r>
          </w:p>
        </w:tc>
      </w:tr>
      <w:tr w:rsidR="00686A3D" w:rsidRPr="00AB315F" w14:paraId="38E746D2" w14:textId="77777777" w:rsidTr="00686A3D">
        <w:trPr>
          <w:trHeight w:val="290"/>
          <w:jc w:val="center"/>
        </w:trPr>
        <w:tc>
          <w:tcPr>
            <w:tcW w:w="1200" w:type="dxa"/>
            <w:tcBorders>
              <w:top w:val="nil"/>
              <w:left w:val="nil"/>
              <w:bottom w:val="single" w:sz="4" w:space="0" w:color="auto"/>
              <w:right w:val="single" w:sz="4" w:space="0" w:color="auto"/>
            </w:tcBorders>
            <w:shd w:val="clear" w:color="auto" w:fill="auto"/>
            <w:noWrap/>
            <w:vAlign w:val="center"/>
            <w:hideMark/>
          </w:tcPr>
          <w:p w14:paraId="523EDDF1" w14:textId="77777777" w:rsidR="00686A3D" w:rsidRPr="00AB315F" w:rsidRDefault="00686A3D" w:rsidP="009302A0">
            <w:pPr>
              <w:jc w:val="center"/>
              <w:rPr>
                <w:rFonts w:ascii="Calibri" w:hAnsi="Calibri"/>
                <w:sz w:val="22"/>
                <w:szCs w:val="22"/>
              </w:rPr>
            </w:pPr>
            <w:r w:rsidRPr="00AB315F">
              <w:rPr>
                <w:rFonts w:ascii="Calibri" w:hAnsi="Calibri"/>
                <w:sz w:val="22"/>
                <w:szCs w:val="22"/>
              </w:rPr>
              <w:t>propina2</w:t>
            </w:r>
          </w:p>
        </w:tc>
        <w:tc>
          <w:tcPr>
            <w:tcW w:w="1124" w:type="dxa"/>
            <w:tcBorders>
              <w:top w:val="nil"/>
              <w:left w:val="single" w:sz="4" w:space="0" w:color="auto"/>
              <w:bottom w:val="nil"/>
              <w:right w:val="single" w:sz="4" w:space="0" w:color="auto"/>
            </w:tcBorders>
            <w:shd w:val="clear" w:color="auto" w:fill="auto"/>
            <w:noWrap/>
            <w:vAlign w:val="center"/>
            <w:hideMark/>
          </w:tcPr>
          <w:p w14:paraId="461AA32E" w14:textId="77777777" w:rsidR="00686A3D" w:rsidRPr="00AB315F" w:rsidRDefault="00686A3D" w:rsidP="009302A0">
            <w:pPr>
              <w:jc w:val="center"/>
              <w:rPr>
                <w:rFonts w:ascii="Calibri" w:hAnsi="Calibri"/>
                <w:sz w:val="22"/>
                <w:szCs w:val="22"/>
              </w:rPr>
            </w:pPr>
            <w:r w:rsidRPr="00AB315F">
              <w:rPr>
                <w:rFonts w:ascii="Calibri" w:hAnsi="Calibri"/>
                <w:sz w:val="22"/>
                <w:szCs w:val="22"/>
              </w:rPr>
              <w:t>0,300</w:t>
            </w:r>
          </w:p>
        </w:tc>
        <w:tc>
          <w:tcPr>
            <w:tcW w:w="1124" w:type="dxa"/>
            <w:tcBorders>
              <w:top w:val="nil"/>
              <w:left w:val="nil"/>
              <w:bottom w:val="single" w:sz="4" w:space="0" w:color="auto"/>
              <w:right w:val="single" w:sz="4" w:space="0" w:color="auto"/>
            </w:tcBorders>
            <w:shd w:val="clear" w:color="auto" w:fill="auto"/>
            <w:noWrap/>
            <w:vAlign w:val="center"/>
            <w:hideMark/>
          </w:tcPr>
          <w:p w14:paraId="06F2EC7D" w14:textId="77777777" w:rsidR="00686A3D" w:rsidRPr="00AB315F" w:rsidRDefault="00686A3D" w:rsidP="009302A0">
            <w:pPr>
              <w:jc w:val="center"/>
              <w:rPr>
                <w:rFonts w:ascii="Calibri" w:hAnsi="Calibri"/>
                <w:sz w:val="22"/>
                <w:szCs w:val="22"/>
              </w:rPr>
            </w:pPr>
            <w:r w:rsidRPr="00AB315F">
              <w:rPr>
                <w:rFonts w:ascii="Calibri" w:hAnsi="Calibri"/>
                <w:sz w:val="22"/>
                <w:szCs w:val="22"/>
              </w:rPr>
              <w:t>0,168</w:t>
            </w:r>
          </w:p>
        </w:tc>
        <w:tc>
          <w:tcPr>
            <w:tcW w:w="1124" w:type="dxa"/>
            <w:tcBorders>
              <w:top w:val="nil"/>
              <w:left w:val="nil"/>
              <w:bottom w:val="nil"/>
              <w:right w:val="single" w:sz="4" w:space="0" w:color="auto"/>
            </w:tcBorders>
            <w:shd w:val="clear" w:color="auto" w:fill="auto"/>
            <w:noWrap/>
            <w:vAlign w:val="center"/>
            <w:hideMark/>
          </w:tcPr>
          <w:p w14:paraId="3067238B" w14:textId="77777777" w:rsidR="00686A3D" w:rsidRPr="00AB315F" w:rsidRDefault="00686A3D" w:rsidP="009302A0">
            <w:pPr>
              <w:jc w:val="center"/>
              <w:rPr>
                <w:rFonts w:ascii="Calibri" w:hAnsi="Calibri"/>
                <w:sz w:val="22"/>
                <w:szCs w:val="22"/>
              </w:rPr>
            </w:pPr>
            <w:r w:rsidRPr="00AB315F">
              <w:rPr>
                <w:rFonts w:ascii="Calibri" w:hAnsi="Calibri"/>
                <w:sz w:val="22"/>
                <w:szCs w:val="22"/>
              </w:rPr>
              <w:t>0,268</w:t>
            </w:r>
          </w:p>
        </w:tc>
        <w:tc>
          <w:tcPr>
            <w:tcW w:w="754" w:type="dxa"/>
            <w:tcBorders>
              <w:top w:val="nil"/>
              <w:left w:val="nil"/>
              <w:bottom w:val="nil"/>
              <w:right w:val="nil"/>
            </w:tcBorders>
            <w:shd w:val="clear" w:color="auto" w:fill="auto"/>
            <w:noWrap/>
            <w:vAlign w:val="center"/>
            <w:hideMark/>
          </w:tcPr>
          <w:p w14:paraId="7FCB64CF" w14:textId="77777777" w:rsidR="00686A3D" w:rsidRPr="00AB315F" w:rsidRDefault="00686A3D" w:rsidP="009302A0">
            <w:pPr>
              <w:jc w:val="center"/>
              <w:rPr>
                <w:rFonts w:ascii="Calibri" w:hAnsi="Calibri"/>
                <w:sz w:val="22"/>
                <w:szCs w:val="22"/>
              </w:rPr>
            </w:pPr>
            <w:r w:rsidRPr="00AB315F">
              <w:rPr>
                <w:rFonts w:ascii="Calibri" w:hAnsi="Calibri"/>
                <w:sz w:val="22"/>
                <w:szCs w:val="22"/>
              </w:rPr>
              <w:t>0,826</w:t>
            </w:r>
          </w:p>
        </w:tc>
      </w:tr>
      <w:tr w:rsidR="00686A3D" w:rsidRPr="00AB315F" w14:paraId="29D8F544" w14:textId="77777777" w:rsidTr="00686A3D">
        <w:trPr>
          <w:trHeight w:val="290"/>
          <w:jc w:val="center"/>
        </w:trPr>
        <w:tc>
          <w:tcPr>
            <w:tcW w:w="1200" w:type="dxa"/>
            <w:tcBorders>
              <w:top w:val="single" w:sz="4" w:space="0" w:color="auto"/>
              <w:left w:val="nil"/>
              <w:bottom w:val="nil"/>
              <w:right w:val="single" w:sz="4" w:space="0" w:color="auto"/>
            </w:tcBorders>
            <w:shd w:val="clear" w:color="auto" w:fill="auto"/>
            <w:noWrap/>
            <w:vAlign w:val="center"/>
            <w:hideMark/>
          </w:tcPr>
          <w:p w14:paraId="1B94B63D" w14:textId="77777777" w:rsidR="00686A3D" w:rsidRPr="00AB315F" w:rsidRDefault="00686A3D" w:rsidP="009302A0">
            <w:pPr>
              <w:jc w:val="center"/>
              <w:rPr>
                <w:rFonts w:ascii="Calibri" w:hAnsi="Calibri"/>
                <w:sz w:val="22"/>
                <w:szCs w:val="22"/>
              </w:rPr>
            </w:pPr>
            <w:r w:rsidRPr="00AB315F">
              <w:rPr>
                <w:rFonts w:ascii="Calibri" w:hAnsi="Calibri"/>
                <w:sz w:val="22"/>
                <w:szCs w:val="22"/>
              </w:rPr>
              <w:t>rmf1</w:t>
            </w:r>
          </w:p>
        </w:tc>
        <w:tc>
          <w:tcPr>
            <w:tcW w:w="1124" w:type="dxa"/>
            <w:tcBorders>
              <w:top w:val="nil"/>
              <w:left w:val="single" w:sz="4" w:space="0" w:color="auto"/>
              <w:bottom w:val="nil"/>
              <w:right w:val="single" w:sz="4" w:space="0" w:color="auto"/>
            </w:tcBorders>
            <w:shd w:val="clear" w:color="auto" w:fill="auto"/>
            <w:noWrap/>
            <w:vAlign w:val="center"/>
            <w:hideMark/>
          </w:tcPr>
          <w:p w14:paraId="4A08697B" w14:textId="77777777" w:rsidR="00686A3D" w:rsidRPr="00AB315F" w:rsidRDefault="00686A3D" w:rsidP="009302A0">
            <w:pPr>
              <w:jc w:val="center"/>
              <w:rPr>
                <w:rFonts w:ascii="Calibri" w:hAnsi="Calibri"/>
                <w:sz w:val="22"/>
                <w:szCs w:val="22"/>
              </w:rPr>
            </w:pPr>
            <w:r w:rsidRPr="00AB315F">
              <w:rPr>
                <w:rFonts w:ascii="Calibri" w:hAnsi="Calibri"/>
                <w:sz w:val="22"/>
                <w:szCs w:val="22"/>
              </w:rPr>
              <w:t>0,521</w:t>
            </w:r>
          </w:p>
        </w:tc>
        <w:tc>
          <w:tcPr>
            <w:tcW w:w="1124" w:type="dxa"/>
            <w:tcBorders>
              <w:top w:val="single" w:sz="4" w:space="0" w:color="auto"/>
              <w:left w:val="nil"/>
              <w:bottom w:val="nil"/>
              <w:right w:val="single" w:sz="4" w:space="0" w:color="auto"/>
            </w:tcBorders>
            <w:shd w:val="clear" w:color="auto" w:fill="auto"/>
            <w:noWrap/>
            <w:vAlign w:val="center"/>
            <w:hideMark/>
          </w:tcPr>
          <w:p w14:paraId="3FC363EF" w14:textId="77777777" w:rsidR="00686A3D" w:rsidRPr="00AB315F" w:rsidRDefault="00686A3D" w:rsidP="009302A0">
            <w:pPr>
              <w:jc w:val="center"/>
              <w:rPr>
                <w:rFonts w:ascii="Calibri" w:hAnsi="Calibri"/>
                <w:sz w:val="22"/>
                <w:szCs w:val="22"/>
              </w:rPr>
            </w:pPr>
            <w:r w:rsidRPr="00AB315F">
              <w:rPr>
                <w:rFonts w:ascii="Calibri" w:hAnsi="Calibri"/>
                <w:sz w:val="22"/>
                <w:szCs w:val="22"/>
              </w:rPr>
              <w:t>0,410</w:t>
            </w:r>
          </w:p>
        </w:tc>
        <w:tc>
          <w:tcPr>
            <w:tcW w:w="1124" w:type="dxa"/>
            <w:tcBorders>
              <w:top w:val="nil"/>
              <w:left w:val="nil"/>
              <w:bottom w:val="nil"/>
              <w:right w:val="single" w:sz="4" w:space="0" w:color="auto"/>
            </w:tcBorders>
            <w:shd w:val="clear" w:color="auto" w:fill="auto"/>
            <w:noWrap/>
            <w:vAlign w:val="center"/>
            <w:hideMark/>
          </w:tcPr>
          <w:p w14:paraId="45DD8FE8" w14:textId="77777777" w:rsidR="00686A3D" w:rsidRPr="00AB315F" w:rsidRDefault="00686A3D" w:rsidP="009302A0">
            <w:pPr>
              <w:jc w:val="center"/>
              <w:rPr>
                <w:rFonts w:ascii="Calibri" w:hAnsi="Calibri"/>
                <w:sz w:val="22"/>
                <w:szCs w:val="22"/>
              </w:rPr>
            </w:pPr>
            <w:r w:rsidRPr="00AB315F">
              <w:rPr>
                <w:rFonts w:ascii="Calibri" w:hAnsi="Calibri"/>
                <w:sz w:val="22"/>
                <w:szCs w:val="22"/>
              </w:rPr>
              <w:t>0,245</w:t>
            </w:r>
          </w:p>
        </w:tc>
        <w:tc>
          <w:tcPr>
            <w:tcW w:w="754" w:type="dxa"/>
            <w:tcBorders>
              <w:top w:val="nil"/>
              <w:left w:val="nil"/>
              <w:bottom w:val="nil"/>
              <w:right w:val="nil"/>
            </w:tcBorders>
            <w:shd w:val="clear" w:color="auto" w:fill="auto"/>
            <w:noWrap/>
            <w:vAlign w:val="center"/>
            <w:hideMark/>
          </w:tcPr>
          <w:p w14:paraId="5FE68714" w14:textId="77777777" w:rsidR="00686A3D" w:rsidRPr="00AB315F" w:rsidRDefault="00686A3D" w:rsidP="009302A0">
            <w:pPr>
              <w:jc w:val="center"/>
              <w:rPr>
                <w:rFonts w:ascii="Calibri" w:hAnsi="Calibri"/>
                <w:sz w:val="22"/>
                <w:szCs w:val="22"/>
              </w:rPr>
            </w:pPr>
            <w:r w:rsidRPr="00AB315F">
              <w:rPr>
                <w:rFonts w:ascii="Calibri" w:hAnsi="Calibri"/>
                <w:sz w:val="22"/>
                <w:szCs w:val="22"/>
              </w:rPr>
              <w:t>0,809</w:t>
            </w:r>
          </w:p>
        </w:tc>
      </w:tr>
      <w:tr w:rsidR="00686A3D" w:rsidRPr="00AB315F" w14:paraId="1047D764" w14:textId="77777777" w:rsidTr="00686A3D">
        <w:trPr>
          <w:trHeight w:val="290"/>
          <w:jc w:val="center"/>
        </w:trPr>
        <w:tc>
          <w:tcPr>
            <w:tcW w:w="1200" w:type="dxa"/>
            <w:tcBorders>
              <w:top w:val="nil"/>
              <w:left w:val="nil"/>
              <w:bottom w:val="nil"/>
              <w:right w:val="single" w:sz="4" w:space="0" w:color="auto"/>
            </w:tcBorders>
            <w:shd w:val="clear" w:color="auto" w:fill="auto"/>
            <w:noWrap/>
            <w:vAlign w:val="center"/>
            <w:hideMark/>
          </w:tcPr>
          <w:p w14:paraId="0345F3DE" w14:textId="77777777" w:rsidR="00686A3D" w:rsidRPr="00AB315F" w:rsidRDefault="00686A3D" w:rsidP="009302A0">
            <w:pPr>
              <w:jc w:val="center"/>
              <w:rPr>
                <w:rFonts w:ascii="Calibri" w:hAnsi="Calibri"/>
                <w:sz w:val="22"/>
                <w:szCs w:val="22"/>
              </w:rPr>
            </w:pPr>
            <w:r w:rsidRPr="00AB315F">
              <w:rPr>
                <w:rFonts w:ascii="Calibri" w:hAnsi="Calibri"/>
                <w:sz w:val="22"/>
                <w:szCs w:val="22"/>
              </w:rPr>
              <w:t>rmf2</w:t>
            </w:r>
          </w:p>
        </w:tc>
        <w:tc>
          <w:tcPr>
            <w:tcW w:w="1124" w:type="dxa"/>
            <w:tcBorders>
              <w:top w:val="nil"/>
              <w:left w:val="single" w:sz="4" w:space="0" w:color="auto"/>
              <w:bottom w:val="nil"/>
              <w:right w:val="single" w:sz="4" w:space="0" w:color="auto"/>
            </w:tcBorders>
            <w:shd w:val="clear" w:color="auto" w:fill="auto"/>
            <w:noWrap/>
            <w:vAlign w:val="center"/>
            <w:hideMark/>
          </w:tcPr>
          <w:p w14:paraId="14EE243F" w14:textId="77777777" w:rsidR="00686A3D" w:rsidRPr="00AB315F" w:rsidRDefault="00686A3D" w:rsidP="009302A0">
            <w:pPr>
              <w:jc w:val="center"/>
              <w:rPr>
                <w:rFonts w:ascii="Calibri" w:hAnsi="Calibri"/>
                <w:sz w:val="22"/>
                <w:szCs w:val="22"/>
              </w:rPr>
            </w:pPr>
            <w:r w:rsidRPr="00AB315F">
              <w:rPr>
                <w:rFonts w:ascii="Calibri" w:hAnsi="Calibri"/>
                <w:sz w:val="22"/>
                <w:szCs w:val="22"/>
              </w:rPr>
              <w:t>0,501</w:t>
            </w:r>
          </w:p>
        </w:tc>
        <w:tc>
          <w:tcPr>
            <w:tcW w:w="1124" w:type="dxa"/>
            <w:tcBorders>
              <w:top w:val="nil"/>
              <w:left w:val="nil"/>
              <w:bottom w:val="nil"/>
              <w:right w:val="single" w:sz="4" w:space="0" w:color="auto"/>
            </w:tcBorders>
            <w:shd w:val="clear" w:color="auto" w:fill="auto"/>
            <w:noWrap/>
            <w:vAlign w:val="center"/>
            <w:hideMark/>
          </w:tcPr>
          <w:p w14:paraId="0EF147E0" w14:textId="77777777" w:rsidR="00686A3D" w:rsidRPr="00AB315F" w:rsidRDefault="00686A3D" w:rsidP="009302A0">
            <w:pPr>
              <w:jc w:val="center"/>
              <w:rPr>
                <w:rFonts w:ascii="Calibri" w:hAnsi="Calibri"/>
                <w:sz w:val="22"/>
                <w:szCs w:val="22"/>
              </w:rPr>
            </w:pPr>
            <w:r w:rsidRPr="00AB315F">
              <w:rPr>
                <w:rFonts w:ascii="Calibri" w:hAnsi="Calibri"/>
                <w:sz w:val="22"/>
                <w:szCs w:val="22"/>
              </w:rPr>
              <w:t>0,387</w:t>
            </w:r>
          </w:p>
        </w:tc>
        <w:tc>
          <w:tcPr>
            <w:tcW w:w="1124" w:type="dxa"/>
            <w:tcBorders>
              <w:top w:val="nil"/>
              <w:left w:val="nil"/>
              <w:bottom w:val="nil"/>
              <w:right w:val="single" w:sz="4" w:space="0" w:color="auto"/>
            </w:tcBorders>
            <w:shd w:val="clear" w:color="auto" w:fill="auto"/>
            <w:noWrap/>
            <w:vAlign w:val="center"/>
            <w:hideMark/>
          </w:tcPr>
          <w:p w14:paraId="595F1EAF" w14:textId="77777777" w:rsidR="00686A3D" w:rsidRPr="00AB315F" w:rsidRDefault="00686A3D" w:rsidP="009302A0">
            <w:pPr>
              <w:jc w:val="center"/>
              <w:rPr>
                <w:rFonts w:ascii="Calibri" w:hAnsi="Calibri"/>
                <w:sz w:val="22"/>
                <w:szCs w:val="22"/>
              </w:rPr>
            </w:pPr>
            <w:r w:rsidRPr="00AB315F">
              <w:rPr>
                <w:rFonts w:ascii="Calibri" w:hAnsi="Calibri"/>
                <w:sz w:val="22"/>
                <w:szCs w:val="22"/>
              </w:rPr>
              <w:t>0,248</w:t>
            </w:r>
          </w:p>
        </w:tc>
        <w:tc>
          <w:tcPr>
            <w:tcW w:w="754" w:type="dxa"/>
            <w:tcBorders>
              <w:top w:val="nil"/>
              <w:left w:val="nil"/>
              <w:bottom w:val="nil"/>
              <w:right w:val="nil"/>
            </w:tcBorders>
            <w:shd w:val="clear" w:color="auto" w:fill="auto"/>
            <w:noWrap/>
            <w:vAlign w:val="center"/>
            <w:hideMark/>
          </w:tcPr>
          <w:p w14:paraId="31291643" w14:textId="77777777" w:rsidR="00686A3D" w:rsidRPr="00AB315F" w:rsidRDefault="00686A3D" w:rsidP="009302A0">
            <w:pPr>
              <w:jc w:val="center"/>
              <w:rPr>
                <w:rFonts w:ascii="Calibri" w:hAnsi="Calibri"/>
                <w:sz w:val="22"/>
                <w:szCs w:val="22"/>
              </w:rPr>
            </w:pPr>
            <w:r w:rsidRPr="00AB315F">
              <w:rPr>
                <w:rFonts w:ascii="Calibri" w:hAnsi="Calibri"/>
                <w:sz w:val="22"/>
                <w:szCs w:val="22"/>
              </w:rPr>
              <w:t>0,810</w:t>
            </w:r>
          </w:p>
        </w:tc>
      </w:tr>
      <w:tr w:rsidR="00686A3D" w:rsidRPr="00AB315F" w14:paraId="51D39077" w14:textId="77777777" w:rsidTr="00686A3D">
        <w:trPr>
          <w:trHeight w:val="290"/>
          <w:jc w:val="center"/>
        </w:trPr>
        <w:tc>
          <w:tcPr>
            <w:tcW w:w="1200" w:type="dxa"/>
            <w:tcBorders>
              <w:top w:val="nil"/>
              <w:left w:val="nil"/>
              <w:bottom w:val="nil"/>
              <w:right w:val="single" w:sz="4" w:space="0" w:color="auto"/>
            </w:tcBorders>
            <w:shd w:val="clear" w:color="auto" w:fill="auto"/>
            <w:noWrap/>
            <w:vAlign w:val="center"/>
            <w:hideMark/>
          </w:tcPr>
          <w:p w14:paraId="2F1EE302" w14:textId="77777777" w:rsidR="00686A3D" w:rsidRPr="00AB315F" w:rsidRDefault="00686A3D" w:rsidP="009302A0">
            <w:pPr>
              <w:jc w:val="center"/>
              <w:rPr>
                <w:rFonts w:ascii="Calibri" w:hAnsi="Calibri"/>
                <w:sz w:val="22"/>
                <w:szCs w:val="22"/>
              </w:rPr>
            </w:pPr>
            <w:r w:rsidRPr="00AB315F">
              <w:rPr>
                <w:rFonts w:ascii="Calibri" w:hAnsi="Calibri"/>
                <w:sz w:val="22"/>
                <w:szCs w:val="22"/>
              </w:rPr>
              <w:t>rmf3</w:t>
            </w:r>
          </w:p>
        </w:tc>
        <w:tc>
          <w:tcPr>
            <w:tcW w:w="1124" w:type="dxa"/>
            <w:tcBorders>
              <w:top w:val="nil"/>
              <w:left w:val="single" w:sz="4" w:space="0" w:color="auto"/>
              <w:bottom w:val="nil"/>
              <w:right w:val="single" w:sz="4" w:space="0" w:color="auto"/>
            </w:tcBorders>
            <w:shd w:val="clear" w:color="auto" w:fill="auto"/>
            <w:noWrap/>
            <w:vAlign w:val="center"/>
            <w:hideMark/>
          </w:tcPr>
          <w:p w14:paraId="494B531E" w14:textId="77777777" w:rsidR="00686A3D" w:rsidRPr="00AB315F" w:rsidRDefault="00686A3D" w:rsidP="009302A0">
            <w:pPr>
              <w:jc w:val="center"/>
              <w:rPr>
                <w:rFonts w:ascii="Calibri" w:hAnsi="Calibri"/>
                <w:sz w:val="22"/>
                <w:szCs w:val="22"/>
              </w:rPr>
            </w:pPr>
            <w:r w:rsidRPr="00AB315F">
              <w:rPr>
                <w:rFonts w:ascii="Calibri" w:hAnsi="Calibri"/>
                <w:sz w:val="22"/>
                <w:szCs w:val="22"/>
              </w:rPr>
              <w:t>0,519</w:t>
            </w:r>
          </w:p>
        </w:tc>
        <w:tc>
          <w:tcPr>
            <w:tcW w:w="1124" w:type="dxa"/>
            <w:tcBorders>
              <w:top w:val="nil"/>
              <w:left w:val="nil"/>
              <w:bottom w:val="nil"/>
              <w:right w:val="single" w:sz="4" w:space="0" w:color="auto"/>
            </w:tcBorders>
            <w:shd w:val="clear" w:color="auto" w:fill="auto"/>
            <w:noWrap/>
            <w:vAlign w:val="center"/>
            <w:hideMark/>
          </w:tcPr>
          <w:p w14:paraId="69C07F10" w14:textId="77777777" w:rsidR="00686A3D" w:rsidRPr="00AB315F" w:rsidRDefault="00686A3D" w:rsidP="009302A0">
            <w:pPr>
              <w:jc w:val="center"/>
              <w:rPr>
                <w:rFonts w:ascii="Calibri" w:hAnsi="Calibri"/>
                <w:sz w:val="22"/>
                <w:szCs w:val="22"/>
              </w:rPr>
            </w:pPr>
            <w:r w:rsidRPr="00AB315F">
              <w:rPr>
                <w:rFonts w:ascii="Calibri" w:hAnsi="Calibri"/>
                <w:sz w:val="22"/>
                <w:szCs w:val="22"/>
              </w:rPr>
              <w:t>0,408</w:t>
            </w:r>
          </w:p>
        </w:tc>
        <w:tc>
          <w:tcPr>
            <w:tcW w:w="1124" w:type="dxa"/>
            <w:tcBorders>
              <w:top w:val="nil"/>
              <w:left w:val="nil"/>
              <w:bottom w:val="nil"/>
              <w:right w:val="single" w:sz="4" w:space="0" w:color="auto"/>
            </w:tcBorders>
            <w:shd w:val="clear" w:color="auto" w:fill="auto"/>
            <w:noWrap/>
            <w:vAlign w:val="center"/>
            <w:hideMark/>
          </w:tcPr>
          <w:p w14:paraId="18D76880" w14:textId="77777777" w:rsidR="00686A3D" w:rsidRPr="00AB315F" w:rsidRDefault="00686A3D" w:rsidP="009302A0">
            <w:pPr>
              <w:jc w:val="center"/>
              <w:rPr>
                <w:rFonts w:ascii="Calibri" w:hAnsi="Calibri"/>
                <w:sz w:val="22"/>
                <w:szCs w:val="22"/>
              </w:rPr>
            </w:pPr>
            <w:r w:rsidRPr="00AB315F">
              <w:rPr>
                <w:rFonts w:ascii="Calibri" w:hAnsi="Calibri"/>
                <w:sz w:val="22"/>
                <w:szCs w:val="22"/>
              </w:rPr>
              <w:t>0,246</w:t>
            </w:r>
          </w:p>
        </w:tc>
        <w:tc>
          <w:tcPr>
            <w:tcW w:w="754" w:type="dxa"/>
            <w:tcBorders>
              <w:top w:val="nil"/>
              <w:left w:val="nil"/>
              <w:bottom w:val="nil"/>
              <w:right w:val="nil"/>
            </w:tcBorders>
            <w:shd w:val="clear" w:color="auto" w:fill="auto"/>
            <w:noWrap/>
            <w:vAlign w:val="center"/>
            <w:hideMark/>
          </w:tcPr>
          <w:p w14:paraId="1AD0A841" w14:textId="77777777" w:rsidR="00686A3D" w:rsidRPr="00AB315F" w:rsidRDefault="00686A3D" w:rsidP="009302A0">
            <w:pPr>
              <w:jc w:val="center"/>
              <w:rPr>
                <w:rFonts w:ascii="Calibri" w:hAnsi="Calibri"/>
                <w:sz w:val="22"/>
                <w:szCs w:val="22"/>
              </w:rPr>
            </w:pPr>
            <w:r w:rsidRPr="00AB315F">
              <w:rPr>
                <w:rFonts w:ascii="Calibri" w:hAnsi="Calibri"/>
                <w:sz w:val="22"/>
                <w:szCs w:val="22"/>
              </w:rPr>
              <w:t>0,809</w:t>
            </w:r>
          </w:p>
        </w:tc>
      </w:tr>
      <w:tr w:rsidR="00686A3D" w:rsidRPr="00AB315F" w14:paraId="41F93898" w14:textId="77777777" w:rsidTr="00686A3D">
        <w:trPr>
          <w:trHeight w:val="290"/>
          <w:jc w:val="center"/>
        </w:trPr>
        <w:tc>
          <w:tcPr>
            <w:tcW w:w="1200" w:type="dxa"/>
            <w:tcBorders>
              <w:top w:val="nil"/>
              <w:left w:val="nil"/>
              <w:right w:val="single" w:sz="4" w:space="0" w:color="auto"/>
            </w:tcBorders>
            <w:shd w:val="clear" w:color="auto" w:fill="auto"/>
            <w:noWrap/>
            <w:vAlign w:val="center"/>
            <w:hideMark/>
          </w:tcPr>
          <w:p w14:paraId="3C5A10AE" w14:textId="77777777" w:rsidR="00686A3D" w:rsidRPr="00AB315F" w:rsidRDefault="00686A3D" w:rsidP="009302A0">
            <w:pPr>
              <w:jc w:val="center"/>
              <w:rPr>
                <w:rFonts w:ascii="Calibri" w:hAnsi="Calibri"/>
                <w:sz w:val="22"/>
                <w:szCs w:val="22"/>
              </w:rPr>
            </w:pPr>
            <w:r w:rsidRPr="00AB315F">
              <w:rPr>
                <w:rFonts w:ascii="Calibri" w:hAnsi="Calibri"/>
                <w:sz w:val="22"/>
                <w:szCs w:val="22"/>
              </w:rPr>
              <w:t>rmf4</w:t>
            </w:r>
          </w:p>
        </w:tc>
        <w:tc>
          <w:tcPr>
            <w:tcW w:w="1124" w:type="dxa"/>
            <w:tcBorders>
              <w:top w:val="nil"/>
              <w:left w:val="single" w:sz="4" w:space="0" w:color="auto"/>
              <w:bottom w:val="nil"/>
              <w:right w:val="single" w:sz="4" w:space="0" w:color="auto"/>
            </w:tcBorders>
            <w:shd w:val="clear" w:color="auto" w:fill="auto"/>
            <w:noWrap/>
            <w:vAlign w:val="center"/>
            <w:hideMark/>
          </w:tcPr>
          <w:p w14:paraId="6E18E699" w14:textId="77777777" w:rsidR="00686A3D" w:rsidRPr="00AB315F" w:rsidRDefault="00686A3D" w:rsidP="009302A0">
            <w:pPr>
              <w:jc w:val="center"/>
              <w:rPr>
                <w:rFonts w:ascii="Calibri" w:hAnsi="Calibri"/>
                <w:sz w:val="22"/>
                <w:szCs w:val="22"/>
              </w:rPr>
            </w:pPr>
            <w:r w:rsidRPr="00AB315F">
              <w:rPr>
                <w:rFonts w:ascii="Calibri" w:hAnsi="Calibri"/>
                <w:sz w:val="22"/>
                <w:szCs w:val="22"/>
              </w:rPr>
              <w:t>0,407</w:t>
            </w:r>
          </w:p>
        </w:tc>
        <w:tc>
          <w:tcPr>
            <w:tcW w:w="1124" w:type="dxa"/>
            <w:tcBorders>
              <w:top w:val="nil"/>
              <w:left w:val="nil"/>
              <w:bottom w:val="nil"/>
              <w:right w:val="single" w:sz="4" w:space="0" w:color="auto"/>
            </w:tcBorders>
            <w:shd w:val="clear" w:color="auto" w:fill="auto"/>
            <w:noWrap/>
            <w:vAlign w:val="center"/>
            <w:hideMark/>
          </w:tcPr>
          <w:p w14:paraId="4C537E1B" w14:textId="77777777" w:rsidR="00686A3D" w:rsidRPr="00AB315F" w:rsidRDefault="00686A3D" w:rsidP="009302A0">
            <w:pPr>
              <w:jc w:val="center"/>
              <w:rPr>
                <w:rFonts w:ascii="Calibri" w:hAnsi="Calibri"/>
                <w:sz w:val="22"/>
                <w:szCs w:val="22"/>
              </w:rPr>
            </w:pPr>
            <w:r w:rsidRPr="00AB315F">
              <w:rPr>
                <w:rFonts w:ascii="Calibri" w:hAnsi="Calibri"/>
                <w:sz w:val="22"/>
                <w:szCs w:val="22"/>
              </w:rPr>
              <w:t>0,284</w:t>
            </w:r>
          </w:p>
        </w:tc>
        <w:tc>
          <w:tcPr>
            <w:tcW w:w="1124" w:type="dxa"/>
            <w:tcBorders>
              <w:top w:val="nil"/>
              <w:left w:val="nil"/>
              <w:bottom w:val="nil"/>
              <w:right w:val="single" w:sz="4" w:space="0" w:color="auto"/>
            </w:tcBorders>
            <w:shd w:val="clear" w:color="auto" w:fill="auto"/>
            <w:noWrap/>
            <w:vAlign w:val="center"/>
            <w:hideMark/>
          </w:tcPr>
          <w:p w14:paraId="3A19BBD5" w14:textId="77777777" w:rsidR="00686A3D" w:rsidRPr="00AB315F" w:rsidRDefault="00686A3D" w:rsidP="009302A0">
            <w:pPr>
              <w:jc w:val="center"/>
              <w:rPr>
                <w:rFonts w:ascii="Calibri" w:hAnsi="Calibri"/>
                <w:sz w:val="22"/>
                <w:szCs w:val="22"/>
              </w:rPr>
            </w:pPr>
            <w:r w:rsidRPr="00AB315F">
              <w:rPr>
                <w:rFonts w:ascii="Calibri" w:hAnsi="Calibri"/>
                <w:sz w:val="22"/>
                <w:szCs w:val="22"/>
              </w:rPr>
              <w:t>0,257</w:t>
            </w:r>
          </w:p>
        </w:tc>
        <w:tc>
          <w:tcPr>
            <w:tcW w:w="754" w:type="dxa"/>
            <w:tcBorders>
              <w:top w:val="nil"/>
              <w:left w:val="nil"/>
              <w:bottom w:val="nil"/>
              <w:right w:val="nil"/>
            </w:tcBorders>
            <w:shd w:val="clear" w:color="auto" w:fill="auto"/>
            <w:noWrap/>
            <w:vAlign w:val="center"/>
            <w:hideMark/>
          </w:tcPr>
          <w:p w14:paraId="0847B50C" w14:textId="77777777" w:rsidR="00686A3D" w:rsidRPr="00AB315F" w:rsidRDefault="00686A3D" w:rsidP="009302A0">
            <w:pPr>
              <w:jc w:val="center"/>
              <w:rPr>
                <w:rFonts w:ascii="Calibri" w:hAnsi="Calibri"/>
                <w:sz w:val="22"/>
                <w:szCs w:val="22"/>
              </w:rPr>
            </w:pPr>
            <w:r w:rsidRPr="00AB315F">
              <w:rPr>
                <w:rFonts w:ascii="Calibri" w:hAnsi="Calibri"/>
                <w:sz w:val="22"/>
                <w:szCs w:val="22"/>
              </w:rPr>
              <w:t>0,818</w:t>
            </w:r>
          </w:p>
        </w:tc>
      </w:tr>
      <w:tr w:rsidR="00686A3D" w:rsidRPr="00AB315F" w14:paraId="3A6ED59F" w14:textId="77777777" w:rsidTr="00686A3D">
        <w:trPr>
          <w:trHeight w:val="290"/>
          <w:jc w:val="center"/>
        </w:trPr>
        <w:tc>
          <w:tcPr>
            <w:tcW w:w="1200" w:type="dxa"/>
            <w:tcBorders>
              <w:top w:val="nil"/>
              <w:left w:val="nil"/>
              <w:bottom w:val="single" w:sz="4" w:space="0" w:color="auto"/>
              <w:right w:val="single" w:sz="4" w:space="0" w:color="auto"/>
            </w:tcBorders>
            <w:shd w:val="clear" w:color="auto" w:fill="auto"/>
            <w:noWrap/>
            <w:vAlign w:val="center"/>
            <w:hideMark/>
          </w:tcPr>
          <w:p w14:paraId="10FCF1A5" w14:textId="77777777" w:rsidR="00686A3D" w:rsidRPr="00AB315F" w:rsidRDefault="00686A3D" w:rsidP="009302A0">
            <w:pPr>
              <w:jc w:val="center"/>
              <w:rPr>
                <w:rFonts w:ascii="Calibri" w:hAnsi="Calibri"/>
                <w:sz w:val="22"/>
                <w:szCs w:val="22"/>
              </w:rPr>
            </w:pPr>
            <w:r w:rsidRPr="00AB315F">
              <w:rPr>
                <w:rFonts w:ascii="Calibri" w:hAnsi="Calibri"/>
                <w:sz w:val="22"/>
                <w:szCs w:val="22"/>
              </w:rPr>
              <w:t>rmf5</w:t>
            </w:r>
          </w:p>
        </w:tc>
        <w:tc>
          <w:tcPr>
            <w:tcW w:w="1124" w:type="dxa"/>
            <w:tcBorders>
              <w:top w:val="nil"/>
              <w:left w:val="single" w:sz="4" w:space="0" w:color="auto"/>
              <w:bottom w:val="nil"/>
              <w:right w:val="single" w:sz="4" w:space="0" w:color="auto"/>
            </w:tcBorders>
            <w:shd w:val="clear" w:color="auto" w:fill="auto"/>
            <w:noWrap/>
            <w:vAlign w:val="center"/>
            <w:hideMark/>
          </w:tcPr>
          <w:p w14:paraId="028BCCD3" w14:textId="77777777" w:rsidR="00686A3D" w:rsidRPr="00AB315F" w:rsidRDefault="00686A3D" w:rsidP="009302A0">
            <w:pPr>
              <w:jc w:val="center"/>
              <w:rPr>
                <w:rFonts w:ascii="Calibri" w:hAnsi="Calibri"/>
                <w:sz w:val="22"/>
                <w:szCs w:val="22"/>
              </w:rPr>
            </w:pPr>
            <w:r w:rsidRPr="00AB315F">
              <w:rPr>
                <w:rFonts w:ascii="Calibri" w:hAnsi="Calibri"/>
                <w:sz w:val="22"/>
                <w:szCs w:val="22"/>
              </w:rPr>
              <w:t>0,482</w:t>
            </w:r>
          </w:p>
        </w:tc>
        <w:tc>
          <w:tcPr>
            <w:tcW w:w="1124" w:type="dxa"/>
            <w:tcBorders>
              <w:top w:val="nil"/>
              <w:left w:val="nil"/>
              <w:bottom w:val="single" w:sz="4" w:space="0" w:color="auto"/>
              <w:right w:val="single" w:sz="4" w:space="0" w:color="auto"/>
            </w:tcBorders>
            <w:shd w:val="clear" w:color="auto" w:fill="auto"/>
            <w:noWrap/>
            <w:vAlign w:val="center"/>
            <w:hideMark/>
          </w:tcPr>
          <w:p w14:paraId="483D636A" w14:textId="77777777" w:rsidR="00686A3D" w:rsidRPr="00AB315F" w:rsidRDefault="00686A3D" w:rsidP="009302A0">
            <w:pPr>
              <w:jc w:val="center"/>
              <w:rPr>
                <w:rFonts w:ascii="Calibri" w:hAnsi="Calibri"/>
                <w:sz w:val="22"/>
                <w:szCs w:val="22"/>
              </w:rPr>
            </w:pPr>
            <w:r w:rsidRPr="00AB315F">
              <w:rPr>
                <w:rFonts w:ascii="Calibri" w:hAnsi="Calibri"/>
                <w:sz w:val="22"/>
                <w:szCs w:val="22"/>
              </w:rPr>
              <w:t>0,367</w:t>
            </w:r>
          </w:p>
        </w:tc>
        <w:tc>
          <w:tcPr>
            <w:tcW w:w="1124" w:type="dxa"/>
            <w:tcBorders>
              <w:top w:val="nil"/>
              <w:left w:val="nil"/>
              <w:bottom w:val="nil"/>
              <w:right w:val="single" w:sz="4" w:space="0" w:color="auto"/>
            </w:tcBorders>
            <w:shd w:val="clear" w:color="auto" w:fill="auto"/>
            <w:noWrap/>
            <w:vAlign w:val="center"/>
            <w:hideMark/>
          </w:tcPr>
          <w:p w14:paraId="761BAC27" w14:textId="77777777" w:rsidR="00686A3D" w:rsidRPr="00AB315F" w:rsidRDefault="00686A3D" w:rsidP="009302A0">
            <w:pPr>
              <w:jc w:val="center"/>
              <w:rPr>
                <w:rFonts w:ascii="Calibri" w:hAnsi="Calibri"/>
                <w:sz w:val="22"/>
                <w:szCs w:val="22"/>
              </w:rPr>
            </w:pPr>
            <w:r w:rsidRPr="00AB315F">
              <w:rPr>
                <w:rFonts w:ascii="Calibri" w:hAnsi="Calibri"/>
                <w:sz w:val="22"/>
                <w:szCs w:val="22"/>
              </w:rPr>
              <w:t>0,250</w:t>
            </w:r>
          </w:p>
        </w:tc>
        <w:tc>
          <w:tcPr>
            <w:tcW w:w="754" w:type="dxa"/>
            <w:tcBorders>
              <w:top w:val="nil"/>
              <w:left w:val="nil"/>
              <w:bottom w:val="nil"/>
              <w:right w:val="nil"/>
            </w:tcBorders>
            <w:shd w:val="clear" w:color="auto" w:fill="auto"/>
            <w:noWrap/>
            <w:vAlign w:val="center"/>
            <w:hideMark/>
          </w:tcPr>
          <w:p w14:paraId="1EA8526D" w14:textId="77777777" w:rsidR="00686A3D" w:rsidRPr="00AB315F" w:rsidRDefault="00686A3D" w:rsidP="009302A0">
            <w:pPr>
              <w:jc w:val="center"/>
              <w:rPr>
                <w:rFonts w:ascii="Calibri" w:hAnsi="Calibri"/>
                <w:sz w:val="22"/>
                <w:szCs w:val="22"/>
              </w:rPr>
            </w:pPr>
            <w:r w:rsidRPr="00AB315F">
              <w:rPr>
                <w:rFonts w:ascii="Calibri" w:hAnsi="Calibri"/>
                <w:sz w:val="22"/>
                <w:szCs w:val="22"/>
              </w:rPr>
              <w:t>0,812</w:t>
            </w:r>
          </w:p>
        </w:tc>
      </w:tr>
      <w:tr w:rsidR="00686A3D" w:rsidRPr="00AB315F" w14:paraId="1C7EDCB7" w14:textId="77777777" w:rsidTr="00686A3D">
        <w:trPr>
          <w:trHeight w:val="290"/>
          <w:jc w:val="center"/>
        </w:trPr>
        <w:tc>
          <w:tcPr>
            <w:tcW w:w="1200" w:type="dxa"/>
            <w:tcBorders>
              <w:top w:val="single" w:sz="4" w:space="0" w:color="auto"/>
              <w:left w:val="nil"/>
              <w:bottom w:val="nil"/>
              <w:right w:val="single" w:sz="4" w:space="0" w:color="auto"/>
            </w:tcBorders>
            <w:shd w:val="clear" w:color="auto" w:fill="auto"/>
            <w:noWrap/>
            <w:vAlign w:val="center"/>
            <w:hideMark/>
          </w:tcPr>
          <w:p w14:paraId="49060D2D" w14:textId="77777777" w:rsidR="00686A3D" w:rsidRPr="00AB315F" w:rsidRDefault="00686A3D" w:rsidP="009302A0">
            <w:pPr>
              <w:jc w:val="center"/>
              <w:rPr>
                <w:rFonts w:ascii="Calibri" w:hAnsi="Calibri"/>
                <w:sz w:val="22"/>
                <w:szCs w:val="22"/>
              </w:rPr>
            </w:pPr>
            <w:r w:rsidRPr="00AB315F">
              <w:rPr>
                <w:rFonts w:ascii="Calibri" w:hAnsi="Calibri"/>
                <w:sz w:val="22"/>
                <w:szCs w:val="22"/>
              </w:rPr>
              <w:t>voto1</w:t>
            </w:r>
          </w:p>
        </w:tc>
        <w:tc>
          <w:tcPr>
            <w:tcW w:w="1124" w:type="dxa"/>
            <w:tcBorders>
              <w:top w:val="nil"/>
              <w:left w:val="single" w:sz="4" w:space="0" w:color="auto"/>
              <w:bottom w:val="nil"/>
              <w:right w:val="single" w:sz="4" w:space="0" w:color="auto"/>
            </w:tcBorders>
            <w:shd w:val="clear" w:color="auto" w:fill="auto"/>
            <w:noWrap/>
            <w:vAlign w:val="center"/>
            <w:hideMark/>
          </w:tcPr>
          <w:p w14:paraId="00F7E0C2" w14:textId="77777777" w:rsidR="00686A3D" w:rsidRPr="00AB315F" w:rsidRDefault="00686A3D" w:rsidP="009302A0">
            <w:pPr>
              <w:jc w:val="center"/>
              <w:rPr>
                <w:rFonts w:ascii="Calibri" w:hAnsi="Calibri"/>
                <w:sz w:val="22"/>
                <w:szCs w:val="22"/>
              </w:rPr>
            </w:pPr>
            <w:r w:rsidRPr="00AB315F">
              <w:rPr>
                <w:rFonts w:ascii="Calibri" w:hAnsi="Calibri"/>
                <w:sz w:val="22"/>
                <w:szCs w:val="22"/>
              </w:rPr>
              <w:t>0,650</w:t>
            </w:r>
          </w:p>
        </w:tc>
        <w:tc>
          <w:tcPr>
            <w:tcW w:w="1124" w:type="dxa"/>
            <w:tcBorders>
              <w:top w:val="single" w:sz="4" w:space="0" w:color="auto"/>
              <w:left w:val="nil"/>
              <w:bottom w:val="nil"/>
              <w:right w:val="single" w:sz="4" w:space="0" w:color="auto"/>
            </w:tcBorders>
            <w:shd w:val="clear" w:color="auto" w:fill="auto"/>
            <w:noWrap/>
            <w:vAlign w:val="center"/>
            <w:hideMark/>
          </w:tcPr>
          <w:p w14:paraId="4076346A" w14:textId="77777777" w:rsidR="00686A3D" w:rsidRPr="00AB315F" w:rsidRDefault="00686A3D" w:rsidP="009302A0">
            <w:pPr>
              <w:jc w:val="center"/>
              <w:rPr>
                <w:rFonts w:ascii="Calibri" w:hAnsi="Calibri"/>
                <w:sz w:val="22"/>
                <w:szCs w:val="22"/>
              </w:rPr>
            </w:pPr>
            <w:r w:rsidRPr="00AB315F">
              <w:rPr>
                <w:rFonts w:ascii="Calibri" w:hAnsi="Calibri"/>
                <w:sz w:val="22"/>
                <w:szCs w:val="22"/>
              </w:rPr>
              <w:t>0,563</w:t>
            </w:r>
          </w:p>
        </w:tc>
        <w:tc>
          <w:tcPr>
            <w:tcW w:w="1124" w:type="dxa"/>
            <w:tcBorders>
              <w:top w:val="nil"/>
              <w:left w:val="nil"/>
              <w:bottom w:val="nil"/>
              <w:right w:val="single" w:sz="4" w:space="0" w:color="auto"/>
            </w:tcBorders>
            <w:shd w:val="clear" w:color="auto" w:fill="auto"/>
            <w:noWrap/>
            <w:vAlign w:val="center"/>
            <w:hideMark/>
          </w:tcPr>
          <w:p w14:paraId="11C59A5B" w14:textId="77777777" w:rsidR="00686A3D" w:rsidRPr="00AB315F" w:rsidRDefault="00686A3D" w:rsidP="009302A0">
            <w:pPr>
              <w:jc w:val="center"/>
              <w:rPr>
                <w:rFonts w:ascii="Calibri" w:hAnsi="Calibri"/>
                <w:sz w:val="22"/>
                <w:szCs w:val="22"/>
              </w:rPr>
            </w:pPr>
            <w:r w:rsidRPr="00AB315F">
              <w:rPr>
                <w:rFonts w:ascii="Calibri" w:hAnsi="Calibri"/>
                <w:sz w:val="22"/>
                <w:szCs w:val="22"/>
              </w:rPr>
              <w:t>0,233</w:t>
            </w:r>
          </w:p>
        </w:tc>
        <w:tc>
          <w:tcPr>
            <w:tcW w:w="754" w:type="dxa"/>
            <w:tcBorders>
              <w:top w:val="nil"/>
              <w:left w:val="nil"/>
              <w:bottom w:val="nil"/>
              <w:right w:val="nil"/>
            </w:tcBorders>
            <w:shd w:val="clear" w:color="auto" w:fill="auto"/>
            <w:noWrap/>
            <w:vAlign w:val="center"/>
            <w:hideMark/>
          </w:tcPr>
          <w:p w14:paraId="64BF5DD0" w14:textId="77777777" w:rsidR="00686A3D" w:rsidRPr="00AB315F" w:rsidRDefault="00686A3D" w:rsidP="009302A0">
            <w:pPr>
              <w:jc w:val="center"/>
              <w:rPr>
                <w:rFonts w:ascii="Calibri" w:hAnsi="Calibri"/>
                <w:sz w:val="22"/>
                <w:szCs w:val="22"/>
              </w:rPr>
            </w:pPr>
            <w:r w:rsidRPr="00AB315F">
              <w:rPr>
                <w:rFonts w:ascii="Calibri" w:hAnsi="Calibri"/>
                <w:sz w:val="22"/>
                <w:szCs w:val="22"/>
              </w:rPr>
              <w:t>0,798</w:t>
            </w:r>
          </w:p>
        </w:tc>
      </w:tr>
      <w:tr w:rsidR="00686A3D" w:rsidRPr="00AB315F" w14:paraId="438266E2" w14:textId="77777777" w:rsidTr="00686A3D">
        <w:trPr>
          <w:trHeight w:val="290"/>
          <w:jc w:val="center"/>
        </w:trPr>
        <w:tc>
          <w:tcPr>
            <w:tcW w:w="1200" w:type="dxa"/>
            <w:tcBorders>
              <w:top w:val="nil"/>
              <w:left w:val="nil"/>
              <w:bottom w:val="nil"/>
              <w:right w:val="single" w:sz="4" w:space="0" w:color="auto"/>
            </w:tcBorders>
            <w:shd w:val="clear" w:color="auto" w:fill="auto"/>
            <w:noWrap/>
            <w:vAlign w:val="center"/>
            <w:hideMark/>
          </w:tcPr>
          <w:p w14:paraId="49E61E63" w14:textId="77777777" w:rsidR="00686A3D" w:rsidRPr="00AB315F" w:rsidRDefault="00686A3D" w:rsidP="009302A0">
            <w:pPr>
              <w:jc w:val="center"/>
              <w:rPr>
                <w:rFonts w:ascii="Calibri" w:hAnsi="Calibri"/>
                <w:sz w:val="22"/>
                <w:szCs w:val="22"/>
              </w:rPr>
            </w:pPr>
            <w:r w:rsidRPr="00AB315F">
              <w:rPr>
                <w:rFonts w:ascii="Calibri" w:hAnsi="Calibri"/>
                <w:sz w:val="22"/>
                <w:szCs w:val="22"/>
              </w:rPr>
              <w:t>voto2</w:t>
            </w:r>
          </w:p>
        </w:tc>
        <w:tc>
          <w:tcPr>
            <w:tcW w:w="1124" w:type="dxa"/>
            <w:tcBorders>
              <w:top w:val="nil"/>
              <w:left w:val="single" w:sz="4" w:space="0" w:color="auto"/>
              <w:bottom w:val="nil"/>
              <w:right w:val="single" w:sz="4" w:space="0" w:color="auto"/>
            </w:tcBorders>
            <w:shd w:val="clear" w:color="auto" w:fill="auto"/>
            <w:noWrap/>
            <w:vAlign w:val="center"/>
            <w:hideMark/>
          </w:tcPr>
          <w:p w14:paraId="0346F145" w14:textId="77777777" w:rsidR="00686A3D" w:rsidRPr="00AB315F" w:rsidRDefault="00686A3D" w:rsidP="009302A0">
            <w:pPr>
              <w:jc w:val="center"/>
              <w:rPr>
                <w:rFonts w:ascii="Calibri" w:hAnsi="Calibri"/>
                <w:sz w:val="22"/>
                <w:szCs w:val="22"/>
              </w:rPr>
            </w:pPr>
            <w:r w:rsidRPr="00AB315F">
              <w:rPr>
                <w:rFonts w:ascii="Calibri" w:hAnsi="Calibri"/>
                <w:sz w:val="22"/>
                <w:szCs w:val="22"/>
              </w:rPr>
              <w:t>0,645</w:t>
            </w:r>
          </w:p>
        </w:tc>
        <w:tc>
          <w:tcPr>
            <w:tcW w:w="1124" w:type="dxa"/>
            <w:tcBorders>
              <w:top w:val="nil"/>
              <w:left w:val="nil"/>
              <w:bottom w:val="nil"/>
              <w:right w:val="single" w:sz="4" w:space="0" w:color="auto"/>
            </w:tcBorders>
            <w:shd w:val="clear" w:color="auto" w:fill="auto"/>
            <w:noWrap/>
            <w:vAlign w:val="center"/>
            <w:hideMark/>
          </w:tcPr>
          <w:p w14:paraId="53A2997D" w14:textId="77777777" w:rsidR="00686A3D" w:rsidRPr="00AB315F" w:rsidRDefault="00686A3D" w:rsidP="009302A0">
            <w:pPr>
              <w:jc w:val="center"/>
              <w:rPr>
                <w:rFonts w:ascii="Calibri" w:hAnsi="Calibri"/>
                <w:sz w:val="22"/>
                <w:szCs w:val="22"/>
              </w:rPr>
            </w:pPr>
            <w:r w:rsidRPr="00AB315F">
              <w:rPr>
                <w:rFonts w:ascii="Calibri" w:hAnsi="Calibri"/>
                <w:sz w:val="22"/>
                <w:szCs w:val="22"/>
              </w:rPr>
              <w:t>0,557</w:t>
            </w:r>
          </w:p>
        </w:tc>
        <w:tc>
          <w:tcPr>
            <w:tcW w:w="1124" w:type="dxa"/>
            <w:tcBorders>
              <w:top w:val="nil"/>
              <w:left w:val="nil"/>
              <w:bottom w:val="nil"/>
              <w:right w:val="single" w:sz="4" w:space="0" w:color="auto"/>
            </w:tcBorders>
            <w:shd w:val="clear" w:color="auto" w:fill="auto"/>
            <w:noWrap/>
            <w:vAlign w:val="center"/>
            <w:hideMark/>
          </w:tcPr>
          <w:p w14:paraId="1FE73DCF" w14:textId="77777777" w:rsidR="00686A3D" w:rsidRPr="00AB315F" w:rsidRDefault="00686A3D" w:rsidP="009302A0">
            <w:pPr>
              <w:jc w:val="center"/>
              <w:rPr>
                <w:rFonts w:ascii="Calibri" w:hAnsi="Calibri"/>
                <w:sz w:val="22"/>
                <w:szCs w:val="22"/>
              </w:rPr>
            </w:pPr>
            <w:r w:rsidRPr="00AB315F">
              <w:rPr>
                <w:rFonts w:ascii="Calibri" w:hAnsi="Calibri"/>
                <w:sz w:val="22"/>
                <w:szCs w:val="22"/>
              </w:rPr>
              <w:t>0,233</w:t>
            </w:r>
          </w:p>
        </w:tc>
        <w:tc>
          <w:tcPr>
            <w:tcW w:w="754" w:type="dxa"/>
            <w:tcBorders>
              <w:top w:val="nil"/>
              <w:left w:val="nil"/>
              <w:bottom w:val="nil"/>
              <w:right w:val="nil"/>
            </w:tcBorders>
            <w:shd w:val="clear" w:color="auto" w:fill="auto"/>
            <w:noWrap/>
            <w:vAlign w:val="center"/>
            <w:hideMark/>
          </w:tcPr>
          <w:p w14:paraId="053B002D" w14:textId="77777777" w:rsidR="00686A3D" w:rsidRPr="00AB315F" w:rsidRDefault="00686A3D" w:rsidP="009302A0">
            <w:pPr>
              <w:jc w:val="center"/>
              <w:rPr>
                <w:rFonts w:ascii="Calibri" w:hAnsi="Calibri"/>
                <w:sz w:val="22"/>
                <w:szCs w:val="22"/>
              </w:rPr>
            </w:pPr>
            <w:r w:rsidRPr="00AB315F">
              <w:rPr>
                <w:rFonts w:ascii="Calibri" w:hAnsi="Calibri"/>
                <w:sz w:val="22"/>
                <w:szCs w:val="22"/>
              </w:rPr>
              <w:t>0,798</w:t>
            </w:r>
          </w:p>
        </w:tc>
      </w:tr>
      <w:tr w:rsidR="00686A3D" w:rsidRPr="00AB315F" w14:paraId="75E4968B" w14:textId="77777777" w:rsidTr="00686A3D">
        <w:trPr>
          <w:trHeight w:val="290"/>
          <w:jc w:val="center"/>
        </w:trPr>
        <w:tc>
          <w:tcPr>
            <w:tcW w:w="1200" w:type="dxa"/>
            <w:tcBorders>
              <w:top w:val="nil"/>
              <w:left w:val="nil"/>
              <w:bottom w:val="nil"/>
              <w:right w:val="single" w:sz="4" w:space="0" w:color="auto"/>
            </w:tcBorders>
            <w:shd w:val="clear" w:color="auto" w:fill="auto"/>
            <w:noWrap/>
            <w:vAlign w:val="center"/>
            <w:hideMark/>
          </w:tcPr>
          <w:p w14:paraId="7CB1D034" w14:textId="77777777" w:rsidR="00686A3D" w:rsidRPr="00AB315F" w:rsidRDefault="00686A3D" w:rsidP="009302A0">
            <w:pPr>
              <w:jc w:val="center"/>
              <w:rPr>
                <w:rFonts w:ascii="Calibri" w:hAnsi="Calibri"/>
                <w:sz w:val="22"/>
                <w:szCs w:val="22"/>
              </w:rPr>
            </w:pPr>
            <w:r w:rsidRPr="00AB315F">
              <w:rPr>
                <w:rFonts w:ascii="Calibri" w:hAnsi="Calibri"/>
                <w:sz w:val="22"/>
                <w:szCs w:val="22"/>
              </w:rPr>
              <w:t>voto3</w:t>
            </w:r>
          </w:p>
        </w:tc>
        <w:tc>
          <w:tcPr>
            <w:tcW w:w="1124" w:type="dxa"/>
            <w:tcBorders>
              <w:top w:val="nil"/>
              <w:left w:val="single" w:sz="4" w:space="0" w:color="auto"/>
              <w:bottom w:val="nil"/>
              <w:right w:val="single" w:sz="4" w:space="0" w:color="auto"/>
            </w:tcBorders>
            <w:shd w:val="clear" w:color="auto" w:fill="auto"/>
            <w:noWrap/>
            <w:vAlign w:val="center"/>
            <w:hideMark/>
          </w:tcPr>
          <w:p w14:paraId="5DC72CF5" w14:textId="77777777" w:rsidR="00686A3D" w:rsidRPr="00AB315F" w:rsidRDefault="00686A3D" w:rsidP="009302A0">
            <w:pPr>
              <w:jc w:val="center"/>
              <w:rPr>
                <w:rFonts w:ascii="Calibri" w:hAnsi="Calibri"/>
                <w:sz w:val="22"/>
                <w:szCs w:val="22"/>
              </w:rPr>
            </w:pPr>
            <w:r w:rsidRPr="00AB315F">
              <w:rPr>
                <w:rFonts w:ascii="Calibri" w:hAnsi="Calibri"/>
                <w:sz w:val="22"/>
                <w:szCs w:val="22"/>
              </w:rPr>
              <w:t>0,663</w:t>
            </w:r>
          </w:p>
        </w:tc>
        <w:tc>
          <w:tcPr>
            <w:tcW w:w="1124" w:type="dxa"/>
            <w:tcBorders>
              <w:top w:val="nil"/>
              <w:left w:val="nil"/>
              <w:bottom w:val="nil"/>
              <w:right w:val="single" w:sz="4" w:space="0" w:color="auto"/>
            </w:tcBorders>
            <w:shd w:val="clear" w:color="auto" w:fill="auto"/>
            <w:noWrap/>
            <w:vAlign w:val="center"/>
            <w:hideMark/>
          </w:tcPr>
          <w:p w14:paraId="3D148AE5" w14:textId="77777777" w:rsidR="00686A3D" w:rsidRPr="00AB315F" w:rsidRDefault="00686A3D" w:rsidP="009302A0">
            <w:pPr>
              <w:jc w:val="center"/>
              <w:rPr>
                <w:rFonts w:ascii="Calibri" w:hAnsi="Calibri"/>
                <w:sz w:val="22"/>
                <w:szCs w:val="22"/>
              </w:rPr>
            </w:pPr>
            <w:r w:rsidRPr="00AB315F">
              <w:rPr>
                <w:rFonts w:ascii="Calibri" w:hAnsi="Calibri"/>
                <w:sz w:val="22"/>
                <w:szCs w:val="22"/>
              </w:rPr>
              <w:t>0,577</w:t>
            </w:r>
          </w:p>
        </w:tc>
        <w:tc>
          <w:tcPr>
            <w:tcW w:w="1124" w:type="dxa"/>
            <w:tcBorders>
              <w:top w:val="nil"/>
              <w:left w:val="nil"/>
              <w:bottom w:val="nil"/>
              <w:right w:val="single" w:sz="4" w:space="0" w:color="auto"/>
            </w:tcBorders>
            <w:shd w:val="clear" w:color="auto" w:fill="auto"/>
            <w:noWrap/>
            <w:vAlign w:val="center"/>
            <w:hideMark/>
          </w:tcPr>
          <w:p w14:paraId="58214F80" w14:textId="77777777" w:rsidR="00686A3D" w:rsidRPr="00AB315F" w:rsidRDefault="00686A3D" w:rsidP="009302A0">
            <w:pPr>
              <w:jc w:val="center"/>
              <w:rPr>
                <w:rFonts w:ascii="Calibri" w:hAnsi="Calibri"/>
                <w:sz w:val="22"/>
                <w:szCs w:val="22"/>
              </w:rPr>
            </w:pPr>
            <w:r w:rsidRPr="00AB315F">
              <w:rPr>
                <w:rFonts w:ascii="Calibri" w:hAnsi="Calibri"/>
                <w:sz w:val="22"/>
                <w:szCs w:val="22"/>
              </w:rPr>
              <w:t>0,231</w:t>
            </w:r>
          </w:p>
        </w:tc>
        <w:tc>
          <w:tcPr>
            <w:tcW w:w="754" w:type="dxa"/>
            <w:tcBorders>
              <w:top w:val="nil"/>
              <w:left w:val="nil"/>
              <w:bottom w:val="nil"/>
              <w:right w:val="nil"/>
            </w:tcBorders>
            <w:shd w:val="clear" w:color="auto" w:fill="auto"/>
            <w:noWrap/>
            <w:vAlign w:val="center"/>
            <w:hideMark/>
          </w:tcPr>
          <w:p w14:paraId="10F3D950" w14:textId="77777777" w:rsidR="00686A3D" w:rsidRPr="00AB315F" w:rsidRDefault="00686A3D" w:rsidP="009302A0">
            <w:pPr>
              <w:jc w:val="center"/>
              <w:rPr>
                <w:rFonts w:ascii="Calibri" w:hAnsi="Calibri"/>
                <w:sz w:val="22"/>
                <w:szCs w:val="22"/>
              </w:rPr>
            </w:pPr>
            <w:r w:rsidRPr="00AB315F">
              <w:rPr>
                <w:rFonts w:ascii="Calibri" w:hAnsi="Calibri"/>
                <w:sz w:val="22"/>
                <w:szCs w:val="22"/>
              </w:rPr>
              <w:t>0,796</w:t>
            </w:r>
          </w:p>
        </w:tc>
      </w:tr>
      <w:tr w:rsidR="00686A3D" w:rsidRPr="00AB315F" w14:paraId="1BDDB47A" w14:textId="77777777" w:rsidTr="00686A3D">
        <w:trPr>
          <w:trHeight w:val="290"/>
          <w:jc w:val="center"/>
        </w:trPr>
        <w:tc>
          <w:tcPr>
            <w:tcW w:w="1200" w:type="dxa"/>
            <w:tcBorders>
              <w:top w:val="nil"/>
              <w:left w:val="nil"/>
              <w:bottom w:val="nil"/>
              <w:right w:val="single" w:sz="4" w:space="0" w:color="auto"/>
            </w:tcBorders>
            <w:shd w:val="clear" w:color="auto" w:fill="auto"/>
            <w:noWrap/>
            <w:vAlign w:val="center"/>
            <w:hideMark/>
          </w:tcPr>
          <w:p w14:paraId="5D705372" w14:textId="77777777" w:rsidR="00686A3D" w:rsidRPr="00AB315F" w:rsidRDefault="00686A3D" w:rsidP="009302A0">
            <w:pPr>
              <w:jc w:val="center"/>
              <w:rPr>
                <w:rFonts w:ascii="Calibri" w:hAnsi="Calibri"/>
                <w:sz w:val="22"/>
                <w:szCs w:val="22"/>
              </w:rPr>
            </w:pPr>
            <w:r w:rsidRPr="00AB315F">
              <w:rPr>
                <w:rFonts w:ascii="Calibri" w:hAnsi="Calibri"/>
                <w:sz w:val="22"/>
                <w:szCs w:val="22"/>
              </w:rPr>
              <w:t>voto4</w:t>
            </w:r>
          </w:p>
        </w:tc>
        <w:tc>
          <w:tcPr>
            <w:tcW w:w="1124" w:type="dxa"/>
            <w:tcBorders>
              <w:top w:val="nil"/>
              <w:left w:val="single" w:sz="4" w:space="0" w:color="auto"/>
              <w:bottom w:val="nil"/>
              <w:right w:val="single" w:sz="4" w:space="0" w:color="auto"/>
            </w:tcBorders>
            <w:shd w:val="clear" w:color="auto" w:fill="auto"/>
            <w:noWrap/>
            <w:vAlign w:val="center"/>
            <w:hideMark/>
          </w:tcPr>
          <w:p w14:paraId="06C53D05" w14:textId="77777777" w:rsidR="00686A3D" w:rsidRPr="00AB315F" w:rsidRDefault="00686A3D" w:rsidP="009302A0">
            <w:pPr>
              <w:jc w:val="center"/>
              <w:rPr>
                <w:rFonts w:ascii="Calibri" w:hAnsi="Calibri"/>
                <w:sz w:val="22"/>
                <w:szCs w:val="22"/>
              </w:rPr>
            </w:pPr>
            <w:r w:rsidRPr="00AB315F">
              <w:rPr>
                <w:rFonts w:ascii="Calibri" w:hAnsi="Calibri"/>
                <w:sz w:val="22"/>
                <w:szCs w:val="22"/>
              </w:rPr>
              <w:t>0,643</w:t>
            </w:r>
          </w:p>
        </w:tc>
        <w:tc>
          <w:tcPr>
            <w:tcW w:w="1124" w:type="dxa"/>
            <w:tcBorders>
              <w:top w:val="nil"/>
              <w:left w:val="nil"/>
              <w:bottom w:val="nil"/>
              <w:right w:val="single" w:sz="4" w:space="0" w:color="auto"/>
            </w:tcBorders>
            <w:shd w:val="clear" w:color="auto" w:fill="auto"/>
            <w:noWrap/>
            <w:vAlign w:val="center"/>
            <w:hideMark/>
          </w:tcPr>
          <w:p w14:paraId="57C291BA" w14:textId="77777777" w:rsidR="00686A3D" w:rsidRPr="00AB315F" w:rsidRDefault="00686A3D" w:rsidP="009302A0">
            <w:pPr>
              <w:jc w:val="center"/>
              <w:rPr>
                <w:rFonts w:ascii="Calibri" w:hAnsi="Calibri"/>
                <w:sz w:val="22"/>
                <w:szCs w:val="22"/>
              </w:rPr>
            </w:pPr>
            <w:r w:rsidRPr="00AB315F">
              <w:rPr>
                <w:rFonts w:ascii="Calibri" w:hAnsi="Calibri"/>
                <w:sz w:val="22"/>
                <w:szCs w:val="22"/>
              </w:rPr>
              <w:t>0,554</w:t>
            </w:r>
          </w:p>
        </w:tc>
        <w:tc>
          <w:tcPr>
            <w:tcW w:w="1124" w:type="dxa"/>
            <w:tcBorders>
              <w:top w:val="nil"/>
              <w:left w:val="nil"/>
              <w:bottom w:val="nil"/>
              <w:right w:val="single" w:sz="4" w:space="0" w:color="auto"/>
            </w:tcBorders>
            <w:shd w:val="clear" w:color="auto" w:fill="auto"/>
            <w:noWrap/>
            <w:vAlign w:val="center"/>
            <w:hideMark/>
          </w:tcPr>
          <w:p w14:paraId="5E5D6D27" w14:textId="77777777" w:rsidR="00686A3D" w:rsidRPr="00AB315F" w:rsidRDefault="00686A3D" w:rsidP="009302A0">
            <w:pPr>
              <w:jc w:val="center"/>
              <w:rPr>
                <w:rFonts w:ascii="Calibri" w:hAnsi="Calibri"/>
                <w:sz w:val="22"/>
                <w:szCs w:val="22"/>
              </w:rPr>
            </w:pPr>
            <w:r w:rsidRPr="00AB315F">
              <w:rPr>
                <w:rFonts w:ascii="Calibri" w:hAnsi="Calibri"/>
                <w:sz w:val="22"/>
                <w:szCs w:val="22"/>
              </w:rPr>
              <w:t>0,233</w:t>
            </w:r>
          </w:p>
        </w:tc>
        <w:tc>
          <w:tcPr>
            <w:tcW w:w="754" w:type="dxa"/>
            <w:tcBorders>
              <w:top w:val="nil"/>
              <w:left w:val="nil"/>
              <w:bottom w:val="nil"/>
              <w:right w:val="nil"/>
            </w:tcBorders>
            <w:shd w:val="clear" w:color="auto" w:fill="auto"/>
            <w:noWrap/>
            <w:vAlign w:val="center"/>
            <w:hideMark/>
          </w:tcPr>
          <w:p w14:paraId="4131502D" w14:textId="77777777" w:rsidR="00686A3D" w:rsidRPr="00AB315F" w:rsidRDefault="00686A3D" w:rsidP="009302A0">
            <w:pPr>
              <w:jc w:val="center"/>
              <w:rPr>
                <w:rFonts w:ascii="Calibri" w:hAnsi="Calibri"/>
                <w:sz w:val="22"/>
                <w:szCs w:val="22"/>
              </w:rPr>
            </w:pPr>
            <w:r w:rsidRPr="00AB315F">
              <w:rPr>
                <w:rFonts w:ascii="Calibri" w:hAnsi="Calibri"/>
                <w:sz w:val="22"/>
                <w:szCs w:val="22"/>
              </w:rPr>
              <w:t>0,798</w:t>
            </w:r>
          </w:p>
        </w:tc>
      </w:tr>
      <w:tr w:rsidR="00686A3D" w:rsidRPr="00AB315F" w14:paraId="3B1A1563" w14:textId="77777777" w:rsidTr="00686A3D">
        <w:trPr>
          <w:trHeight w:val="290"/>
          <w:jc w:val="center"/>
        </w:trPr>
        <w:tc>
          <w:tcPr>
            <w:tcW w:w="1200" w:type="dxa"/>
            <w:tcBorders>
              <w:top w:val="nil"/>
              <w:left w:val="nil"/>
              <w:bottom w:val="nil"/>
              <w:right w:val="single" w:sz="4" w:space="0" w:color="auto"/>
            </w:tcBorders>
            <w:shd w:val="clear" w:color="auto" w:fill="auto"/>
            <w:noWrap/>
            <w:vAlign w:val="center"/>
            <w:hideMark/>
          </w:tcPr>
          <w:p w14:paraId="236175E7" w14:textId="77777777" w:rsidR="00686A3D" w:rsidRPr="00AB315F" w:rsidRDefault="00686A3D" w:rsidP="009302A0">
            <w:pPr>
              <w:jc w:val="center"/>
              <w:rPr>
                <w:rFonts w:ascii="Calibri" w:hAnsi="Calibri"/>
                <w:sz w:val="22"/>
                <w:szCs w:val="22"/>
              </w:rPr>
            </w:pPr>
            <w:r w:rsidRPr="00AB315F">
              <w:rPr>
                <w:rFonts w:ascii="Calibri" w:hAnsi="Calibri"/>
                <w:sz w:val="22"/>
                <w:szCs w:val="22"/>
              </w:rPr>
              <w:t>voto5</w:t>
            </w:r>
          </w:p>
        </w:tc>
        <w:tc>
          <w:tcPr>
            <w:tcW w:w="1124" w:type="dxa"/>
            <w:tcBorders>
              <w:top w:val="nil"/>
              <w:left w:val="single" w:sz="4" w:space="0" w:color="auto"/>
              <w:bottom w:val="nil"/>
              <w:right w:val="single" w:sz="4" w:space="0" w:color="auto"/>
            </w:tcBorders>
            <w:shd w:val="clear" w:color="auto" w:fill="auto"/>
            <w:noWrap/>
            <w:vAlign w:val="center"/>
            <w:hideMark/>
          </w:tcPr>
          <w:p w14:paraId="6BFFE666" w14:textId="77777777" w:rsidR="00686A3D" w:rsidRPr="00AB315F" w:rsidRDefault="00686A3D" w:rsidP="009302A0">
            <w:pPr>
              <w:jc w:val="center"/>
              <w:rPr>
                <w:rFonts w:ascii="Calibri" w:hAnsi="Calibri"/>
                <w:sz w:val="22"/>
                <w:szCs w:val="22"/>
              </w:rPr>
            </w:pPr>
            <w:r w:rsidRPr="00AB315F">
              <w:rPr>
                <w:rFonts w:ascii="Calibri" w:hAnsi="Calibri"/>
                <w:sz w:val="22"/>
                <w:szCs w:val="22"/>
              </w:rPr>
              <w:t>0,711</w:t>
            </w:r>
          </w:p>
        </w:tc>
        <w:tc>
          <w:tcPr>
            <w:tcW w:w="1124" w:type="dxa"/>
            <w:tcBorders>
              <w:top w:val="nil"/>
              <w:left w:val="nil"/>
              <w:bottom w:val="nil"/>
              <w:right w:val="single" w:sz="4" w:space="0" w:color="auto"/>
            </w:tcBorders>
            <w:shd w:val="clear" w:color="auto" w:fill="auto"/>
            <w:noWrap/>
            <w:vAlign w:val="center"/>
            <w:hideMark/>
          </w:tcPr>
          <w:p w14:paraId="5336C619" w14:textId="77777777" w:rsidR="00686A3D" w:rsidRPr="00AB315F" w:rsidRDefault="00686A3D" w:rsidP="009302A0">
            <w:pPr>
              <w:jc w:val="center"/>
              <w:rPr>
                <w:rFonts w:ascii="Calibri" w:hAnsi="Calibri"/>
                <w:sz w:val="22"/>
                <w:szCs w:val="22"/>
              </w:rPr>
            </w:pPr>
            <w:r w:rsidRPr="00AB315F">
              <w:rPr>
                <w:rFonts w:ascii="Calibri" w:hAnsi="Calibri"/>
                <w:sz w:val="22"/>
                <w:szCs w:val="22"/>
              </w:rPr>
              <w:t>0,634</w:t>
            </w:r>
          </w:p>
        </w:tc>
        <w:tc>
          <w:tcPr>
            <w:tcW w:w="1124" w:type="dxa"/>
            <w:tcBorders>
              <w:top w:val="nil"/>
              <w:left w:val="nil"/>
              <w:bottom w:val="nil"/>
              <w:right w:val="single" w:sz="4" w:space="0" w:color="auto"/>
            </w:tcBorders>
            <w:shd w:val="clear" w:color="auto" w:fill="auto"/>
            <w:noWrap/>
            <w:vAlign w:val="center"/>
            <w:hideMark/>
          </w:tcPr>
          <w:p w14:paraId="775A8E69" w14:textId="77777777" w:rsidR="00686A3D" w:rsidRPr="00AB315F" w:rsidRDefault="00686A3D" w:rsidP="009302A0">
            <w:pPr>
              <w:jc w:val="center"/>
              <w:rPr>
                <w:rFonts w:ascii="Calibri" w:hAnsi="Calibri"/>
                <w:sz w:val="22"/>
                <w:szCs w:val="22"/>
              </w:rPr>
            </w:pPr>
            <w:r w:rsidRPr="00AB315F">
              <w:rPr>
                <w:rFonts w:ascii="Calibri" w:hAnsi="Calibri"/>
                <w:sz w:val="22"/>
                <w:szCs w:val="22"/>
              </w:rPr>
              <w:t>0,227</w:t>
            </w:r>
          </w:p>
        </w:tc>
        <w:tc>
          <w:tcPr>
            <w:tcW w:w="754" w:type="dxa"/>
            <w:tcBorders>
              <w:top w:val="nil"/>
              <w:left w:val="nil"/>
              <w:bottom w:val="nil"/>
              <w:right w:val="nil"/>
            </w:tcBorders>
            <w:shd w:val="clear" w:color="auto" w:fill="auto"/>
            <w:noWrap/>
            <w:vAlign w:val="center"/>
            <w:hideMark/>
          </w:tcPr>
          <w:p w14:paraId="68165079" w14:textId="77777777" w:rsidR="00686A3D" w:rsidRPr="00AB315F" w:rsidRDefault="00686A3D" w:rsidP="009302A0">
            <w:pPr>
              <w:jc w:val="center"/>
              <w:rPr>
                <w:rFonts w:ascii="Calibri" w:hAnsi="Calibri"/>
                <w:sz w:val="22"/>
                <w:szCs w:val="22"/>
              </w:rPr>
            </w:pPr>
            <w:r w:rsidRPr="00AB315F">
              <w:rPr>
                <w:rFonts w:ascii="Calibri" w:hAnsi="Calibri"/>
                <w:sz w:val="22"/>
                <w:szCs w:val="22"/>
              </w:rPr>
              <w:t>0,792</w:t>
            </w:r>
          </w:p>
        </w:tc>
      </w:tr>
      <w:tr w:rsidR="00686A3D" w:rsidRPr="00AB315F" w14:paraId="582578C0" w14:textId="77777777" w:rsidTr="00686A3D">
        <w:trPr>
          <w:trHeight w:val="290"/>
          <w:jc w:val="center"/>
        </w:trPr>
        <w:tc>
          <w:tcPr>
            <w:tcW w:w="1200" w:type="dxa"/>
            <w:tcBorders>
              <w:top w:val="nil"/>
              <w:left w:val="nil"/>
              <w:bottom w:val="nil"/>
              <w:right w:val="single" w:sz="4" w:space="0" w:color="auto"/>
            </w:tcBorders>
            <w:shd w:val="clear" w:color="auto" w:fill="auto"/>
            <w:noWrap/>
            <w:vAlign w:val="center"/>
            <w:hideMark/>
          </w:tcPr>
          <w:p w14:paraId="72B3523A" w14:textId="77777777" w:rsidR="00686A3D" w:rsidRPr="00AB315F" w:rsidRDefault="00686A3D" w:rsidP="009302A0">
            <w:pPr>
              <w:jc w:val="center"/>
              <w:rPr>
                <w:rFonts w:ascii="Calibri" w:hAnsi="Calibri"/>
                <w:sz w:val="22"/>
                <w:szCs w:val="22"/>
              </w:rPr>
            </w:pPr>
            <w:r w:rsidRPr="00AB315F">
              <w:rPr>
                <w:rFonts w:ascii="Calibri" w:hAnsi="Calibri"/>
                <w:sz w:val="22"/>
                <w:szCs w:val="22"/>
              </w:rPr>
              <w:t>voto6</w:t>
            </w:r>
          </w:p>
        </w:tc>
        <w:tc>
          <w:tcPr>
            <w:tcW w:w="1124" w:type="dxa"/>
            <w:tcBorders>
              <w:top w:val="nil"/>
              <w:left w:val="single" w:sz="4" w:space="0" w:color="auto"/>
              <w:bottom w:val="nil"/>
              <w:right w:val="single" w:sz="4" w:space="0" w:color="auto"/>
            </w:tcBorders>
            <w:shd w:val="clear" w:color="auto" w:fill="auto"/>
            <w:noWrap/>
            <w:vAlign w:val="center"/>
            <w:hideMark/>
          </w:tcPr>
          <w:p w14:paraId="2B459359" w14:textId="77777777" w:rsidR="00686A3D" w:rsidRPr="00AB315F" w:rsidRDefault="00686A3D" w:rsidP="009302A0">
            <w:pPr>
              <w:jc w:val="center"/>
              <w:rPr>
                <w:rFonts w:ascii="Calibri" w:hAnsi="Calibri"/>
                <w:sz w:val="22"/>
                <w:szCs w:val="22"/>
              </w:rPr>
            </w:pPr>
            <w:r w:rsidRPr="00AB315F">
              <w:rPr>
                <w:rFonts w:ascii="Calibri" w:hAnsi="Calibri"/>
                <w:sz w:val="22"/>
                <w:szCs w:val="22"/>
              </w:rPr>
              <w:t>0,669</w:t>
            </w:r>
          </w:p>
        </w:tc>
        <w:tc>
          <w:tcPr>
            <w:tcW w:w="1124" w:type="dxa"/>
            <w:tcBorders>
              <w:top w:val="nil"/>
              <w:left w:val="nil"/>
              <w:bottom w:val="nil"/>
              <w:right w:val="single" w:sz="4" w:space="0" w:color="auto"/>
            </w:tcBorders>
            <w:shd w:val="clear" w:color="auto" w:fill="auto"/>
            <w:noWrap/>
            <w:vAlign w:val="center"/>
            <w:hideMark/>
          </w:tcPr>
          <w:p w14:paraId="27328EC8" w14:textId="77777777" w:rsidR="00686A3D" w:rsidRPr="00AB315F" w:rsidRDefault="00686A3D" w:rsidP="009302A0">
            <w:pPr>
              <w:jc w:val="center"/>
              <w:rPr>
                <w:rFonts w:ascii="Calibri" w:hAnsi="Calibri"/>
                <w:sz w:val="22"/>
                <w:szCs w:val="22"/>
              </w:rPr>
            </w:pPr>
            <w:r w:rsidRPr="00AB315F">
              <w:rPr>
                <w:rFonts w:ascii="Calibri" w:hAnsi="Calibri"/>
                <w:sz w:val="22"/>
                <w:szCs w:val="22"/>
              </w:rPr>
              <w:t>0,585</w:t>
            </w:r>
          </w:p>
        </w:tc>
        <w:tc>
          <w:tcPr>
            <w:tcW w:w="1124" w:type="dxa"/>
            <w:tcBorders>
              <w:top w:val="nil"/>
              <w:left w:val="nil"/>
              <w:bottom w:val="nil"/>
              <w:right w:val="single" w:sz="4" w:space="0" w:color="auto"/>
            </w:tcBorders>
            <w:shd w:val="clear" w:color="auto" w:fill="auto"/>
            <w:noWrap/>
            <w:vAlign w:val="center"/>
            <w:hideMark/>
          </w:tcPr>
          <w:p w14:paraId="599C5324" w14:textId="77777777" w:rsidR="00686A3D" w:rsidRPr="00AB315F" w:rsidRDefault="00686A3D" w:rsidP="009302A0">
            <w:pPr>
              <w:jc w:val="center"/>
              <w:rPr>
                <w:rFonts w:ascii="Calibri" w:hAnsi="Calibri"/>
                <w:sz w:val="22"/>
                <w:szCs w:val="22"/>
              </w:rPr>
            </w:pPr>
            <w:r w:rsidRPr="00AB315F">
              <w:rPr>
                <w:rFonts w:ascii="Calibri" w:hAnsi="Calibri"/>
                <w:sz w:val="22"/>
                <w:szCs w:val="22"/>
              </w:rPr>
              <w:t>0,231</w:t>
            </w:r>
          </w:p>
        </w:tc>
        <w:tc>
          <w:tcPr>
            <w:tcW w:w="754" w:type="dxa"/>
            <w:tcBorders>
              <w:top w:val="nil"/>
              <w:left w:val="nil"/>
              <w:bottom w:val="nil"/>
              <w:right w:val="nil"/>
            </w:tcBorders>
            <w:shd w:val="clear" w:color="auto" w:fill="auto"/>
            <w:noWrap/>
            <w:vAlign w:val="center"/>
            <w:hideMark/>
          </w:tcPr>
          <w:p w14:paraId="5D2E66AA" w14:textId="77777777" w:rsidR="00686A3D" w:rsidRPr="00AB315F" w:rsidRDefault="00686A3D" w:rsidP="009302A0">
            <w:pPr>
              <w:jc w:val="center"/>
              <w:rPr>
                <w:rFonts w:ascii="Calibri" w:hAnsi="Calibri"/>
                <w:sz w:val="22"/>
                <w:szCs w:val="22"/>
              </w:rPr>
            </w:pPr>
            <w:r w:rsidRPr="00AB315F">
              <w:rPr>
                <w:rFonts w:ascii="Calibri" w:hAnsi="Calibri"/>
                <w:sz w:val="22"/>
                <w:szCs w:val="22"/>
              </w:rPr>
              <w:t>0,796</w:t>
            </w:r>
          </w:p>
        </w:tc>
      </w:tr>
      <w:tr w:rsidR="00686A3D" w:rsidRPr="00AB315F" w14:paraId="3381E6F0" w14:textId="77777777" w:rsidTr="00686A3D">
        <w:trPr>
          <w:trHeight w:val="290"/>
          <w:jc w:val="center"/>
        </w:trPr>
        <w:tc>
          <w:tcPr>
            <w:tcW w:w="1200" w:type="dxa"/>
            <w:tcBorders>
              <w:top w:val="nil"/>
              <w:left w:val="nil"/>
              <w:bottom w:val="nil"/>
              <w:right w:val="single" w:sz="4" w:space="0" w:color="auto"/>
            </w:tcBorders>
            <w:shd w:val="clear" w:color="auto" w:fill="auto"/>
            <w:noWrap/>
            <w:vAlign w:val="center"/>
            <w:hideMark/>
          </w:tcPr>
          <w:p w14:paraId="3096344B" w14:textId="77777777" w:rsidR="00686A3D" w:rsidRPr="00AB315F" w:rsidRDefault="00686A3D" w:rsidP="009302A0">
            <w:pPr>
              <w:jc w:val="center"/>
              <w:rPr>
                <w:rFonts w:ascii="Calibri" w:hAnsi="Calibri"/>
                <w:sz w:val="22"/>
                <w:szCs w:val="22"/>
              </w:rPr>
            </w:pPr>
            <w:r w:rsidRPr="00AB315F">
              <w:rPr>
                <w:rFonts w:ascii="Calibri" w:hAnsi="Calibri"/>
                <w:sz w:val="22"/>
                <w:szCs w:val="22"/>
              </w:rPr>
              <w:t>voto7</w:t>
            </w:r>
          </w:p>
        </w:tc>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78E180A0" w14:textId="77777777" w:rsidR="00686A3D" w:rsidRPr="00AB315F" w:rsidRDefault="00686A3D" w:rsidP="009302A0">
            <w:pPr>
              <w:jc w:val="center"/>
              <w:rPr>
                <w:rFonts w:ascii="Calibri" w:hAnsi="Calibri"/>
                <w:sz w:val="22"/>
                <w:szCs w:val="22"/>
              </w:rPr>
            </w:pPr>
            <w:r w:rsidRPr="00AB315F">
              <w:rPr>
                <w:rFonts w:ascii="Calibri" w:hAnsi="Calibri"/>
                <w:sz w:val="22"/>
                <w:szCs w:val="22"/>
              </w:rPr>
              <w:t>0,624</w:t>
            </w:r>
          </w:p>
        </w:tc>
        <w:tc>
          <w:tcPr>
            <w:tcW w:w="1124" w:type="dxa"/>
            <w:tcBorders>
              <w:top w:val="nil"/>
              <w:left w:val="nil"/>
              <w:bottom w:val="single" w:sz="4" w:space="0" w:color="auto"/>
              <w:right w:val="single" w:sz="4" w:space="0" w:color="auto"/>
            </w:tcBorders>
            <w:shd w:val="clear" w:color="auto" w:fill="auto"/>
            <w:noWrap/>
            <w:vAlign w:val="center"/>
            <w:hideMark/>
          </w:tcPr>
          <w:p w14:paraId="7E106DBC" w14:textId="77777777" w:rsidR="00686A3D" w:rsidRPr="00AB315F" w:rsidRDefault="00686A3D" w:rsidP="009302A0">
            <w:pPr>
              <w:jc w:val="center"/>
              <w:rPr>
                <w:rFonts w:ascii="Calibri" w:hAnsi="Calibri"/>
                <w:sz w:val="22"/>
                <w:szCs w:val="22"/>
              </w:rPr>
            </w:pPr>
            <w:r w:rsidRPr="00AB315F">
              <w:rPr>
                <w:rFonts w:ascii="Calibri" w:hAnsi="Calibri"/>
                <w:sz w:val="22"/>
                <w:szCs w:val="22"/>
              </w:rPr>
              <w:t>0,532</w:t>
            </w:r>
          </w:p>
        </w:tc>
        <w:tc>
          <w:tcPr>
            <w:tcW w:w="1124" w:type="dxa"/>
            <w:tcBorders>
              <w:top w:val="nil"/>
              <w:left w:val="nil"/>
              <w:bottom w:val="single" w:sz="4" w:space="0" w:color="auto"/>
              <w:right w:val="single" w:sz="4" w:space="0" w:color="auto"/>
            </w:tcBorders>
            <w:shd w:val="clear" w:color="auto" w:fill="auto"/>
            <w:noWrap/>
            <w:vAlign w:val="center"/>
            <w:hideMark/>
          </w:tcPr>
          <w:p w14:paraId="574ECFFD" w14:textId="77777777" w:rsidR="00686A3D" w:rsidRPr="00AB315F" w:rsidRDefault="00686A3D" w:rsidP="009302A0">
            <w:pPr>
              <w:jc w:val="center"/>
              <w:rPr>
                <w:rFonts w:ascii="Calibri" w:hAnsi="Calibri"/>
                <w:sz w:val="22"/>
                <w:szCs w:val="22"/>
              </w:rPr>
            </w:pPr>
            <w:r w:rsidRPr="00AB315F">
              <w:rPr>
                <w:rFonts w:ascii="Calibri" w:hAnsi="Calibri"/>
                <w:sz w:val="22"/>
                <w:szCs w:val="22"/>
              </w:rPr>
              <w:t>0,235</w:t>
            </w:r>
          </w:p>
        </w:tc>
        <w:tc>
          <w:tcPr>
            <w:tcW w:w="754" w:type="dxa"/>
            <w:tcBorders>
              <w:top w:val="nil"/>
              <w:left w:val="nil"/>
              <w:bottom w:val="nil"/>
              <w:right w:val="nil"/>
            </w:tcBorders>
            <w:shd w:val="clear" w:color="auto" w:fill="auto"/>
            <w:noWrap/>
            <w:vAlign w:val="center"/>
            <w:hideMark/>
          </w:tcPr>
          <w:p w14:paraId="058DFF25" w14:textId="77777777" w:rsidR="00686A3D" w:rsidRPr="00AB315F" w:rsidRDefault="00686A3D" w:rsidP="009302A0">
            <w:pPr>
              <w:jc w:val="center"/>
              <w:rPr>
                <w:rFonts w:ascii="Calibri" w:hAnsi="Calibri"/>
                <w:sz w:val="22"/>
                <w:szCs w:val="22"/>
              </w:rPr>
            </w:pPr>
            <w:r w:rsidRPr="00AB315F">
              <w:rPr>
                <w:rFonts w:ascii="Calibri" w:hAnsi="Calibri"/>
                <w:sz w:val="22"/>
                <w:szCs w:val="22"/>
              </w:rPr>
              <w:t>0,800</w:t>
            </w:r>
          </w:p>
        </w:tc>
      </w:tr>
      <w:tr w:rsidR="00686A3D" w:rsidRPr="00AB315F" w14:paraId="495B45AC" w14:textId="77777777" w:rsidTr="00686A3D">
        <w:trPr>
          <w:trHeight w:val="290"/>
          <w:jc w:val="center"/>
        </w:trPr>
        <w:tc>
          <w:tcPr>
            <w:tcW w:w="1200" w:type="dxa"/>
            <w:tcBorders>
              <w:top w:val="single" w:sz="4" w:space="0" w:color="auto"/>
              <w:left w:val="nil"/>
              <w:bottom w:val="single" w:sz="4" w:space="0" w:color="auto"/>
              <w:right w:val="nil"/>
            </w:tcBorders>
            <w:shd w:val="clear" w:color="auto" w:fill="auto"/>
            <w:noWrap/>
            <w:vAlign w:val="center"/>
            <w:hideMark/>
          </w:tcPr>
          <w:p w14:paraId="19855D61" w14:textId="26A4D352" w:rsidR="00686A3D" w:rsidRPr="00AB315F" w:rsidRDefault="00686A3D" w:rsidP="009302A0">
            <w:pPr>
              <w:jc w:val="center"/>
              <w:rPr>
                <w:rFonts w:ascii="Calibri" w:hAnsi="Calibri"/>
                <w:sz w:val="22"/>
                <w:szCs w:val="22"/>
              </w:rPr>
            </w:pPr>
            <w:r>
              <w:rPr>
                <w:rFonts w:ascii="Calibri" w:hAnsi="Calibri"/>
                <w:sz w:val="22"/>
                <w:szCs w:val="22"/>
              </w:rPr>
              <w:t>Escala do teste</w:t>
            </w:r>
          </w:p>
        </w:tc>
        <w:tc>
          <w:tcPr>
            <w:tcW w:w="1124" w:type="dxa"/>
            <w:tcBorders>
              <w:top w:val="nil"/>
              <w:left w:val="nil"/>
              <w:bottom w:val="single" w:sz="4" w:space="0" w:color="auto"/>
              <w:right w:val="nil"/>
            </w:tcBorders>
            <w:shd w:val="clear" w:color="auto" w:fill="auto"/>
            <w:noWrap/>
            <w:vAlign w:val="center"/>
            <w:hideMark/>
          </w:tcPr>
          <w:p w14:paraId="663BAA46" w14:textId="77777777" w:rsidR="00686A3D" w:rsidRPr="00AB315F" w:rsidRDefault="00686A3D" w:rsidP="009302A0">
            <w:pPr>
              <w:jc w:val="center"/>
              <w:rPr>
                <w:rFonts w:ascii="Calibri" w:hAnsi="Calibri"/>
                <w:sz w:val="22"/>
                <w:szCs w:val="22"/>
              </w:rPr>
            </w:pPr>
            <w:r w:rsidRPr="00AB315F">
              <w:rPr>
                <w:rFonts w:ascii="Calibri" w:hAnsi="Calibri"/>
                <w:sz w:val="22"/>
                <w:szCs w:val="22"/>
              </w:rPr>
              <w:t> </w:t>
            </w:r>
          </w:p>
        </w:tc>
        <w:tc>
          <w:tcPr>
            <w:tcW w:w="1124" w:type="dxa"/>
            <w:tcBorders>
              <w:top w:val="nil"/>
              <w:left w:val="nil"/>
              <w:bottom w:val="single" w:sz="4" w:space="0" w:color="auto"/>
              <w:right w:val="nil"/>
            </w:tcBorders>
            <w:shd w:val="clear" w:color="auto" w:fill="auto"/>
            <w:noWrap/>
            <w:vAlign w:val="center"/>
            <w:hideMark/>
          </w:tcPr>
          <w:p w14:paraId="1A00324C" w14:textId="77777777" w:rsidR="00686A3D" w:rsidRPr="00AB315F" w:rsidRDefault="00686A3D" w:rsidP="009302A0">
            <w:pPr>
              <w:jc w:val="center"/>
              <w:rPr>
                <w:rFonts w:ascii="Calibri" w:hAnsi="Calibri"/>
                <w:sz w:val="22"/>
                <w:szCs w:val="22"/>
              </w:rPr>
            </w:pPr>
            <w:r w:rsidRPr="00AB315F">
              <w:rPr>
                <w:rFonts w:ascii="Calibri" w:hAnsi="Calibri"/>
                <w:sz w:val="22"/>
                <w:szCs w:val="22"/>
              </w:rPr>
              <w:t> </w:t>
            </w:r>
          </w:p>
        </w:tc>
        <w:tc>
          <w:tcPr>
            <w:tcW w:w="1124" w:type="dxa"/>
            <w:tcBorders>
              <w:top w:val="nil"/>
              <w:left w:val="nil"/>
              <w:bottom w:val="single" w:sz="4" w:space="0" w:color="auto"/>
              <w:right w:val="nil"/>
            </w:tcBorders>
            <w:shd w:val="clear" w:color="auto" w:fill="auto"/>
            <w:noWrap/>
            <w:vAlign w:val="center"/>
            <w:hideMark/>
          </w:tcPr>
          <w:p w14:paraId="1496528C" w14:textId="77777777" w:rsidR="00686A3D" w:rsidRPr="00AB315F" w:rsidRDefault="00686A3D" w:rsidP="009302A0">
            <w:pPr>
              <w:jc w:val="center"/>
              <w:rPr>
                <w:rFonts w:ascii="Calibri" w:hAnsi="Calibri"/>
                <w:sz w:val="22"/>
                <w:szCs w:val="22"/>
              </w:rPr>
            </w:pPr>
            <w:r w:rsidRPr="00AB315F">
              <w:rPr>
                <w:rFonts w:ascii="Calibri" w:hAnsi="Calibri"/>
                <w:sz w:val="22"/>
                <w:szCs w:val="22"/>
              </w:rPr>
              <w:t>0.2429</w:t>
            </w:r>
          </w:p>
        </w:tc>
        <w:tc>
          <w:tcPr>
            <w:tcW w:w="754" w:type="dxa"/>
            <w:tcBorders>
              <w:top w:val="single" w:sz="4" w:space="0" w:color="auto"/>
              <w:left w:val="nil"/>
              <w:bottom w:val="single" w:sz="4" w:space="0" w:color="auto"/>
              <w:right w:val="nil"/>
            </w:tcBorders>
            <w:shd w:val="clear" w:color="auto" w:fill="auto"/>
            <w:noWrap/>
            <w:vAlign w:val="center"/>
            <w:hideMark/>
          </w:tcPr>
          <w:p w14:paraId="65E97C87" w14:textId="77777777" w:rsidR="00686A3D" w:rsidRPr="00AB315F" w:rsidRDefault="00686A3D" w:rsidP="009302A0">
            <w:pPr>
              <w:jc w:val="center"/>
              <w:rPr>
                <w:rFonts w:ascii="Calibri" w:hAnsi="Calibri"/>
                <w:sz w:val="22"/>
                <w:szCs w:val="22"/>
              </w:rPr>
            </w:pPr>
            <w:r w:rsidRPr="00AB315F">
              <w:rPr>
                <w:rFonts w:ascii="Calibri" w:hAnsi="Calibri"/>
                <w:sz w:val="22"/>
                <w:szCs w:val="22"/>
              </w:rPr>
              <w:t>0.8179</w:t>
            </w:r>
          </w:p>
        </w:tc>
      </w:tr>
    </w:tbl>
    <w:p w14:paraId="74BEED0F" w14:textId="77777777" w:rsidR="001F728A" w:rsidRPr="001F728A" w:rsidRDefault="001F728A" w:rsidP="001F728A">
      <w:pPr>
        <w:spacing w:line="360" w:lineRule="auto"/>
        <w:ind w:left="708" w:firstLine="708"/>
        <w:rPr>
          <w:rFonts w:ascii="Calibri" w:hAnsi="Calibri"/>
          <w:sz w:val="20"/>
          <w:szCs w:val="22"/>
        </w:rPr>
      </w:pPr>
      <w:r w:rsidRPr="001F728A">
        <w:rPr>
          <w:rFonts w:ascii="Calibri" w:hAnsi="Calibri"/>
          <w:sz w:val="20"/>
          <w:szCs w:val="22"/>
        </w:rPr>
        <w:t>Fonte</w:t>
      </w:r>
      <w:r>
        <w:rPr>
          <w:rFonts w:ascii="Calibri" w:hAnsi="Calibri"/>
          <w:sz w:val="20"/>
          <w:szCs w:val="22"/>
        </w:rPr>
        <w:t>: elaboração própria</w:t>
      </w:r>
    </w:p>
    <w:p w14:paraId="3BCB8C0F" w14:textId="77777777" w:rsidR="009302A0" w:rsidRPr="00AB315F" w:rsidRDefault="009302A0" w:rsidP="00427D29">
      <w:pPr>
        <w:spacing w:line="360" w:lineRule="auto"/>
        <w:ind w:firstLine="708"/>
        <w:jc w:val="both"/>
        <w:rPr>
          <w:rFonts w:asciiTheme="minorHAnsi" w:hAnsiTheme="minorHAnsi"/>
        </w:rPr>
      </w:pPr>
    </w:p>
    <w:p w14:paraId="5E310728" w14:textId="32C42958" w:rsidR="005308FF" w:rsidRPr="00AB315F" w:rsidRDefault="009302A0" w:rsidP="005A7075">
      <w:pPr>
        <w:spacing w:after="240" w:line="360" w:lineRule="auto"/>
        <w:ind w:firstLine="708"/>
        <w:jc w:val="both"/>
        <w:rPr>
          <w:rFonts w:asciiTheme="minorHAnsi" w:hAnsiTheme="minorHAnsi"/>
        </w:rPr>
      </w:pPr>
      <w:r w:rsidRPr="00AB315F">
        <w:rPr>
          <w:rFonts w:asciiTheme="minorHAnsi" w:hAnsiTheme="minorHAnsi"/>
        </w:rPr>
        <w:t>O valor do coeficiente Alpha é alto, porém</w:t>
      </w:r>
      <w:r w:rsidR="005308FF" w:rsidRPr="00AB315F">
        <w:rPr>
          <w:rFonts w:asciiTheme="minorHAnsi" w:hAnsiTheme="minorHAnsi"/>
        </w:rPr>
        <w:t>, importa lembrar</w:t>
      </w:r>
      <w:r w:rsidRPr="00AB315F">
        <w:rPr>
          <w:rFonts w:asciiTheme="minorHAnsi" w:hAnsiTheme="minorHAnsi"/>
        </w:rPr>
        <w:t xml:space="preserve"> que o teste é sensível à inclusão de itens. </w:t>
      </w:r>
      <w:r w:rsidR="005308FF" w:rsidRPr="00AB315F">
        <w:rPr>
          <w:rFonts w:asciiTheme="minorHAnsi" w:hAnsiTheme="minorHAnsi"/>
        </w:rPr>
        <w:t>Quanto mais itens</w:t>
      </w:r>
      <w:r w:rsidR="00656889">
        <w:rPr>
          <w:rFonts w:asciiTheme="minorHAnsi" w:hAnsiTheme="minorHAnsi"/>
        </w:rPr>
        <w:t>, maior</w:t>
      </w:r>
      <w:r w:rsidR="005308FF" w:rsidRPr="00AB315F">
        <w:rPr>
          <w:rFonts w:asciiTheme="minorHAnsi" w:hAnsiTheme="minorHAnsi"/>
        </w:rPr>
        <w:t xml:space="preserve"> o</w:t>
      </w:r>
      <w:r w:rsidR="00656889">
        <w:rPr>
          <w:rFonts w:asciiTheme="minorHAnsi" w:hAnsiTheme="minorHAnsi"/>
        </w:rPr>
        <w:t xml:space="preserve"> valor do</w:t>
      </w:r>
      <w:r w:rsidR="005308FF" w:rsidRPr="00AB315F">
        <w:rPr>
          <w:rFonts w:asciiTheme="minorHAnsi" w:hAnsiTheme="minorHAnsi"/>
        </w:rPr>
        <w:t xml:space="preserve"> coeficiente</w:t>
      </w:r>
      <w:r w:rsidR="00656889">
        <w:rPr>
          <w:rFonts w:asciiTheme="minorHAnsi" w:hAnsiTheme="minorHAnsi"/>
        </w:rPr>
        <w:t>.</w:t>
      </w:r>
    </w:p>
    <w:p w14:paraId="21B22762" w14:textId="6490EDF6" w:rsidR="009302A0" w:rsidRPr="00AB315F" w:rsidRDefault="009302A0" w:rsidP="005A7075">
      <w:pPr>
        <w:spacing w:after="240" w:line="360" w:lineRule="auto"/>
        <w:ind w:firstLine="708"/>
        <w:jc w:val="both"/>
        <w:rPr>
          <w:rFonts w:asciiTheme="minorHAnsi" w:hAnsiTheme="minorHAnsi"/>
        </w:rPr>
      </w:pPr>
      <w:r w:rsidRPr="00AB315F">
        <w:rPr>
          <w:rFonts w:asciiTheme="minorHAnsi" w:hAnsiTheme="minorHAnsi"/>
        </w:rPr>
        <w:t>A média da correlação entre os itens não é alta (0,2429)</w:t>
      </w:r>
      <w:r w:rsidR="00760C7D" w:rsidRPr="00AB315F">
        <w:rPr>
          <w:rFonts w:asciiTheme="minorHAnsi" w:hAnsiTheme="minorHAnsi"/>
        </w:rPr>
        <w:t>, além disso existe uma variação considerável na estatística “item-rest correlation”, ou seja, a correlação entre um item e a esca</w:t>
      </w:r>
      <w:r w:rsidR="005308FF" w:rsidRPr="00AB315F">
        <w:rPr>
          <w:rFonts w:asciiTheme="minorHAnsi" w:hAnsiTheme="minorHAnsi"/>
        </w:rPr>
        <w:t>la formada pelos demais itens. Esta diferença pode agrupar os itens nos mesmos três con</w:t>
      </w:r>
      <w:r w:rsidR="00656889">
        <w:rPr>
          <w:rFonts w:asciiTheme="minorHAnsi" w:hAnsiTheme="minorHAnsi"/>
        </w:rPr>
        <w:t>j</w:t>
      </w:r>
      <w:r w:rsidR="005308FF" w:rsidRPr="00AB315F">
        <w:rPr>
          <w:rFonts w:asciiTheme="minorHAnsi" w:hAnsiTheme="minorHAnsi"/>
        </w:rPr>
        <w:t>unto</w:t>
      </w:r>
      <w:r w:rsidR="009E3FF0">
        <w:rPr>
          <w:rFonts w:asciiTheme="minorHAnsi" w:hAnsiTheme="minorHAnsi"/>
        </w:rPr>
        <w:t>s</w:t>
      </w:r>
      <w:r w:rsidR="00760C7D" w:rsidRPr="00AB315F">
        <w:rPr>
          <w:rFonts w:asciiTheme="minorHAnsi" w:hAnsiTheme="minorHAnsi"/>
        </w:rPr>
        <w:t xml:space="preserve">, assim como demonstrou a análise fatorial exploratória. </w:t>
      </w:r>
    </w:p>
    <w:p w14:paraId="70B7ED79" w14:textId="77D38E8E" w:rsidR="006A6DFC" w:rsidRPr="00AB315F" w:rsidRDefault="006A6DFC" w:rsidP="005A7075">
      <w:pPr>
        <w:spacing w:after="240" w:line="360" w:lineRule="auto"/>
        <w:ind w:firstLine="708"/>
        <w:jc w:val="both"/>
        <w:rPr>
          <w:rFonts w:asciiTheme="minorHAnsi" w:hAnsiTheme="minorHAnsi"/>
        </w:rPr>
      </w:pPr>
      <w:r w:rsidRPr="00AB315F">
        <w:rPr>
          <w:rFonts w:asciiTheme="minorHAnsi" w:hAnsiTheme="minorHAnsi"/>
        </w:rPr>
        <w:t xml:space="preserve">A partida análise fatorial e </w:t>
      </w:r>
      <w:r w:rsidR="00EA41AB" w:rsidRPr="00AB315F">
        <w:rPr>
          <w:rFonts w:asciiTheme="minorHAnsi" w:hAnsiTheme="minorHAnsi"/>
        </w:rPr>
        <w:t>das estatísticas do coeficiente Alpha de Crombach, assume-se que existem evidencias de divergência entre indicadores observáveis alternativos aos indicadores da medida de Aceit</w:t>
      </w:r>
      <w:r w:rsidR="00775852" w:rsidRPr="00AB315F">
        <w:rPr>
          <w:rFonts w:asciiTheme="minorHAnsi" w:hAnsiTheme="minorHAnsi"/>
        </w:rPr>
        <w:t>a</w:t>
      </w:r>
      <w:r w:rsidR="00EA41AB" w:rsidRPr="00AB315F">
        <w:rPr>
          <w:rFonts w:asciiTheme="minorHAnsi" w:hAnsiTheme="minorHAnsi"/>
        </w:rPr>
        <w:t xml:space="preserve">ção da Corrupção. </w:t>
      </w:r>
    </w:p>
    <w:p w14:paraId="796CA26F" w14:textId="30C11B3B" w:rsidR="00EA41AB" w:rsidRPr="00AB315F" w:rsidRDefault="0072120D" w:rsidP="00656889">
      <w:pPr>
        <w:pStyle w:val="Ttulo3"/>
        <w:spacing w:after="240"/>
      </w:pPr>
      <w:bookmarkStart w:id="25" w:name="_Toc456241258"/>
      <w:r w:rsidRPr="00AB315F">
        <w:t>3.2</w:t>
      </w:r>
      <w:r w:rsidR="0005370B" w:rsidRPr="00AB315F">
        <w:t>.</w:t>
      </w:r>
      <w:r w:rsidRPr="00AB315F">
        <w:t>3</w:t>
      </w:r>
      <w:r w:rsidR="0005370B" w:rsidRPr="00AB315F">
        <w:t xml:space="preserve"> </w:t>
      </w:r>
      <w:r w:rsidR="00DB4E85">
        <w:t>Validação c</w:t>
      </w:r>
      <w:r w:rsidR="00EA41AB" w:rsidRPr="00AB315F">
        <w:t>onvergente</w:t>
      </w:r>
      <w:bookmarkEnd w:id="25"/>
      <w:r w:rsidR="00EA41AB" w:rsidRPr="00AB315F">
        <w:t xml:space="preserve"> </w:t>
      </w:r>
    </w:p>
    <w:p w14:paraId="0E8295F4" w14:textId="77777777" w:rsidR="005308FF" w:rsidRPr="00AB315F" w:rsidRDefault="007E73CD" w:rsidP="00656889">
      <w:pPr>
        <w:spacing w:after="240" w:line="360" w:lineRule="auto"/>
        <w:ind w:firstLine="708"/>
        <w:jc w:val="both"/>
        <w:rPr>
          <w:rFonts w:asciiTheme="minorHAnsi" w:hAnsiTheme="minorHAnsi"/>
        </w:rPr>
      </w:pPr>
      <w:r w:rsidRPr="00AB315F">
        <w:rPr>
          <w:rFonts w:asciiTheme="minorHAnsi" w:hAnsiTheme="minorHAnsi"/>
        </w:rPr>
        <w:t xml:space="preserve">Para a análise convergente, </w:t>
      </w:r>
      <w:r w:rsidR="00D07B15" w:rsidRPr="00AB315F">
        <w:rPr>
          <w:rFonts w:asciiTheme="minorHAnsi" w:hAnsiTheme="minorHAnsi"/>
        </w:rPr>
        <w:t>prop</w:t>
      </w:r>
      <w:r w:rsidR="00775852" w:rsidRPr="00AB315F">
        <w:rPr>
          <w:rFonts w:asciiTheme="minorHAnsi" w:hAnsiTheme="minorHAnsi"/>
        </w:rPr>
        <w:t>õe-se a mesma alternativa usada para buscar evidências de validação divergente, mas neste caso usa-se a base de dados do Barômetro das Américas de 2008.</w:t>
      </w:r>
      <w:r w:rsidR="001E6999" w:rsidRPr="00AB315F">
        <w:rPr>
          <w:rFonts w:asciiTheme="minorHAnsi" w:hAnsiTheme="minorHAnsi"/>
        </w:rPr>
        <w:t xml:space="preserve"> </w:t>
      </w:r>
    </w:p>
    <w:p w14:paraId="61C5CA62" w14:textId="127555C9" w:rsidR="005308FF" w:rsidRPr="00AB315F" w:rsidRDefault="005308FF" w:rsidP="005A7075">
      <w:pPr>
        <w:spacing w:after="240" w:line="360" w:lineRule="auto"/>
        <w:ind w:firstLine="708"/>
        <w:jc w:val="both"/>
        <w:rPr>
          <w:rFonts w:asciiTheme="minorHAnsi" w:hAnsiTheme="minorHAnsi"/>
        </w:rPr>
      </w:pPr>
      <w:r w:rsidRPr="00AB315F">
        <w:rPr>
          <w:rFonts w:asciiTheme="minorHAnsi" w:hAnsiTheme="minorHAnsi"/>
        </w:rPr>
        <w:t xml:space="preserve">Considera-se que os indicadores observáveis que se referem à aceitação das práticas de “oferecer propina” ou “sonegar impostos” da base de dados do LAPOP 2008 </w:t>
      </w:r>
      <w:r w:rsidRPr="00AB315F">
        <w:rPr>
          <w:rFonts w:asciiTheme="minorHAnsi" w:hAnsiTheme="minorHAnsi"/>
        </w:rPr>
        <w:lastRenderedPageBreak/>
        <w:t xml:space="preserve">representam os quatro indicadores observáveis que refletem a medida de Aceitação da Corrupção. </w:t>
      </w:r>
    </w:p>
    <w:p w14:paraId="7BF203A4" w14:textId="77777777" w:rsidR="005308FF" w:rsidRPr="00AB315F" w:rsidRDefault="005308FF" w:rsidP="005A7075">
      <w:pPr>
        <w:spacing w:after="240" w:line="360" w:lineRule="auto"/>
        <w:ind w:firstLine="708"/>
        <w:jc w:val="both"/>
        <w:rPr>
          <w:rFonts w:asciiTheme="minorHAnsi" w:hAnsiTheme="minorHAnsi"/>
        </w:rPr>
      </w:pPr>
      <w:r w:rsidRPr="00AB315F">
        <w:rPr>
          <w:rFonts w:asciiTheme="minorHAnsi" w:hAnsiTheme="minorHAnsi"/>
        </w:rPr>
        <w:t>Os indicadores alternativos que captam a mesma dimensão e conceito são aqueles que se referem a práticas realizadas no cotidiano, porém o fazem através da simulação de um cenário.</w:t>
      </w:r>
    </w:p>
    <w:p w14:paraId="31D7AAFB" w14:textId="77777777" w:rsidR="00775852" w:rsidRDefault="00775852" w:rsidP="005A7075">
      <w:pPr>
        <w:spacing w:after="240" w:line="360" w:lineRule="auto"/>
        <w:ind w:firstLine="708"/>
        <w:jc w:val="both"/>
        <w:rPr>
          <w:rFonts w:asciiTheme="minorHAnsi" w:hAnsiTheme="minorHAnsi"/>
        </w:rPr>
      </w:pPr>
      <w:r w:rsidRPr="00AB315F">
        <w:rPr>
          <w:rFonts w:asciiTheme="minorHAnsi" w:hAnsiTheme="minorHAnsi"/>
        </w:rPr>
        <w:t xml:space="preserve">Os indicadores observáveis mobilizados na rodada de pesquisa de 2009 são os seguintes: </w:t>
      </w:r>
    </w:p>
    <w:p w14:paraId="1145F2FA" w14:textId="5E59324B" w:rsidR="001734FD" w:rsidRPr="001734FD" w:rsidRDefault="001734FD" w:rsidP="001734FD">
      <w:pPr>
        <w:spacing w:after="240" w:line="360" w:lineRule="auto"/>
        <w:jc w:val="center"/>
        <w:rPr>
          <w:rFonts w:asciiTheme="minorHAnsi" w:hAnsiTheme="minorHAnsi"/>
          <w:b/>
        </w:rPr>
      </w:pPr>
      <w:r w:rsidRPr="001734FD">
        <w:rPr>
          <w:rFonts w:asciiTheme="minorHAnsi" w:hAnsiTheme="minorHAnsi"/>
          <w:b/>
        </w:rPr>
        <w:t>Tabela 8. Descrição dos Indicadores observáveis convergentes</w:t>
      </w:r>
    </w:p>
    <w:tbl>
      <w:tblPr>
        <w:tblStyle w:val="Tabelacomgrade"/>
        <w:tblW w:w="0" w:type="auto"/>
        <w:jc w:val="center"/>
        <w:tblLook w:val="04A0" w:firstRow="1" w:lastRow="0" w:firstColumn="1" w:lastColumn="0" w:noHBand="0" w:noVBand="1"/>
      </w:tblPr>
      <w:tblGrid>
        <w:gridCol w:w="4247"/>
        <w:gridCol w:w="4247"/>
      </w:tblGrid>
      <w:tr w:rsidR="00775852" w:rsidRPr="00AB315F" w14:paraId="10D725B3" w14:textId="77777777" w:rsidTr="00775852">
        <w:trPr>
          <w:jc w:val="center"/>
        </w:trPr>
        <w:tc>
          <w:tcPr>
            <w:tcW w:w="4247" w:type="dxa"/>
            <w:vAlign w:val="center"/>
          </w:tcPr>
          <w:p w14:paraId="5E526384" w14:textId="34B79756" w:rsidR="00775852" w:rsidRPr="00AB315F" w:rsidRDefault="00775852" w:rsidP="00775852">
            <w:pPr>
              <w:jc w:val="center"/>
              <w:rPr>
                <w:rFonts w:asciiTheme="minorHAnsi" w:hAnsiTheme="minorHAnsi"/>
              </w:rPr>
            </w:pPr>
            <w:r w:rsidRPr="00AB315F">
              <w:rPr>
                <w:rFonts w:asciiTheme="minorHAnsi" w:hAnsiTheme="minorHAnsi"/>
                <w:b/>
                <w:sz w:val="20"/>
              </w:rPr>
              <w:t>Itens</w:t>
            </w:r>
          </w:p>
        </w:tc>
        <w:tc>
          <w:tcPr>
            <w:tcW w:w="4247" w:type="dxa"/>
            <w:vAlign w:val="center"/>
          </w:tcPr>
          <w:p w14:paraId="19C0B471" w14:textId="02358880" w:rsidR="00775852" w:rsidRPr="00AB315F" w:rsidRDefault="00775852" w:rsidP="00775852">
            <w:pPr>
              <w:jc w:val="center"/>
              <w:rPr>
                <w:rFonts w:asciiTheme="minorHAnsi" w:hAnsiTheme="minorHAnsi"/>
              </w:rPr>
            </w:pPr>
            <w:r w:rsidRPr="00AB315F">
              <w:rPr>
                <w:rFonts w:asciiTheme="minorHAnsi" w:hAnsiTheme="minorHAnsi"/>
                <w:b/>
                <w:sz w:val="20"/>
              </w:rPr>
              <w:t>Escala de respostas</w:t>
            </w:r>
          </w:p>
        </w:tc>
      </w:tr>
      <w:tr w:rsidR="00775852" w:rsidRPr="00AB315F" w14:paraId="38C12897" w14:textId="77777777" w:rsidTr="00775852">
        <w:trPr>
          <w:jc w:val="center"/>
        </w:trPr>
        <w:tc>
          <w:tcPr>
            <w:tcW w:w="4247" w:type="dxa"/>
            <w:vAlign w:val="center"/>
          </w:tcPr>
          <w:p w14:paraId="28CE04EB" w14:textId="6FE9E867" w:rsidR="00775852" w:rsidRPr="00AB315F" w:rsidRDefault="00775852" w:rsidP="00775852">
            <w:pPr>
              <w:jc w:val="center"/>
              <w:rPr>
                <w:rFonts w:asciiTheme="minorHAnsi" w:hAnsiTheme="minorHAnsi"/>
                <w:sz w:val="20"/>
                <w:szCs w:val="20"/>
              </w:rPr>
            </w:pPr>
            <w:r w:rsidRPr="00AB315F">
              <w:rPr>
                <w:rFonts w:asciiTheme="minorHAnsi" w:hAnsiTheme="minorHAnsi"/>
                <w:sz w:val="20"/>
                <w:szCs w:val="20"/>
              </w:rPr>
              <w:t>O sr./sra. acha que, da forma como as coisas estão, às vezes se justifica pagar uma propina (suborno)?</w:t>
            </w:r>
          </w:p>
        </w:tc>
        <w:tc>
          <w:tcPr>
            <w:tcW w:w="4247" w:type="dxa"/>
            <w:vAlign w:val="center"/>
          </w:tcPr>
          <w:p w14:paraId="2E8D42FB" w14:textId="77777777" w:rsidR="00775852" w:rsidRPr="00AB315F" w:rsidRDefault="00775852" w:rsidP="00775852">
            <w:pPr>
              <w:jc w:val="center"/>
              <w:rPr>
                <w:rFonts w:asciiTheme="minorHAnsi" w:hAnsiTheme="minorHAnsi"/>
                <w:sz w:val="20"/>
                <w:szCs w:val="20"/>
                <w:u w:val="single"/>
              </w:rPr>
            </w:pPr>
            <w:r w:rsidRPr="00AB315F">
              <w:rPr>
                <w:rFonts w:asciiTheme="minorHAnsi" w:hAnsiTheme="minorHAnsi"/>
                <w:sz w:val="20"/>
                <w:szCs w:val="20"/>
                <w:u w:val="single"/>
              </w:rPr>
              <w:t>Dicotômica</w:t>
            </w:r>
          </w:p>
          <w:p w14:paraId="029F6A64" w14:textId="7C4F66AE" w:rsidR="00775852" w:rsidRPr="00AB315F" w:rsidRDefault="00775852" w:rsidP="00775852">
            <w:pPr>
              <w:jc w:val="center"/>
              <w:rPr>
                <w:rFonts w:asciiTheme="minorHAnsi" w:hAnsiTheme="minorHAnsi"/>
                <w:sz w:val="20"/>
                <w:szCs w:val="20"/>
              </w:rPr>
            </w:pPr>
            <w:r w:rsidRPr="00AB315F">
              <w:rPr>
                <w:rFonts w:asciiTheme="minorHAnsi" w:hAnsiTheme="minorHAnsi"/>
                <w:sz w:val="20"/>
                <w:szCs w:val="20"/>
              </w:rPr>
              <w:t>“Sim” ou “Não”</w:t>
            </w:r>
          </w:p>
        </w:tc>
      </w:tr>
      <w:tr w:rsidR="00775852" w:rsidRPr="00AB315F" w14:paraId="6349CC57" w14:textId="77777777" w:rsidTr="00775852">
        <w:trPr>
          <w:jc w:val="center"/>
        </w:trPr>
        <w:tc>
          <w:tcPr>
            <w:tcW w:w="4247" w:type="dxa"/>
            <w:vAlign w:val="center"/>
          </w:tcPr>
          <w:p w14:paraId="675788D6" w14:textId="1ADBEE8C" w:rsidR="00775852" w:rsidRPr="00AB315F" w:rsidRDefault="00775852" w:rsidP="00775852">
            <w:pPr>
              <w:jc w:val="center"/>
              <w:rPr>
                <w:rFonts w:asciiTheme="minorHAnsi" w:hAnsiTheme="minorHAnsi"/>
                <w:sz w:val="20"/>
                <w:szCs w:val="20"/>
              </w:rPr>
            </w:pPr>
            <w:r w:rsidRPr="00AB315F">
              <w:rPr>
                <w:rFonts w:asciiTheme="minorHAnsi" w:hAnsiTheme="minorHAnsi"/>
                <w:sz w:val="20"/>
                <w:szCs w:val="20"/>
              </w:rPr>
              <w:t>Até que ponto o sr./sra. concorda ou discorda em “Não pagar impostos se tiver a chance”.</w:t>
            </w:r>
          </w:p>
        </w:tc>
        <w:tc>
          <w:tcPr>
            <w:tcW w:w="4247" w:type="dxa"/>
            <w:vAlign w:val="center"/>
          </w:tcPr>
          <w:p w14:paraId="33EAC95E" w14:textId="77777777" w:rsidR="00775852" w:rsidRPr="00AB315F" w:rsidRDefault="00775852" w:rsidP="00775852">
            <w:pPr>
              <w:jc w:val="center"/>
              <w:rPr>
                <w:rFonts w:asciiTheme="minorHAnsi" w:hAnsiTheme="minorHAnsi"/>
                <w:sz w:val="20"/>
                <w:szCs w:val="20"/>
                <w:u w:val="single"/>
              </w:rPr>
            </w:pPr>
            <w:r w:rsidRPr="00AB315F">
              <w:rPr>
                <w:rFonts w:asciiTheme="minorHAnsi" w:hAnsiTheme="minorHAnsi"/>
                <w:sz w:val="20"/>
                <w:szCs w:val="20"/>
                <w:u w:val="single"/>
              </w:rPr>
              <w:t>Dicotômica</w:t>
            </w:r>
          </w:p>
          <w:p w14:paraId="24296664" w14:textId="1CD59223" w:rsidR="00775852" w:rsidRPr="00AB315F" w:rsidRDefault="00775852" w:rsidP="00775852">
            <w:pPr>
              <w:jc w:val="center"/>
              <w:rPr>
                <w:rFonts w:asciiTheme="minorHAnsi" w:hAnsiTheme="minorHAnsi"/>
                <w:sz w:val="20"/>
                <w:szCs w:val="20"/>
              </w:rPr>
            </w:pPr>
            <w:r w:rsidRPr="00AB315F">
              <w:rPr>
                <w:rFonts w:asciiTheme="minorHAnsi" w:hAnsiTheme="minorHAnsi"/>
                <w:sz w:val="20"/>
                <w:szCs w:val="20"/>
              </w:rPr>
              <w:t>“Concorda” ou “Discorda”</w:t>
            </w:r>
          </w:p>
        </w:tc>
      </w:tr>
      <w:tr w:rsidR="00775852" w:rsidRPr="00AB315F" w14:paraId="036E13FC" w14:textId="77777777" w:rsidTr="00775852">
        <w:trPr>
          <w:jc w:val="center"/>
        </w:trPr>
        <w:tc>
          <w:tcPr>
            <w:tcW w:w="4247" w:type="dxa"/>
            <w:vAlign w:val="center"/>
          </w:tcPr>
          <w:p w14:paraId="653EED6A" w14:textId="4BE0BCE8" w:rsidR="00775852" w:rsidRPr="00AB315F" w:rsidRDefault="005B1AA1" w:rsidP="00775852">
            <w:pPr>
              <w:jc w:val="center"/>
              <w:rPr>
                <w:rFonts w:asciiTheme="minorHAnsi" w:hAnsiTheme="minorHAnsi"/>
                <w:sz w:val="20"/>
                <w:szCs w:val="20"/>
              </w:rPr>
            </w:pPr>
            <w:r w:rsidRPr="00AB315F">
              <w:rPr>
                <w:rFonts w:asciiTheme="minorHAnsi" w:hAnsiTheme="minorHAnsi"/>
                <w:sz w:val="20"/>
                <w:szCs w:val="20"/>
              </w:rPr>
              <w:t>Uma mãe com vários filhos tem que tirar uma certidão de nascimento para um deles. Para não perder tempo esperando, ela paga R$10 reais para um funcionário público. O sr/sra. acredita que o que a senhora fez é</w:t>
            </w:r>
          </w:p>
        </w:tc>
        <w:tc>
          <w:tcPr>
            <w:tcW w:w="4247" w:type="dxa"/>
            <w:vAlign w:val="center"/>
          </w:tcPr>
          <w:p w14:paraId="35D6A9DE" w14:textId="0D818225" w:rsidR="00775852" w:rsidRPr="00AB315F" w:rsidRDefault="005B1AA1" w:rsidP="00775852">
            <w:pPr>
              <w:jc w:val="center"/>
              <w:rPr>
                <w:rFonts w:asciiTheme="minorHAnsi" w:hAnsiTheme="minorHAnsi"/>
                <w:sz w:val="20"/>
                <w:szCs w:val="20"/>
                <w:u w:val="single"/>
              </w:rPr>
            </w:pPr>
            <w:r w:rsidRPr="00AB315F">
              <w:rPr>
                <w:rFonts w:asciiTheme="minorHAnsi" w:hAnsiTheme="minorHAnsi"/>
                <w:sz w:val="20"/>
                <w:szCs w:val="20"/>
                <w:u w:val="single"/>
              </w:rPr>
              <w:t xml:space="preserve">Dicotômica </w:t>
            </w:r>
          </w:p>
          <w:p w14:paraId="17CB5279" w14:textId="77777777" w:rsidR="005B1AA1" w:rsidRPr="00AB315F" w:rsidRDefault="005B1AA1" w:rsidP="00775852">
            <w:pPr>
              <w:jc w:val="center"/>
              <w:rPr>
                <w:rFonts w:asciiTheme="minorHAnsi" w:hAnsiTheme="minorHAnsi"/>
                <w:sz w:val="20"/>
                <w:szCs w:val="20"/>
              </w:rPr>
            </w:pPr>
            <w:r w:rsidRPr="00AB315F">
              <w:rPr>
                <w:rFonts w:asciiTheme="minorHAnsi" w:hAnsiTheme="minorHAnsi"/>
                <w:sz w:val="20"/>
                <w:szCs w:val="20"/>
              </w:rPr>
              <w:t xml:space="preserve">“É corrupto mas se justifica/Não é corrupto” </w:t>
            </w:r>
          </w:p>
          <w:p w14:paraId="62414AEF" w14:textId="6E279B29" w:rsidR="005B1AA1" w:rsidRPr="00AB315F" w:rsidRDefault="005B1AA1" w:rsidP="00775852">
            <w:pPr>
              <w:jc w:val="center"/>
              <w:rPr>
                <w:rFonts w:asciiTheme="minorHAnsi" w:hAnsiTheme="minorHAnsi"/>
                <w:sz w:val="20"/>
                <w:szCs w:val="20"/>
              </w:rPr>
            </w:pPr>
            <w:r w:rsidRPr="00AB315F">
              <w:rPr>
                <w:rFonts w:asciiTheme="minorHAnsi" w:hAnsiTheme="minorHAnsi"/>
                <w:sz w:val="20"/>
                <w:szCs w:val="20"/>
              </w:rPr>
              <w:t>“É corrupto e ela deve ser castigada”</w:t>
            </w:r>
          </w:p>
          <w:p w14:paraId="3A26F411" w14:textId="1C531BA1" w:rsidR="005B1AA1" w:rsidRPr="00AB315F" w:rsidRDefault="005B1AA1" w:rsidP="00775852">
            <w:pPr>
              <w:jc w:val="center"/>
              <w:rPr>
                <w:rFonts w:asciiTheme="minorHAnsi" w:hAnsiTheme="minorHAnsi"/>
                <w:sz w:val="20"/>
                <w:szCs w:val="20"/>
              </w:rPr>
            </w:pPr>
          </w:p>
        </w:tc>
      </w:tr>
      <w:tr w:rsidR="00775852" w:rsidRPr="00AB315F" w14:paraId="071838A6" w14:textId="77777777" w:rsidTr="00775852">
        <w:trPr>
          <w:jc w:val="center"/>
        </w:trPr>
        <w:tc>
          <w:tcPr>
            <w:tcW w:w="4247" w:type="dxa"/>
            <w:vAlign w:val="center"/>
          </w:tcPr>
          <w:p w14:paraId="31015BED" w14:textId="42051858" w:rsidR="00775852" w:rsidRPr="00AB315F" w:rsidRDefault="005B1AA1" w:rsidP="00775852">
            <w:pPr>
              <w:jc w:val="center"/>
              <w:rPr>
                <w:rFonts w:asciiTheme="minorHAnsi" w:hAnsiTheme="minorHAnsi"/>
                <w:sz w:val="20"/>
                <w:szCs w:val="20"/>
              </w:rPr>
            </w:pPr>
            <w:r w:rsidRPr="00AB315F">
              <w:rPr>
                <w:rFonts w:asciiTheme="minorHAnsi" w:hAnsiTheme="minorHAnsi"/>
                <w:sz w:val="20"/>
                <w:szCs w:val="20"/>
              </w:rPr>
              <w:t>Uma pessoa desempregada é cunhada de um político importante e esse usa sua posição para arrumar-lhe um emprego. O sr/sra. acredita que o que o políticos fez é:</w:t>
            </w:r>
          </w:p>
        </w:tc>
        <w:tc>
          <w:tcPr>
            <w:tcW w:w="4247" w:type="dxa"/>
            <w:vAlign w:val="center"/>
          </w:tcPr>
          <w:p w14:paraId="506DFF0E" w14:textId="3C6A8834" w:rsidR="005B1AA1" w:rsidRPr="00AB315F" w:rsidRDefault="005B1AA1" w:rsidP="005B1AA1">
            <w:pPr>
              <w:jc w:val="center"/>
              <w:rPr>
                <w:rFonts w:asciiTheme="minorHAnsi" w:hAnsiTheme="minorHAnsi"/>
                <w:sz w:val="20"/>
                <w:szCs w:val="20"/>
                <w:u w:val="single"/>
              </w:rPr>
            </w:pPr>
            <w:r w:rsidRPr="00AB315F">
              <w:rPr>
                <w:rFonts w:asciiTheme="minorHAnsi" w:hAnsiTheme="minorHAnsi"/>
                <w:sz w:val="20"/>
                <w:szCs w:val="20"/>
                <w:u w:val="single"/>
              </w:rPr>
              <w:t xml:space="preserve">Dicotômica </w:t>
            </w:r>
          </w:p>
          <w:p w14:paraId="01A9A2AF" w14:textId="63D2B97C" w:rsidR="005B1AA1" w:rsidRPr="00AB315F" w:rsidRDefault="005B1AA1" w:rsidP="005B1AA1">
            <w:pPr>
              <w:jc w:val="center"/>
              <w:rPr>
                <w:rFonts w:asciiTheme="minorHAnsi" w:hAnsiTheme="minorHAnsi"/>
                <w:sz w:val="20"/>
                <w:szCs w:val="20"/>
              </w:rPr>
            </w:pPr>
            <w:r w:rsidRPr="00AB315F">
              <w:rPr>
                <w:rFonts w:asciiTheme="minorHAnsi" w:hAnsiTheme="minorHAnsi"/>
                <w:sz w:val="20"/>
                <w:szCs w:val="20"/>
              </w:rPr>
              <w:t>“É corrupto mas se justifica/Não é corrupto”</w:t>
            </w:r>
          </w:p>
          <w:p w14:paraId="26DE90D5" w14:textId="77777777" w:rsidR="005B1AA1" w:rsidRPr="00AB315F" w:rsidRDefault="005B1AA1" w:rsidP="005B1AA1">
            <w:pPr>
              <w:jc w:val="center"/>
              <w:rPr>
                <w:rFonts w:asciiTheme="minorHAnsi" w:hAnsiTheme="minorHAnsi"/>
                <w:sz w:val="20"/>
                <w:szCs w:val="20"/>
              </w:rPr>
            </w:pPr>
            <w:r w:rsidRPr="00AB315F">
              <w:rPr>
                <w:rFonts w:asciiTheme="minorHAnsi" w:hAnsiTheme="minorHAnsi"/>
                <w:sz w:val="20"/>
                <w:szCs w:val="20"/>
              </w:rPr>
              <w:t>“É corrupto e ela deve ser castigada”</w:t>
            </w:r>
          </w:p>
          <w:p w14:paraId="1C30617A" w14:textId="52041515" w:rsidR="00775852" w:rsidRPr="00AB315F" w:rsidRDefault="00775852" w:rsidP="005B1AA1">
            <w:pPr>
              <w:jc w:val="center"/>
              <w:rPr>
                <w:rFonts w:asciiTheme="minorHAnsi" w:hAnsiTheme="minorHAnsi"/>
                <w:sz w:val="20"/>
                <w:szCs w:val="20"/>
              </w:rPr>
            </w:pPr>
          </w:p>
        </w:tc>
      </w:tr>
    </w:tbl>
    <w:p w14:paraId="5E977DB8" w14:textId="59C379D5"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w:t>
      </w:r>
      <w:r w:rsidR="00FD55AE">
        <w:rPr>
          <w:rFonts w:ascii="Calibri" w:hAnsi="Calibri"/>
          <w:sz w:val="20"/>
          <w:szCs w:val="22"/>
        </w:rPr>
        <w:t xml:space="preserve"> LAPOP 2008- </w:t>
      </w:r>
      <w:r>
        <w:rPr>
          <w:rFonts w:ascii="Calibri" w:hAnsi="Calibri"/>
          <w:sz w:val="20"/>
          <w:szCs w:val="22"/>
        </w:rPr>
        <w:t xml:space="preserve"> elaboração própria</w:t>
      </w:r>
    </w:p>
    <w:p w14:paraId="3533BF54" w14:textId="7C99C2EB" w:rsidR="00775852" w:rsidRPr="00AB315F" w:rsidRDefault="00775852" w:rsidP="00427D29">
      <w:pPr>
        <w:spacing w:line="360" w:lineRule="auto"/>
        <w:ind w:firstLine="708"/>
        <w:jc w:val="both"/>
        <w:rPr>
          <w:rFonts w:asciiTheme="minorHAnsi" w:hAnsiTheme="minorHAnsi"/>
        </w:rPr>
      </w:pPr>
    </w:p>
    <w:p w14:paraId="471CC84D" w14:textId="3AD3CF7A" w:rsidR="00E749B4" w:rsidRPr="00AB315F" w:rsidRDefault="001E6999" w:rsidP="005A7075">
      <w:pPr>
        <w:spacing w:after="240" w:line="360" w:lineRule="auto"/>
        <w:ind w:firstLine="708"/>
        <w:jc w:val="both"/>
        <w:rPr>
          <w:rFonts w:asciiTheme="minorHAnsi" w:hAnsiTheme="minorHAnsi"/>
        </w:rPr>
      </w:pPr>
      <w:r w:rsidRPr="00AB315F">
        <w:rPr>
          <w:rFonts w:asciiTheme="minorHAnsi" w:hAnsiTheme="minorHAnsi"/>
        </w:rPr>
        <w:t>A análise fatorial</w:t>
      </w:r>
      <w:r w:rsidR="00656889">
        <w:rPr>
          <w:rStyle w:val="Refdenotaderodap"/>
          <w:rFonts w:asciiTheme="minorHAnsi" w:hAnsiTheme="minorHAnsi"/>
        </w:rPr>
        <w:footnoteReference w:id="19"/>
      </w:r>
      <w:r w:rsidRPr="00AB315F">
        <w:rPr>
          <w:rFonts w:asciiTheme="minorHAnsi" w:hAnsiTheme="minorHAnsi"/>
        </w:rPr>
        <w:t xml:space="preserve"> exploratória gera ape</w:t>
      </w:r>
      <w:r w:rsidR="00457C4D" w:rsidRPr="00AB315F">
        <w:rPr>
          <w:rFonts w:asciiTheme="minorHAnsi" w:hAnsiTheme="minorHAnsi"/>
        </w:rPr>
        <w:t>nas um fator subjacente aos dados</w:t>
      </w:r>
      <w:r w:rsidR="00E749B4" w:rsidRPr="00AB315F">
        <w:rPr>
          <w:rFonts w:asciiTheme="minorHAnsi" w:hAnsiTheme="minorHAnsi"/>
        </w:rPr>
        <w:t xml:space="preserve"> e a estatística KMO (0,606) sugere que a adequabilidade</w:t>
      </w:r>
      <w:r w:rsidR="00DE189C" w:rsidRPr="00AB315F">
        <w:rPr>
          <w:rFonts w:asciiTheme="minorHAnsi" w:hAnsiTheme="minorHAnsi"/>
        </w:rPr>
        <w:t xml:space="preserve"> ao fator</w:t>
      </w:r>
      <w:r w:rsidR="00E749B4" w:rsidRPr="00AB315F">
        <w:rPr>
          <w:rFonts w:asciiTheme="minorHAnsi" w:hAnsiTheme="minorHAnsi"/>
        </w:rPr>
        <w:t xml:space="preserve"> dos dados é pobre – segundo Friel (2009)</w:t>
      </w:r>
      <w:r w:rsidR="00457C4D" w:rsidRPr="00AB315F">
        <w:rPr>
          <w:rFonts w:asciiTheme="minorHAnsi" w:hAnsiTheme="minorHAnsi"/>
        </w:rPr>
        <w:t xml:space="preserve">, </w:t>
      </w:r>
      <w:r w:rsidR="00E749B4" w:rsidRPr="00AB315F">
        <w:rPr>
          <w:rFonts w:asciiTheme="minorHAnsi" w:hAnsiTheme="minorHAnsi"/>
        </w:rPr>
        <w:t>porém</w:t>
      </w:r>
      <w:r w:rsidR="005308FF" w:rsidRPr="00AB315F">
        <w:rPr>
          <w:rFonts w:asciiTheme="minorHAnsi" w:hAnsiTheme="minorHAnsi"/>
        </w:rPr>
        <w:t>,</w:t>
      </w:r>
      <w:r w:rsidR="00E749B4" w:rsidRPr="00AB315F">
        <w:rPr>
          <w:rFonts w:asciiTheme="minorHAnsi" w:hAnsiTheme="minorHAnsi"/>
        </w:rPr>
        <w:t xml:space="preserve"> aceitável segundo Hair et al (2006)</w:t>
      </w:r>
      <w:r w:rsidR="00DE189C" w:rsidRPr="00AB315F">
        <w:rPr>
          <w:rFonts w:asciiTheme="minorHAnsi" w:hAnsiTheme="minorHAnsi"/>
        </w:rPr>
        <w:t xml:space="preserve"> e razoável </w:t>
      </w:r>
      <w:r w:rsidR="005308FF" w:rsidRPr="00AB315F">
        <w:rPr>
          <w:rFonts w:asciiTheme="minorHAnsi" w:hAnsiTheme="minorHAnsi"/>
        </w:rPr>
        <w:t>para</w:t>
      </w:r>
      <w:r w:rsidR="00DE189C" w:rsidRPr="00AB315F">
        <w:rPr>
          <w:rFonts w:asciiTheme="minorHAnsi" w:hAnsiTheme="minorHAnsi"/>
        </w:rPr>
        <w:t xml:space="preserve"> Palant (2007)</w:t>
      </w:r>
      <w:r w:rsidR="00E749B4" w:rsidRPr="00AB315F">
        <w:rPr>
          <w:rFonts w:asciiTheme="minorHAnsi" w:hAnsiTheme="minorHAnsi"/>
        </w:rPr>
        <w:t>.</w:t>
      </w:r>
    </w:p>
    <w:p w14:paraId="445EE397" w14:textId="494FDAAE" w:rsidR="001E6999" w:rsidRDefault="00E749B4" w:rsidP="005A7075">
      <w:pPr>
        <w:spacing w:after="240" w:line="360" w:lineRule="auto"/>
        <w:ind w:firstLine="708"/>
        <w:jc w:val="both"/>
        <w:rPr>
          <w:rFonts w:asciiTheme="minorHAnsi" w:hAnsiTheme="minorHAnsi"/>
        </w:rPr>
      </w:pPr>
      <w:r w:rsidRPr="00AB315F">
        <w:rPr>
          <w:rFonts w:asciiTheme="minorHAnsi" w:hAnsiTheme="minorHAnsi"/>
        </w:rPr>
        <w:t>Além disso</w:t>
      </w:r>
      <w:r w:rsidR="00457C4D" w:rsidRPr="00AB315F">
        <w:rPr>
          <w:rFonts w:asciiTheme="minorHAnsi" w:hAnsiTheme="minorHAnsi"/>
        </w:rPr>
        <w:t xml:space="preserve"> as </w:t>
      </w:r>
      <w:r w:rsidRPr="00AB315F">
        <w:rPr>
          <w:rFonts w:asciiTheme="minorHAnsi" w:hAnsiTheme="minorHAnsi"/>
        </w:rPr>
        <w:t xml:space="preserve">diferenças nas </w:t>
      </w:r>
      <w:r w:rsidR="00457C4D" w:rsidRPr="00AB315F">
        <w:rPr>
          <w:rFonts w:asciiTheme="minorHAnsi" w:hAnsiTheme="minorHAnsi"/>
        </w:rPr>
        <w:t>comunialidades de cada item e as cargas fatoriais</w:t>
      </w:r>
      <w:r w:rsidR="005308FF" w:rsidRPr="00AB315F">
        <w:rPr>
          <w:rFonts w:asciiTheme="minorHAnsi" w:hAnsiTheme="minorHAnsi"/>
        </w:rPr>
        <w:t xml:space="preserve"> fornecem evidências de</w:t>
      </w:r>
      <w:r w:rsidR="00457C4D" w:rsidRPr="00AB315F">
        <w:rPr>
          <w:rFonts w:asciiTheme="minorHAnsi" w:hAnsiTheme="minorHAnsi"/>
        </w:rPr>
        <w:t xml:space="preserve"> que os itens que utilizam cenários </w:t>
      </w:r>
      <w:r w:rsidRPr="00AB315F">
        <w:rPr>
          <w:rFonts w:asciiTheme="minorHAnsi" w:hAnsiTheme="minorHAnsi"/>
        </w:rPr>
        <w:t xml:space="preserve">- </w:t>
      </w:r>
      <w:r w:rsidR="00457C4D" w:rsidRPr="00AB315F">
        <w:rPr>
          <w:rFonts w:asciiTheme="minorHAnsi" w:hAnsiTheme="minorHAnsi"/>
        </w:rPr>
        <w:t>para abordar a questão da corrupção no cotidiano</w:t>
      </w:r>
      <w:r w:rsidRPr="00AB315F">
        <w:rPr>
          <w:rFonts w:asciiTheme="minorHAnsi" w:hAnsiTheme="minorHAnsi"/>
        </w:rPr>
        <w:t xml:space="preserve"> - não</w:t>
      </w:r>
      <w:r w:rsidR="00457C4D" w:rsidRPr="00AB315F">
        <w:rPr>
          <w:rFonts w:asciiTheme="minorHAnsi" w:hAnsiTheme="minorHAnsi"/>
        </w:rPr>
        <w:t xml:space="preserve"> estão </w:t>
      </w:r>
      <w:r w:rsidRPr="00AB315F">
        <w:rPr>
          <w:rFonts w:asciiTheme="minorHAnsi" w:hAnsiTheme="minorHAnsi"/>
        </w:rPr>
        <w:t>linearmente correlacionados com os itens “propina” e “impostos”</w:t>
      </w:r>
      <w:r w:rsidR="00DE189C" w:rsidRPr="00AB315F">
        <w:rPr>
          <w:rFonts w:asciiTheme="minorHAnsi" w:hAnsiTheme="minorHAnsi"/>
        </w:rPr>
        <w:t>. Ademais, a</w:t>
      </w:r>
      <w:r w:rsidR="005308FF" w:rsidRPr="00AB315F">
        <w:rPr>
          <w:rFonts w:asciiTheme="minorHAnsi" w:hAnsiTheme="minorHAnsi"/>
        </w:rPr>
        <w:t>s</w:t>
      </w:r>
      <w:r w:rsidR="00DE189C" w:rsidRPr="00AB315F">
        <w:rPr>
          <w:rFonts w:asciiTheme="minorHAnsi" w:hAnsiTheme="minorHAnsi"/>
        </w:rPr>
        <w:t xml:space="preserve"> comunialidade</w:t>
      </w:r>
      <w:r w:rsidR="005308FF" w:rsidRPr="00AB315F">
        <w:rPr>
          <w:rFonts w:asciiTheme="minorHAnsi" w:hAnsiTheme="minorHAnsi"/>
        </w:rPr>
        <w:t>s</w:t>
      </w:r>
      <w:r w:rsidR="00DE189C" w:rsidRPr="00AB315F">
        <w:rPr>
          <w:rFonts w:asciiTheme="minorHAnsi" w:hAnsiTheme="minorHAnsi"/>
        </w:rPr>
        <w:t xml:space="preserve"> dos quatros indicadores está abaixo de 0,5 o que significa um ajuste pobre dos dados. </w:t>
      </w:r>
    </w:p>
    <w:p w14:paraId="6079799A" w14:textId="484D2148" w:rsidR="00184EA2" w:rsidRPr="00184EA2" w:rsidRDefault="00184EA2" w:rsidP="00184EA2">
      <w:pPr>
        <w:spacing w:after="240" w:line="360" w:lineRule="auto"/>
        <w:jc w:val="center"/>
        <w:rPr>
          <w:rFonts w:asciiTheme="minorHAnsi" w:hAnsiTheme="minorHAnsi"/>
          <w:b/>
        </w:rPr>
      </w:pPr>
      <w:r w:rsidRPr="00184EA2">
        <w:rPr>
          <w:rFonts w:asciiTheme="minorHAnsi" w:hAnsiTheme="minorHAnsi"/>
          <w:b/>
        </w:rPr>
        <w:lastRenderedPageBreak/>
        <w:t>Gráfico 8. Fatores subjacentes de indicadores convergentes</w:t>
      </w:r>
    </w:p>
    <w:p w14:paraId="1A3F1CC0" w14:textId="142C490B" w:rsidR="00457C4D" w:rsidRDefault="00457C4D" w:rsidP="001734FD">
      <w:pPr>
        <w:spacing w:line="360" w:lineRule="auto"/>
        <w:jc w:val="center"/>
        <w:rPr>
          <w:rFonts w:asciiTheme="minorHAnsi" w:hAnsiTheme="minorHAnsi"/>
        </w:rPr>
      </w:pPr>
      <w:r w:rsidRPr="00AB315F">
        <w:rPr>
          <w:rFonts w:asciiTheme="minorHAnsi" w:hAnsiTheme="minorHAnsi"/>
          <w:noProof/>
        </w:rPr>
        <w:drawing>
          <wp:inline distT="0" distB="0" distL="0" distR="0" wp14:anchorId="01FAF734" wp14:editId="51666690">
            <wp:extent cx="3376930" cy="2243206"/>
            <wp:effectExtent l="0" t="0" r="0" b="5080"/>
            <wp:docPr id="265" name="Imagem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grafico eigenvalues AFE policóricas 2008.png"/>
                    <pic:cNvPicPr/>
                  </pic:nvPicPr>
                  <pic:blipFill rotWithShape="1">
                    <a:blip r:embed="rId18">
                      <a:grayscl/>
                      <a:extLst>
                        <a:ext uri="{28A0092B-C50C-407E-A947-70E740481C1C}">
                          <a14:useLocalDpi xmlns:a14="http://schemas.microsoft.com/office/drawing/2010/main" val="0"/>
                        </a:ext>
                      </a:extLst>
                    </a:blip>
                    <a:srcRect t="8734"/>
                    <a:stretch/>
                  </pic:blipFill>
                  <pic:spPr bwMode="auto">
                    <a:xfrm>
                      <a:off x="0" y="0"/>
                      <a:ext cx="3388299" cy="2250758"/>
                    </a:xfrm>
                    <a:prstGeom prst="rect">
                      <a:avLst/>
                    </a:prstGeom>
                    <a:ln>
                      <a:noFill/>
                    </a:ln>
                    <a:extLst>
                      <a:ext uri="{53640926-AAD7-44D8-BBD7-CCE9431645EC}">
                        <a14:shadowObscured xmlns:a14="http://schemas.microsoft.com/office/drawing/2010/main"/>
                      </a:ext>
                    </a:extLst>
                  </pic:spPr>
                </pic:pic>
              </a:graphicData>
            </a:graphic>
          </wp:inline>
        </w:drawing>
      </w:r>
    </w:p>
    <w:p w14:paraId="22E24C57" w14:textId="3B25D3EB" w:rsidR="001F728A" w:rsidRPr="001F728A" w:rsidRDefault="001F728A" w:rsidP="001F728A">
      <w:pPr>
        <w:spacing w:line="360" w:lineRule="auto"/>
        <w:jc w:val="center"/>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 </w:t>
      </w:r>
      <w:r>
        <w:rPr>
          <w:rFonts w:ascii="Calibri" w:hAnsi="Calibri"/>
          <w:sz w:val="20"/>
          <w:szCs w:val="22"/>
        </w:rPr>
        <w:t>elaboração própria</w:t>
      </w:r>
    </w:p>
    <w:p w14:paraId="35B604C8" w14:textId="77777777" w:rsidR="001F728A" w:rsidRDefault="001F728A" w:rsidP="001734FD">
      <w:pPr>
        <w:spacing w:line="360" w:lineRule="auto"/>
        <w:jc w:val="center"/>
        <w:rPr>
          <w:rFonts w:asciiTheme="minorHAnsi" w:hAnsiTheme="minorHAnsi"/>
        </w:rPr>
      </w:pPr>
    </w:p>
    <w:p w14:paraId="1FD27041" w14:textId="77777777" w:rsidR="00184EA2" w:rsidRDefault="00184EA2" w:rsidP="001734FD">
      <w:pPr>
        <w:spacing w:line="360" w:lineRule="auto"/>
        <w:jc w:val="center"/>
        <w:rPr>
          <w:rFonts w:asciiTheme="minorHAnsi" w:hAnsiTheme="minorHAnsi"/>
        </w:rPr>
      </w:pPr>
    </w:p>
    <w:p w14:paraId="67292C7A" w14:textId="48CA3C8B" w:rsidR="00184EA2" w:rsidRPr="00184EA2" w:rsidRDefault="00184EA2" w:rsidP="001734FD">
      <w:pPr>
        <w:spacing w:line="360" w:lineRule="auto"/>
        <w:jc w:val="center"/>
        <w:rPr>
          <w:rFonts w:asciiTheme="minorHAnsi" w:hAnsiTheme="minorHAnsi"/>
          <w:b/>
        </w:rPr>
      </w:pPr>
      <w:r w:rsidRPr="00184EA2">
        <w:rPr>
          <w:rFonts w:asciiTheme="minorHAnsi" w:hAnsiTheme="minorHAnsi"/>
          <w:b/>
        </w:rPr>
        <w:t>Tabela 9. Análise fatorial exploratória indicadores convergentes</w:t>
      </w:r>
    </w:p>
    <w:tbl>
      <w:tblPr>
        <w:tblW w:w="5260" w:type="dxa"/>
        <w:jc w:val="center"/>
        <w:tblCellMar>
          <w:left w:w="0" w:type="dxa"/>
          <w:right w:w="0" w:type="dxa"/>
        </w:tblCellMar>
        <w:tblLook w:val="04A0" w:firstRow="1" w:lastRow="0" w:firstColumn="1" w:lastColumn="0" w:noHBand="0" w:noVBand="1"/>
      </w:tblPr>
      <w:tblGrid>
        <w:gridCol w:w="960"/>
        <w:gridCol w:w="880"/>
        <w:gridCol w:w="1220"/>
        <w:gridCol w:w="1300"/>
        <w:gridCol w:w="1120"/>
      </w:tblGrid>
      <w:tr w:rsidR="0047170B" w:rsidRPr="00AB315F" w14:paraId="73D875FE" w14:textId="77777777" w:rsidTr="005D5DC8">
        <w:trPr>
          <w:trHeight w:val="290"/>
          <w:jc w:val="center"/>
        </w:trPr>
        <w:tc>
          <w:tcPr>
            <w:tcW w:w="9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B6CA12" w14:textId="5142E431" w:rsidR="0047170B" w:rsidRPr="00AB315F" w:rsidRDefault="0047170B" w:rsidP="005D5DC8">
            <w:pPr>
              <w:jc w:val="center"/>
              <w:rPr>
                <w:rFonts w:ascii="Calibri" w:hAnsi="Calibri"/>
                <w:sz w:val="22"/>
                <w:szCs w:val="22"/>
              </w:rPr>
            </w:pPr>
            <w:r w:rsidRPr="00AB315F">
              <w:rPr>
                <w:rFonts w:ascii="Calibri" w:hAnsi="Calibri"/>
                <w:sz w:val="22"/>
                <w:szCs w:val="22"/>
              </w:rPr>
              <w:t>Fator</w:t>
            </w:r>
          </w:p>
        </w:tc>
        <w:tc>
          <w:tcPr>
            <w:tcW w:w="88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7302E9" w14:textId="6C45E134" w:rsidR="0047170B" w:rsidRPr="00AB315F" w:rsidRDefault="0047170B">
            <w:pPr>
              <w:jc w:val="center"/>
              <w:rPr>
                <w:rFonts w:ascii="Calibri" w:hAnsi="Calibri"/>
                <w:sz w:val="22"/>
                <w:szCs w:val="22"/>
              </w:rPr>
            </w:pPr>
            <w:r w:rsidRPr="00AB315F">
              <w:rPr>
                <w:rFonts w:ascii="Calibri" w:hAnsi="Calibri"/>
                <w:sz w:val="22"/>
                <w:szCs w:val="22"/>
              </w:rPr>
              <w:t>V</w:t>
            </w:r>
            <w:r w:rsidR="005D5DC8">
              <w:rPr>
                <w:rFonts w:ascii="Calibri" w:hAnsi="Calibri"/>
                <w:sz w:val="22"/>
                <w:szCs w:val="22"/>
              </w:rPr>
              <w:t>ariança</w:t>
            </w:r>
          </w:p>
        </w:tc>
        <w:tc>
          <w:tcPr>
            <w:tcW w:w="122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436D7A" w14:textId="0B19E6CB" w:rsidR="0047170B" w:rsidRPr="00AB315F" w:rsidRDefault="005D5DC8">
            <w:pPr>
              <w:jc w:val="center"/>
              <w:rPr>
                <w:rFonts w:ascii="Calibri" w:hAnsi="Calibri"/>
                <w:sz w:val="22"/>
                <w:szCs w:val="22"/>
              </w:rPr>
            </w:pPr>
            <w:r>
              <w:rPr>
                <w:rFonts w:ascii="Calibri" w:hAnsi="Calibri"/>
                <w:sz w:val="22"/>
                <w:szCs w:val="22"/>
              </w:rPr>
              <w:t>Diferença</w:t>
            </w:r>
          </w:p>
        </w:tc>
        <w:tc>
          <w:tcPr>
            <w:tcW w:w="1080"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hideMark/>
          </w:tcPr>
          <w:p w14:paraId="03CBAA14" w14:textId="3FA80C20" w:rsidR="0047170B" w:rsidRPr="00AB315F" w:rsidRDefault="005D5DC8">
            <w:pPr>
              <w:jc w:val="center"/>
              <w:rPr>
                <w:rFonts w:ascii="Calibri" w:hAnsi="Calibri"/>
                <w:sz w:val="22"/>
                <w:szCs w:val="22"/>
              </w:rPr>
            </w:pPr>
            <w:r>
              <w:rPr>
                <w:rFonts w:ascii="Calibri" w:hAnsi="Calibri"/>
                <w:sz w:val="22"/>
                <w:szCs w:val="22"/>
              </w:rPr>
              <w:t>Proporção</w:t>
            </w:r>
          </w:p>
        </w:tc>
        <w:tc>
          <w:tcPr>
            <w:tcW w:w="112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14:paraId="3748830E" w14:textId="027A87EC" w:rsidR="0047170B" w:rsidRPr="00AB315F" w:rsidRDefault="0047170B">
            <w:pPr>
              <w:jc w:val="center"/>
              <w:rPr>
                <w:rFonts w:ascii="Calibri" w:hAnsi="Calibri"/>
                <w:sz w:val="22"/>
                <w:szCs w:val="22"/>
              </w:rPr>
            </w:pPr>
          </w:p>
        </w:tc>
      </w:tr>
      <w:tr w:rsidR="0047170B" w:rsidRPr="00AB315F" w14:paraId="0C9A674F" w14:textId="77777777" w:rsidTr="005D5DC8">
        <w:trPr>
          <w:trHeight w:val="290"/>
          <w:jc w:val="center"/>
        </w:trPr>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337D2B" w14:textId="77777777" w:rsidR="0047170B" w:rsidRPr="00AB315F" w:rsidRDefault="0047170B">
            <w:pPr>
              <w:jc w:val="center"/>
              <w:rPr>
                <w:rFonts w:ascii="Calibri" w:hAnsi="Calibri"/>
                <w:sz w:val="22"/>
                <w:szCs w:val="22"/>
              </w:rPr>
            </w:pPr>
            <w:r w:rsidRPr="00AB315F">
              <w:rPr>
                <w:rFonts w:ascii="Calibri" w:hAnsi="Calibri"/>
                <w:sz w:val="22"/>
                <w:szCs w:val="22"/>
              </w:rPr>
              <w:t>Factor1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55CA0B" w14:textId="77777777" w:rsidR="0047170B" w:rsidRPr="00AB315F" w:rsidRDefault="0047170B">
            <w:pPr>
              <w:jc w:val="center"/>
              <w:rPr>
                <w:rFonts w:ascii="Calibri" w:hAnsi="Calibri"/>
                <w:sz w:val="22"/>
                <w:szCs w:val="22"/>
              </w:rPr>
            </w:pPr>
            <w:r w:rsidRPr="00AB315F">
              <w:rPr>
                <w:rFonts w:ascii="Calibri" w:hAnsi="Calibri"/>
                <w:sz w:val="22"/>
                <w:szCs w:val="22"/>
              </w:rPr>
              <w:t>101.779</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34BF4C" w14:textId="77777777" w:rsidR="0047170B" w:rsidRPr="00AB315F" w:rsidRDefault="0047170B">
            <w:pPr>
              <w:jc w:val="center"/>
              <w:rPr>
                <w:rFonts w:ascii="Calibri" w:hAnsi="Calibri"/>
                <w:sz w:val="22"/>
                <w:szCs w:val="22"/>
              </w:rPr>
            </w:pPr>
            <w:r w:rsidRPr="00AB315F">
              <w:rPr>
                <w:rFonts w:ascii="Calibri" w:hAnsi="Calibri"/>
                <w:sz w:val="22"/>
                <w:szCs w:val="22"/>
              </w:rPr>
              <w:t>.</w:t>
            </w:r>
          </w:p>
        </w:tc>
        <w:tc>
          <w:tcPr>
            <w:tcW w:w="0" w:type="auto"/>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center"/>
            <w:hideMark/>
          </w:tcPr>
          <w:p w14:paraId="5C9B7C08" w14:textId="77777777" w:rsidR="0047170B" w:rsidRPr="00AB315F" w:rsidRDefault="0047170B">
            <w:pPr>
              <w:jc w:val="center"/>
              <w:rPr>
                <w:rFonts w:ascii="Calibri" w:hAnsi="Calibri"/>
                <w:sz w:val="22"/>
                <w:szCs w:val="22"/>
              </w:rPr>
            </w:pPr>
            <w:r w:rsidRPr="00AB315F">
              <w:rPr>
                <w:rFonts w:ascii="Calibri" w:hAnsi="Calibri"/>
                <w:sz w:val="22"/>
                <w:szCs w:val="22"/>
              </w:rPr>
              <w:t>14.059</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53F22C4D" w14:textId="77777777" w:rsidR="0047170B" w:rsidRPr="00AB315F" w:rsidRDefault="0047170B">
            <w:pPr>
              <w:jc w:val="center"/>
              <w:rPr>
                <w:rFonts w:ascii="Calibri" w:hAnsi="Calibri"/>
                <w:sz w:val="22"/>
                <w:szCs w:val="22"/>
              </w:rPr>
            </w:pPr>
            <w:r w:rsidRPr="00AB315F">
              <w:rPr>
                <w:rFonts w:ascii="Calibri" w:hAnsi="Calibri"/>
                <w:sz w:val="22"/>
                <w:szCs w:val="22"/>
              </w:rPr>
              <w:t>14.059</w:t>
            </w:r>
          </w:p>
        </w:tc>
      </w:tr>
      <w:tr w:rsidR="0047170B" w:rsidRPr="00AB315F" w14:paraId="6FEA7327" w14:textId="77777777" w:rsidTr="0047170B">
        <w:trPr>
          <w:trHeight w:val="29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1A79F34E" w14:textId="77777777" w:rsidR="0047170B" w:rsidRPr="00AB315F" w:rsidRDefault="0047170B">
            <w:pPr>
              <w:jc w:val="center"/>
              <w:rPr>
                <w:rFonts w:ascii="Calibri" w:hAnsi="Calibri"/>
                <w:sz w:val="22"/>
                <w:szCs w:val="22"/>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5377B440" w14:textId="77777777" w:rsidR="0047170B" w:rsidRPr="00AB315F" w:rsidRDefault="0047170B">
            <w:pPr>
              <w:jc w:val="cente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324AEEF1" w14:textId="77777777" w:rsidR="0047170B" w:rsidRPr="00AB315F" w:rsidRDefault="0047170B">
            <w:pPr>
              <w:jc w:val="cente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7FBD5868" w14:textId="77777777" w:rsidR="0047170B" w:rsidRPr="00AB315F" w:rsidRDefault="0047170B">
            <w:pPr>
              <w:jc w:val="center"/>
              <w:rPr>
                <w:sz w:val="20"/>
                <w:szCs w:val="20"/>
              </w:rPr>
            </w:pP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1DF58B37" w14:textId="77777777" w:rsidR="0047170B" w:rsidRPr="00AB315F" w:rsidRDefault="0047170B">
            <w:pPr>
              <w:jc w:val="center"/>
              <w:rPr>
                <w:sz w:val="20"/>
                <w:szCs w:val="20"/>
              </w:rPr>
            </w:pPr>
          </w:p>
        </w:tc>
      </w:tr>
      <w:tr w:rsidR="0047170B" w:rsidRPr="00AB315F" w14:paraId="76999BC0" w14:textId="77777777" w:rsidTr="0047170B">
        <w:trPr>
          <w:trHeight w:val="29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0508586" w14:textId="77777777" w:rsidR="0047170B" w:rsidRPr="00AB315F" w:rsidRDefault="0047170B">
            <w:pPr>
              <w:jc w:val="center"/>
              <w:rPr>
                <w:sz w:val="20"/>
                <w:szCs w:val="20"/>
              </w:rPr>
            </w:pP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1F1DF3" w14:textId="338D5D59" w:rsidR="0047170B" w:rsidRPr="00AB315F" w:rsidRDefault="005D5DC8">
            <w:pPr>
              <w:jc w:val="center"/>
              <w:rPr>
                <w:rFonts w:ascii="Calibri" w:hAnsi="Calibri"/>
                <w:sz w:val="22"/>
                <w:szCs w:val="22"/>
              </w:rPr>
            </w:pPr>
            <w:r>
              <w:rPr>
                <w:rFonts w:ascii="Calibri" w:hAnsi="Calibri"/>
                <w:sz w:val="22"/>
                <w:szCs w:val="22"/>
              </w:rPr>
              <w:t>Variável</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0CCDCED" w14:textId="7B7AD302" w:rsidR="0047170B" w:rsidRPr="00AB315F" w:rsidRDefault="005D5DC8">
            <w:pPr>
              <w:jc w:val="center"/>
              <w:rPr>
                <w:rFonts w:ascii="Calibri" w:hAnsi="Calibri"/>
                <w:sz w:val="22"/>
                <w:szCs w:val="22"/>
              </w:rPr>
            </w:pPr>
            <w:r>
              <w:rPr>
                <w:rFonts w:ascii="Calibri" w:hAnsi="Calibri"/>
                <w:sz w:val="22"/>
                <w:szCs w:val="22"/>
              </w:rPr>
              <w:t>Fa</w:t>
            </w:r>
            <w:r w:rsidR="0047170B" w:rsidRPr="00AB315F">
              <w:rPr>
                <w:rFonts w:ascii="Calibri" w:hAnsi="Calibri"/>
                <w:sz w:val="22"/>
                <w:szCs w:val="22"/>
              </w:rPr>
              <w:t>tor1</w:t>
            </w:r>
          </w:p>
        </w:tc>
        <w:tc>
          <w:tcPr>
            <w:tcW w:w="0" w:type="auto"/>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center"/>
            <w:hideMark/>
          </w:tcPr>
          <w:p w14:paraId="5E444E6E" w14:textId="118ECB27" w:rsidR="0047170B" w:rsidRPr="00AB315F" w:rsidRDefault="005D5DC8" w:rsidP="005D5DC8">
            <w:pPr>
              <w:jc w:val="center"/>
              <w:rPr>
                <w:rFonts w:ascii="Calibri" w:hAnsi="Calibri"/>
                <w:sz w:val="22"/>
                <w:szCs w:val="22"/>
              </w:rPr>
            </w:pPr>
            <w:r>
              <w:rPr>
                <w:rFonts w:ascii="Calibri" w:hAnsi="Calibri"/>
                <w:sz w:val="22"/>
                <w:szCs w:val="22"/>
              </w:rPr>
              <w:t>Especificidade</w:t>
            </w:r>
            <w:r w:rsidR="0047170B" w:rsidRPr="00AB315F">
              <w:rPr>
                <w:rFonts w:ascii="Calibri" w:hAnsi="Calibri"/>
                <w:sz w:val="22"/>
                <w:szCs w:val="22"/>
              </w:rPr>
              <w:t xml:space="preserve"> </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7D81C619" w14:textId="77777777" w:rsidR="0047170B" w:rsidRPr="00AB315F" w:rsidRDefault="0047170B">
            <w:pPr>
              <w:jc w:val="center"/>
              <w:rPr>
                <w:rFonts w:ascii="Calibri" w:hAnsi="Calibri"/>
                <w:sz w:val="22"/>
                <w:szCs w:val="22"/>
              </w:rPr>
            </w:pPr>
          </w:p>
        </w:tc>
      </w:tr>
      <w:tr w:rsidR="0047170B" w:rsidRPr="00AB315F" w14:paraId="21E90AB6" w14:textId="77777777" w:rsidTr="0047170B">
        <w:trPr>
          <w:trHeight w:val="29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DF8F986" w14:textId="77777777" w:rsidR="0047170B" w:rsidRPr="00AB315F" w:rsidRDefault="0047170B">
            <w:pPr>
              <w:jc w:val="center"/>
              <w:rPr>
                <w:sz w:val="20"/>
                <w:szCs w:val="20"/>
              </w:rPr>
            </w:pP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14:paraId="538995B8" w14:textId="77777777" w:rsidR="0047170B" w:rsidRPr="00AB315F" w:rsidRDefault="0047170B">
            <w:pPr>
              <w:jc w:val="center"/>
              <w:rPr>
                <w:rFonts w:ascii="Calibri" w:hAnsi="Calibri"/>
                <w:sz w:val="22"/>
                <w:szCs w:val="22"/>
              </w:rPr>
            </w:pPr>
            <w:r w:rsidRPr="00AB315F">
              <w:rPr>
                <w:rFonts w:ascii="Calibri" w:hAnsi="Calibri"/>
                <w:sz w:val="22"/>
                <w:szCs w:val="22"/>
              </w:rPr>
              <w:t>propina</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14:paraId="6041A06A" w14:textId="77777777" w:rsidR="0047170B" w:rsidRPr="00AB315F" w:rsidRDefault="0047170B">
            <w:pPr>
              <w:jc w:val="center"/>
              <w:rPr>
                <w:rFonts w:ascii="Calibri" w:hAnsi="Calibri"/>
                <w:sz w:val="22"/>
                <w:szCs w:val="22"/>
              </w:rPr>
            </w:pPr>
            <w:r w:rsidRPr="00AB315F">
              <w:rPr>
                <w:rFonts w:ascii="Calibri" w:hAnsi="Calibri"/>
                <w:sz w:val="22"/>
                <w:szCs w:val="22"/>
              </w:rPr>
              <w:t>0.4370</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50B3E3EA" w14:textId="77777777" w:rsidR="0047170B" w:rsidRPr="00AB315F" w:rsidRDefault="0047170B">
            <w:pPr>
              <w:jc w:val="center"/>
              <w:rPr>
                <w:rFonts w:ascii="Calibri" w:hAnsi="Calibri"/>
                <w:sz w:val="22"/>
                <w:szCs w:val="22"/>
              </w:rPr>
            </w:pPr>
            <w:r w:rsidRPr="00AB315F">
              <w:rPr>
                <w:rFonts w:ascii="Calibri" w:hAnsi="Calibri"/>
                <w:sz w:val="22"/>
                <w:szCs w:val="22"/>
              </w:rPr>
              <w:t>0.8090</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203B66F2" w14:textId="77777777" w:rsidR="0047170B" w:rsidRPr="00AB315F" w:rsidRDefault="0047170B">
            <w:pPr>
              <w:jc w:val="center"/>
              <w:rPr>
                <w:rFonts w:ascii="Calibri" w:hAnsi="Calibri"/>
                <w:sz w:val="22"/>
                <w:szCs w:val="22"/>
              </w:rPr>
            </w:pPr>
          </w:p>
        </w:tc>
      </w:tr>
      <w:tr w:rsidR="0047170B" w:rsidRPr="00AB315F" w14:paraId="6FAB19FA" w14:textId="77777777" w:rsidTr="0047170B">
        <w:trPr>
          <w:trHeight w:val="29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44CB5D2" w14:textId="77777777" w:rsidR="0047170B" w:rsidRPr="00AB315F" w:rsidRDefault="0047170B">
            <w:pPr>
              <w:jc w:val="center"/>
              <w:rPr>
                <w:sz w:val="20"/>
                <w:szCs w:val="20"/>
              </w:rPr>
            </w:pP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14:paraId="0DE7FAA1" w14:textId="77777777" w:rsidR="0047170B" w:rsidRPr="00AB315F" w:rsidRDefault="0047170B">
            <w:pPr>
              <w:jc w:val="center"/>
              <w:rPr>
                <w:rFonts w:ascii="Calibri" w:hAnsi="Calibri"/>
                <w:sz w:val="22"/>
                <w:szCs w:val="22"/>
              </w:rPr>
            </w:pPr>
            <w:r w:rsidRPr="00AB315F">
              <w:rPr>
                <w:rFonts w:ascii="Calibri" w:hAnsi="Calibri"/>
                <w:sz w:val="22"/>
                <w:szCs w:val="22"/>
              </w:rPr>
              <w:t>impostos</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14:paraId="1786B4F4" w14:textId="77777777" w:rsidR="0047170B" w:rsidRPr="00AB315F" w:rsidRDefault="0047170B">
            <w:pPr>
              <w:jc w:val="center"/>
              <w:rPr>
                <w:rFonts w:ascii="Calibri" w:hAnsi="Calibri"/>
                <w:sz w:val="22"/>
                <w:szCs w:val="22"/>
              </w:rPr>
            </w:pPr>
            <w:r w:rsidRPr="00AB315F">
              <w:rPr>
                <w:rFonts w:ascii="Calibri" w:hAnsi="Calibri"/>
                <w:sz w:val="22"/>
                <w:szCs w:val="22"/>
              </w:rPr>
              <w:t>0.2026</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25D8AC8A" w14:textId="77777777" w:rsidR="0047170B" w:rsidRPr="00AB315F" w:rsidRDefault="0047170B">
            <w:pPr>
              <w:jc w:val="center"/>
              <w:rPr>
                <w:rFonts w:ascii="Calibri" w:hAnsi="Calibri"/>
                <w:sz w:val="22"/>
                <w:szCs w:val="22"/>
              </w:rPr>
            </w:pPr>
            <w:r w:rsidRPr="00AB315F">
              <w:rPr>
                <w:rFonts w:ascii="Calibri" w:hAnsi="Calibri"/>
                <w:sz w:val="22"/>
                <w:szCs w:val="22"/>
              </w:rPr>
              <w:t>0.9590</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045FF0F2" w14:textId="77777777" w:rsidR="0047170B" w:rsidRPr="00AB315F" w:rsidRDefault="0047170B">
            <w:pPr>
              <w:jc w:val="center"/>
              <w:rPr>
                <w:rFonts w:ascii="Calibri" w:hAnsi="Calibri"/>
                <w:sz w:val="22"/>
                <w:szCs w:val="22"/>
              </w:rPr>
            </w:pPr>
          </w:p>
        </w:tc>
      </w:tr>
      <w:tr w:rsidR="0047170B" w:rsidRPr="00AB315F" w14:paraId="419D9CBC" w14:textId="77777777" w:rsidTr="0047170B">
        <w:trPr>
          <w:trHeight w:val="29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2107027" w14:textId="77777777" w:rsidR="0047170B" w:rsidRPr="00AB315F" w:rsidRDefault="0047170B">
            <w:pPr>
              <w:jc w:val="center"/>
              <w:rPr>
                <w:sz w:val="20"/>
                <w:szCs w:val="20"/>
              </w:rPr>
            </w:pP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14:paraId="1BAB440A" w14:textId="77777777" w:rsidR="0047170B" w:rsidRPr="00AB315F" w:rsidRDefault="0047170B">
            <w:pPr>
              <w:jc w:val="center"/>
              <w:rPr>
                <w:rFonts w:ascii="Calibri" w:hAnsi="Calibri"/>
                <w:sz w:val="22"/>
                <w:szCs w:val="22"/>
              </w:rPr>
            </w:pPr>
            <w:r w:rsidRPr="00AB315F">
              <w:rPr>
                <w:rFonts w:ascii="Calibri" w:hAnsi="Calibri"/>
                <w:sz w:val="22"/>
                <w:szCs w:val="22"/>
              </w:rPr>
              <w:t>cenário 1</w:t>
            </w:r>
          </w:p>
        </w:tc>
        <w:tc>
          <w:tcPr>
            <w:tcW w:w="0" w:type="auto"/>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14:paraId="145DEC22" w14:textId="77777777" w:rsidR="0047170B" w:rsidRPr="00AB315F" w:rsidRDefault="0047170B">
            <w:pPr>
              <w:jc w:val="center"/>
              <w:rPr>
                <w:rFonts w:ascii="Calibri" w:hAnsi="Calibri"/>
                <w:sz w:val="22"/>
                <w:szCs w:val="22"/>
              </w:rPr>
            </w:pPr>
            <w:r w:rsidRPr="00AB315F">
              <w:rPr>
                <w:rFonts w:ascii="Calibri" w:hAnsi="Calibri"/>
                <w:sz w:val="22"/>
                <w:szCs w:val="22"/>
              </w:rPr>
              <w:t>0.6273</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7238862D" w14:textId="77777777" w:rsidR="0047170B" w:rsidRPr="00AB315F" w:rsidRDefault="0047170B">
            <w:pPr>
              <w:jc w:val="center"/>
              <w:rPr>
                <w:rFonts w:ascii="Calibri" w:hAnsi="Calibri"/>
                <w:sz w:val="22"/>
                <w:szCs w:val="22"/>
              </w:rPr>
            </w:pPr>
            <w:r w:rsidRPr="00AB315F">
              <w:rPr>
                <w:rFonts w:ascii="Calibri" w:hAnsi="Calibri"/>
                <w:sz w:val="22"/>
                <w:szCs w:val="22"/>
              </w:rPr>
              <w:t>0.6065</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7D806487" w14:textId="77777777" w:rsidR="0047170B" w:rsidRPr="00AB315F" w:rsidRDefault="0047170B">
            <w:pPr>
              <w:jc w:val="center"/>
              <w:rPr>
                <w:rFonts w:ascii="Calibri" w:hAnsi="Calibri"/>
                <w:sz w:val="22"/>
                <w:szCs w:val="22"/>
              </w:rPr>
            </w:pPr>
          </w:p>
        </w:tc>
      </w:tr>
      <w:tr w:rsidR="0047170B" w:rsidRPr="00AB315F" w14:paraId="0B51941C" w14:textId="77777777" w:rsidTr="0047170B">
        <w:trPr>
          <w:trHeight w:val="290"/>
          <w:jc w:val="center"/>
        </w:trPr>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56929E5B" w14:textId="77777777" w:rsidR="0047170B" w:rsidRPr="00AB315F" w:rsidRDefault="0047170B">
            <w:pPr>
              <w:jc w:val="center"/>
              <w:rPr>
                <w:sz w:val="20"/>
                <w:szCs w:val="20"/>
              </w:rPr>
            </w:pP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D1DC87" w14:textId="77777777" w:rsidR="0047170B" w:rsidRPr="00AB315F" w:rsidRDefault="0047170B">
            <w:pPr>
              <w:jc w:val="center"/>
              <w:rPr>
                <w:rFonts w:ascii="Calibri" w:hAnsi="Calibri"/>
                <w:sz w:val="22"/>
                <w:szCs w:val="22"/>
              </w:rPr>
            </w:pPr>
            <w:r w:rsidRPr="00AB315F">
              <w:rPr>
                <w:rFonts w:ascii="Calibri" w:hAnsi="Calibri"/>
                <w:sz w:val="22"/>
                <w:szCs w:val="22"/>
              </w:rPr>
              <w:t>cenário 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060E37" w14:textId="77777777" w:rsidR="0047170B" w:rsidRPr="00AB315F" w:rsidRDefault="0047170B">
            <w:pPr>
              <w:jc w:val="center"/>
              <w:rPr>
                <w:rFonts w:ascii="Calibri" w:hAnsi="Calibri"/>
                <w:sz w:val="22"/>
                <w:szCs w:val="22"/>
              </w:rPr>
            </w:pPr>
            <w:r w:rsidRPr="00AB315F">
              <w:rPr>
                <w:rFonts w:ascii="Calibri" w:hAnsi="Calibri"/>
                <w:sz w:val="22"/>
                <w:szCs w:val="22"/>
              </w:rPr>
              <w:t>0.6263</w:t>
            </w:r>
          </w:p>
        </w:tc>
        <w:tc>
          <w:tcPr>
            <w:tcW w:w="0" w:type="auto"/>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14:paraId="325C58C1" w14:textId="77777777" w:rsidR="0047170B" w:rsidRPr="00AB315F" w:rsidRDefault="0047170B">
            <w:pPr>
              <w:jc w:val="center"/>
              <w:rPr>
                <w:rFonts w:ascii="Calibri" w:hAnsi="Calibri"/>
                <w:sz w:val="22"/>
                <w:szCs w:val="22"/>
              </w:rPr>
            </w:pPr>
            <w:r w:rsidRPr="00AB315F">
              <w:rPr>
                <w:rFonts w:ascii="Calibri" w:hAnsi="Calibri"/>
                <w:sz w:val="22"/>
                <w:szCs w:val="22"/>
              </w:rPr>
              <w:t>0.6077</w:t>
            </w:r>
          </w:p>
        </w:tc>
        <w:tc>
          <w:tcPr>
            <w:tcW w:w="0" w:type="auto"/>
            <w:tcBorders>
              <w:top w:val="nil"/>
              <w:left w:val="nil"/>
              <w:bottom w:val="nil"/>
              <w:right w:val="nil"/>
            </w:tcBorders>
            <w:shd w:val="clear" w:color="auto" w:fill="auto"/>
            <w:noWrap/>
            <w:tcMar>
              <w:top w:w="15" w:type="dxa"/>
              <w:left w:w="15" w:type="dxa"/>
              <w:bottom w:w="0" w:type="dxa"/>
              <w:right w:w="15" w:type="dxa"/>
            </w:tcMar>
            <w:vAlign w:val="center"/>
            <w:hideMark/>
          </w:tcPr>
          <w:p w14:paraId="1BC5B8DC" w14:textId="77777777" w:rsidR="0047170B" w:rsidRPr="00AB315F" w:rsidRDefault="0047170B">
            <w:pPr>
              <w:jc w:val="center"/>
              <w:rPr>
                <w:rFonts w:ascii="Calibri" w:hAnsi="Calibri"/>
                <w:sz w:val="22"/>
                <w:szCs w:val="22"/>
              </w:rPr>
            </w:pPr>
          </w:p>
        </w:tc>
      </w:tr>
    </w:tbl>
    <w:p w14:paraId="44685AD6" w14:textId="7D474393" w:rsidR="00760C7D" w:rsidRPr="00AB315F" w:rsidRDefault="00457C4D" w:rsidP="0047170B">
      <w:pPr>
        <w:spacing w:line="360" w:lineRule="auto"/>
        <w:ind w:left="2124" w:firstLine="708"/>
        <w:rPr>
          <w:rFonts w:asciiTheme="minorHAnsi" w:hAnsiTheme="minorHAnsi"/>
        </w:rPr>
      </w:pPr>
      <w:r w:rsidRPr="00AB315F">
        <w:rPr>
          <w:rFonts w:asciiTheme="minorHAnsi" w:hAnsiTheme="minorHAnsi"/>
        </w:rPr>
        <w:t>KMO test: 0,606</w:t>
      </w:r>
    </w:p>
    <w:p w14:paraId="5F057708" w14:textId="77777777" w:rsidR="00DE189C" w:rsidRPr="00AB315F" w:rsidRDefault="00DE189C" w:rsidP="00B35BE0">
      <w:pPr>
        <w:spacing w:line="360" w:lineRule="auto"/>
        <w:jc w:val="both"/>
        <w:rPr>
          <w:rFonts w:asciiTheme="minorHAnsi" w:hAnsiTheme="minorHAnsi"/>
          <w:u w:val="single"/>
        </w:rPr>
      </w:pPr>
    </w:p>
    <w:p w14:paraId="6FB44C3D" w14:textId="7C2A6978" w:rsidR="00DE189C" w:rsidRDefault="00DE189C" w:rsidP="005A7075">
      <w:pPr>
        <w:spacing w:after="240" w:line="360" w:lineRule="auto"/>
        <w:ind w:firstLine="708"/>
        <w:jc w:val="both"/>
        <w:rPr>
          <w:rFonts w:asciiTheme="minorHAnsi" w:hAnsiTheme="minorHAnsi"/>
        </w:rPr>
      </w:pPr>
      <w:r w:rsidRPr="00AB315F">
        <w:rPr>
          <w:rFonts w:asciiTheme="minorHAnsi" w:hAnsiTheme="minorHAnsi"/>
        </w:rPr>
        <w:t>Por sua vez, a estatística alpha de Cronbac</w:t>
      </w:r>
      <w:r w:rsidR="0091109F" w:rsidRPr="00AB315F">
        <w:rPr>
          <w:rFonts w:asciiTheme="minorHAnsi" w:hAnsiTheme="minorHAnsi"/>
        </w:rPr>
        <w:t>h é consideravelmente baixa (0,3</w:t>
      </w:r>
      <w:r w:rsidR="003252AC" w:rsidRPr="00AB315F">
        <w:rPr>
          <w:rFonts w:asciiTheme="minorHAnsi" w:hAnsiTheme="minorHAnsi"/>
        </w:rPr>
        <w:t>962</w:t>
      </w:r>
      <w:r w:rsidRPr="00AB315F">
        <w:rPr>
          <w:rFonts w:asciiTheme="minorHAnsi" w:hAnsiTheme="minorHAnsi"/>
        </w:rPr>
        <w:t xml:space="preserve">) </w:t>
      </w:r>
      <w:r w:rsidR="003252AC" w:rsidRPr="00AB315F">
        <w:rPr>
          <w:rFonts w:asciiTheme="minorHAnsi" w:hAnsiTheme="minorHAnsi"/>
        </w:rPr>
        <w:t>o que significa baixa correlação entre os itens e o fator subjacente “aceitação da corrupção no âmbito do cotidiano”. Por sua vez</w:t>
      </w:r>
      <w:r w:rsidR="0047170B" w:rsidRPr="00AB315F">
        <w:rPr>
          <w:rFonts w:asciiTheme="minorHAnsi" w:hAnsiTheme="minorHAnsi"/>
        </w:rPr>
        <w:t>,</w:t>
      </w:r>
      <w:r w:rsidR="003252AC" w:rsidRPr="00AB315F">
        <w:rPr>
          <w:rFonts w:asciiTheme="minorHAnsi" w:hAnsiTheme="minorHAnsi"/>
        </w:rPr>
        <w:t xml:space="preserve"> a média de correlação inter-item </w:t>
      </w:r>
      <w:r w:rsidR="0047170B" w:rsidRPr="00AB315F">
        <w:rPr>
          <w:rFonts w:asciiTheme="minorHAnsi" w:hAnsiTheme="minorHAnsi"/>
        </w:rPr>
        <w:t>também é</w:t>
      </w:r>
      <w:r w:rsidR="003252AC" w:rsidRPr="00AB315F">
        <w:rPr>
          <w:rFonts w:asciiTheme="minorHAnsi" w:hAnsiTheme="minorHAnsi"/>
        </w:rPr>
        <w:t xml:space="preserve"> baixa e</w:t>
      </w:r>
      <w:r w:rsidR="0047170B" w:rsidRPr="00AB315F">
        <w:rPr>
          <w:rFonts w:asciiTheme="minorHAnsi" w:hAnsiTheme="minorHAnsi"/>
        </w:rPr>
        <w:t>,</w:t>
      </w:r>
      <w:r w:rsidR="003252AC" w:rsidRPr="00AB315F">
        <w:rPr>
          <w:rFonts w:asciiTheme="minorHAnsi" w:hAnsiTheme="minorHAnsi"/>
        </w:rPr>
        <w:t xml:space="preserve"> pode-se observar que </w:t>
      </w:r>
      <w:r w:rsidR="0047170B" w:rsidRPr="00AB315F">
        <w:rPr>
          <w:rFonts w:asciiTheme="minorHAnsi" w:hAnsiTheme="minorHAnsi"/>
        </w:rPr>
        <w:t xml:space="preserve">o item </w:t>
      </w:r>
      <w:r w:rsidR="00C56A67" w:rsidRPr="00AB315F">
        <w:rPr>
          <w:rFonts w:asciiTheme="minorHAnsi" w:hAnsiTheme="minorHAnsi"/>
        </w:rPr>
        <w:t>“</w:t>
      </w:r>
      <w:r w:rsidR="005308FF" w:rsidRPr="00AB315F">
        <w:rPr>
          <w:rFonts w:asciiTheme="minorHAnsi" w:hAnsiTheme="minorHAnsi"/>
        </w:rPr>
        <w:t xml:space="preserve">oferecer </w:t>
      </w:r>
      <w:r w:rsidR="0047170B" w:rsidRPr="00AB315F">
        <w:rPr>
          <w:rFonts w:asciiTheme="minorHAnsi" w:hAnsiTheme="minorHAnsi"/>
        </w:rPr>
        <w:t>impostos</w:t>
      </w:r>
      <w:r w:rsidR="00C56A67" w:rsidRPr="00AB315F">
        <w:rPr>
          <w:rFonts w:asciiTheme="minorHAnsi" w:hAnsiTheme="minorHAnsi"/>
        </w:rPr>
        <w:t>”</w:t>
      </w:r>
      <w:r w:rsidR="0047170B" w:rsidRPr="00AB315F">
        <w:rPr>
          <w:rFonts w:asciiTheme="minorHAnsi" w:hAnsiTheme="minorHAnsi"/>
        </w:rPr>
        <w:t xml:space="preserve"> parece não se correlacionar bem com os itens de cenários.</w:t>
      </w:r>
      <w:r w:rsidR="003252AC" w:rsidRPr="00AB315F">
        <w:rPr>
          <w:rFonts w:asciiTheme="minorHAnsi" w:hAnsiTheme="minorHAnsi"/>
        </w:rPr>
        <w:t xml:space="preserve"> </w:t>
      </w:r>
    </w:p>
    <w:p w14:paraId="6066559F" w14:textId="77777777" w:rsidR="001F728A" w:rsidRDefault="001F728A" w:rsidP="005A7075">
      <w:pPr>
        <w:spacing w:after="240" w:line="360" w:lineRule="auto"/>
        <w:ind w:firstLine="708"/>
        <w:jc w:val="both"/>
        <w:rPr>
          <w:rFonts w:asciiTheme="minorHAnsi" w:hAnsiTheme="minorHAnsi"/>
        </w:rPr>
      </w:pPr>
    </w:p>
    <w:p w14:paraId="31BD0EF3" w14:textId="77777777" w:rsidR="005D5DC8" w:rsidRDefault="005D5DC8" w:rsidP="005A7075">
      <w:pPr>
        <w:spacing w:after="240" w:line="360" w:lineRule="auto"/>
        <w:ind w:firstLine="708"/>
        <w:jc w:val="both"/>
        <w:rPr>
          <w:rFonts w:asciiTheme="minorHAnsi" w:hAnsiTheme="minorHAnsi"/>
        </w:rPr>
      </w:pPr>
    </w:p>
    <w:p w14:paraId="50EF8F59" w14:textId="77777777" w:rsidR="001F728A" w:rsidRDefault="001F728A" w:rsidP="005A7075">
      <w:pPr>
        <w:spacing w:after="240" w:line="360" w:lineRule="auto"/>
        <w:ind w:firstLine="708"/>
        <w:jc w:val="both"/>
        <w:rPr>
          <w:rFonts w:asciiTheme="minorHAnsi" w:hAnsiTheme="minorHAnsi"/>
        </w:rPr>
      </w:pPr>
    </w:p>
    <w:p w14:paraId="771C3946" w14:textId="30333956" w:rsidR="00E15C4B" w:rsidRPr="00E15C4B" w:rsidRDefault="00E15C4B" w:rsidP="00E15C4B">
      <w:pPr>
        <w:spacing w:after="240" w:line="360" w:lineRule="auto"/>
        <w:jc w:val="center"/>
        <w:rPr>
          <w:rFonts w:asciiTheme="minorHAnsi" w:hAnsiTheme="minorHAnsi"/>
          <w:b/>
        </w:rPr>
      </w:pPr>
      <w:r w:rsidRPr="00E15C4B">
        <w:rPr>
          <w:rFonts w:asciiTheme="minorHAnsi" w:hAnsiTheme="minorHAnsi"/>
          <w:b/>
        </w:rPr>
        <w:lastRenderedPageBreak/>
        <w:t>Tabela 10. Alpha de Cronbach para indicadores convergentes</w:t>
      </w:r>
    </w:p>
    <w:tbl>
      <w:tblPr>
        <w:tblW w:w="6162" w:type="dxa"/>
        <w:jc w:val="center"/>
        <w:tblCellMar>
          <w:left w:w="70" w:type="dxa"/>
          <w:right w:w="70" w:type="dxa"/>
        </w:tblCellMar>
        <w:tblLook w:val="04A0" w:firstRow="1" w:lastRow="0" w:firstColumn="1" w:lastColumn="0" w:noHBand="0" w:noVBand="1"/>
      </w:tblPr>
      <w:tblGrid>
        <w:gridCol w:w="1134"/>
        <w:gridCol w:w="1124"/>
        <w:gridCol w:w="1124"/>
        <w:gridCol w:w="1820"/>
        <w:gridCol w:w="960"/>
      </w:tblGrid>
      <w:tr w:rsidR="005D5DC8" w:rsidRPr="00AB315F" w14:paraId="45A4AB34" w14:textId="77777777" w:rsidTr="005D5DC8">
        <w:trPr>
          <w:trHeight w:val="700"/>
          <w:jc w:val="center"/>
        </w:trPr>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0650AD6D" w14:textId="64400966" w:rsidR="005D5DC8" w:rsidRPr="00AB315F" w:rsidRDefault="005D5DC8" w:rsidP="005D5DC8">
            <w:pPr>
              <w:jc w:val="center"/>
              <w:rPr>
                <w:rFonts w:ascii="Calibri" w:hAnsi="Calibri"/>
                <w:sz w:val="22"/>
                <w:szCs w:val="22"/>
              </w:rPr>
            </w:pPr>
            <w:r w:rsidRPr="00686A3D">
              <w:rPr>
                <w:rFonts w:ascii="Calibri" w:hAnsi="Calibri"/>
                <w:b/>
                <w:sz w:val="22"/>
                <w:szCs w:val="22"/>
              </w:rPr>
              <w:t>Item</w:t>
            </w:r>
          </w:p>
        </w:tc>
        <w:tc>
          <w:tcPr>
            <w:tcW w:w="11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A5FA15" w14:textId="585C2B76" w:rsidR="005D5DC8" w:rsidRPr="00AB315F" w:rsidRDefault="005D5DC8" w:rsidP="005D5DC8">
            <w:pPr>
              <w:jc w:val="center"/>
              <w:rPr>
                <w:rFonts w:ascii="Calibri" w:hAnsi="Calibri"/>
                <w:sz w:val="22"/>
                <w:szCs w:val="22"/>
              </w:rPr>
            </w:pPr>
            <w:r w:rsidRPr="00686A3D">
              <w:rPr>
                <w:rFonts w:ascii="Calibri" w:hAnsi="Calibri"/>
                <w:b/>
                <w:sz w:val="22"/>
                <w:szCs w:val="22"/>
              </w:rPr>
              <w:t>Correlação Item-teste</w:t>
            </w:r>
          </w:p>
        </w:tc>
        <w:tc>
          <w:tcPr>
            <w:tcW w:w="1124" w:type="dxa"/>
            <w:tcBorders>
              <w:top w:val="single" w:sz="4" w:space="0" w:color="auto"/>
              <w:left w:val="nil"/>
              <w:bottom w:val="single" w:sz="4" w:space="0" w:color="auto"/>
              <w:right w:val="single" w:sz="4" w:space="0" w:color="auto"/>
            </w:tcBorders>
            <w:shd w:val="clear" w:color="auto" w:fill="auto"/>
            <w:vAlign w:val="center"/>
            <w:hideMark/>
          </w:tcPr>
          <w:p w14:paraId="6A77C2C8" w14:textId="00ED8103" w:rsidR="005D5DC8" w:rsidRPr="00AB315F" w:rsidRDefault="005D5DC8" w:rsidP="005D5DC8">
            <w:pPr>
              <w:jc w:val="center"/>
              <w:rPr>
                <w:rFonts w:ascii="Calibri" w:hAnsi="Calibri"/>
                <w:sz w:val="22"/>
                <w:szCs w:val="22"/>
              </w:rPr>
            </w:pPr>
            <w:r w:rsidRPr="00686A3D">
              <w:rPr>
                <w:rFonts w:ascii="Calibri" w:hAnsi="Calibri"/>
                <w:b/>
                <w:sz w:val="22"/>
                <w:szCs w:val="22"/>
              </w:rPr>
              <w:t>Correlação Item-resto</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14:paraId="0F78539E" w14:textId="3580D520" w:rsidR="005D5DC8" w:rsidRPr="00AB315F" w:rsidRDefault="005D5DC8" w:rsidP="005D5DC8">
            <w:pPr>
              <w:jc w:val="center"/>
              <w:rPr>
                <w:rFonts w:ascii="Calibri" w:hAnsi="Calibri"/>
                <w:sz w:val="22"/>
                <w:szCs w:val="22"/>
              </w:rPr>
            </w:pPr>
            <w:r w:rsidRPr="00686A3D">
              <w:rPr>
                <w:rFonts w:ascii="Calibri" w:hAnsi="Calibri"/>
                <w:b/>
                <w:sz w:val="22"/>
                <w:szCs w:val="22"/>
              </w:rPr>
              <w:t>Covariança Interitem</w:t>
            </w:r>
          </w:p>
        </w:tc>
        <w:tc>
          <w:tcPr>
            <w:tcW w:w="960" w:type="dxa"/>
            <w:tcBorders>
              <w:top w:val="single" w:sz="4" w:space="0" w:color="auto"/>
              <w:left w:val="nil"/>
              <w:bottom w:val="single" w:sz="4" w:space="0" w:color="auto"/>
              <w:right w:val="nil"/>
            </w:tcBorders>
            <w:shd w:val="clear" w:color="auto" w:fill="auto"/>
            <w:vAlign w:val="center"/>
            <w:hideMark/>
          </w:tcPr>
          <w:p w14:paraId="162C8987" w14:textId="166447ED" w:rsidR="005D5DC8" w:rsidRPr="00AB315F" w:rsidRDefault="005D5DC8" w:rsidP="005D5DC8">
            <w:pPr>
              <w:jc w:val="center"/>
              <w:rPr>
                <w:rFonts w:ascii="Calibri" w:hAnsi="Calibri"/>
                <w:sz w:val="22"/>
                <w:szCs w:val="22"/>
              </w:rPr>
            </w:pPr>
            <w:r w:rsidRPr="00686A3D">
              <w:rPr>
                <w:rFonts w:ascii="Calibri" w:hAnsi="Calibri"/>
                <w:b/>
                <w:sz w:val="22"/>
                <w:szCs w:val="22"/>
              </w:rPr>
              <w:t>Alpha</w:t>
            </w:r>
          </w:p>
        </w:tc>
      </w:tr>
      <w:tr w:rsidR="005D5DC8" w:rsidRPr="00AB315F" w14:paraId="260D3F83" w14:textId="77777777" w:rsidTr="005D5DC8">
        <w:trPr>
          <w:trHeight w:val="290"/>
          <w:jc w:val="center"/>
        </w:trPr>
        <w:tc>
          <w:tcPr>
            <w:tcW w:w="1134" w:type="dxa"/>
            <w:tcBorders>
              <w:top w:val="nil"/>
              <w:left w:val="nil"/>
              <w:bottom w:val="nil"/>
              <w:right w:val="single" w:sz="4" w:space="0" w:color="auto"/>
            </w:tcBorders>
            <w:shd w:val="clear" w:color="auto" w:fill="auto"/>
            <w:noWrap/>
            <w:vAlign w:val="center"/>
            <w:hideMark/>
          </w:tcPr>
          <w:p w14:paraId="5948B558" w14:textId="77777777" w:rsidR="005D5DC8" w:rsidRPr="00AB315F" w:rsidRDefault="005D5DC8" w:rsidP="0091109F">
            <w:pPr>
              <w:jc w:val="center"/>
              <w:rPr>
                <w:rFonts w:ascii="Calibri" w:hAnsi="Calibri"/>
                <w:sz w:val="22"/>
                <w:szCs w:val="22"/>
              </w:rPr>
            </w:pPr>
            <w:r w:rsidRPr="00AB315F">
              <w:rPr>
                <w:rFonts w:ascii="Calibri" w:hAnsi="Calibri"/>
                <w:sz w:val="22"/>
                <w:szCs w:val="22"/>
              </w:rPr>
              <w:t>propina</w:t>
            </w:r>
          </w:p>
        </w:tc>
        <w:tc>
          <w:tcPr>
            <w:tcW w:w="1124" w:type="dxa"/>
            <w:tcBorders>
              <w:top w:val="nil"/>
              <w:left w:val="single" w:sz="4" w:space="0" w:color="auto"/>
              <w:bottom w:val="nil"/>
              <w:right w:val="single" w:sz="4" w:space="0" w:color="auto"/>
            </w:tcBorders>
            <w:shd w:val="clear" w:color="auto" w:fill="auto"/>
            <w:noWrap/>
            <w:vAlign w:val="center"/>
            <w:hideMark/>
          </w:tcPr>
          <w:p w14:paraId="0B67FF53" w14:textId="77777777" w:rsidR="005D5DC8" w:rsidRPr="00AB315F" w:rsidRDefault="005D5DC8" w:rsidP="0091109F">
            <w:pPr>
              <w:jc w:val="center"/>
              <w:rPr>
                <w:rFonts w:ascii="Calibri" w:hAnsi="Calibri"/>
                <w:sz w:val="22"/>
                <w:szCs w:val="22"/>
              </w:rPr>
            </w:pPr>
            <w:r w:rsidRPr="00AB315F">
              <w:rPr>
                <w:rFonts w:ascii="Calibri" w:hAnsi="Calibri"/>
                <w:sz w:val="22"/>
                <w:szCs w:val="22"/>
              </w:rPr>
              <w:t>0,582</w:t>
            </w:r>
          </w:p>
        </w:tc>
        <w:tc>
          <w:tcPr>
            <w:tcW w:w="1124" w:type="dxa"/>
            <w:tcBorders>
              <w:top w:val="nil"/>
              <w:left w:val="nil"/>
              <w:bottom w:val="nil"/>
              <w:right w:val="single" w:sz="4" w:space="0" w:color="auto"/>
            </w:tcBorders>
            <w:shd w:val="clear" w:color="auto" w:fill="auto"/>
            <w:noWrap/>
            <w:vAlign w:val="center"/>
            <w:hideMark/>
          </w:tcPr>
          <w:p w14:paraId="2FBAD085" w14:textId="77777777" w:rsidR="005D5DC8" w:rsidRPr="00AB315F" w:rsidRDefault="005D5DC8" w:rsidP="0091109F">
            <w:pPr>
              <w:jc w:val="center"/>
              <w:rPr>
                <w:rFonts w:ascii="Calibri" w:hAnsi="Calibri"/>
                <w:sz w:val="22"/>
                <w:szCs w:val="22"/>
              </w:rPr>
            </w:pPr>
            <w:r w:rsidRPr="00AB315F">
              <w:rPr>
                <w:rFonts w:ascii="Calibri" w:hAnsi="Calibri"/>
                <w:sz w:val="22"/>
                <w:szCs w:val="22"/>
              </w:rPr>
              <w:t>0,170</w:t>
            </w:r>
          </w:p>
        </w:tc>
        <w:tc>
          <w:tcPr>
            <w:tcW w:w="1820" w:type="dxa"/>
            <w:tcBorders>
              <w:top w:val="nil"/>
              <w:left w:val="nil"/>
              <w:bottom w:val="nil"/>
              <w:right w:val="single" w:sz="4" w:space="0" w:color="auto"/>
            </w:tcBorders>
            <w:shd w:val="clear" w:color="auto" w:fill="auto"/>
            <w:noWrap/>
            <w:vAlign w:val="center"/>
            <w:hideMark/>
          </w:tcPr>
          <w:p w14:paraId="2CDE4F17" w14:textId="77777777" w:rsidR="005D5DC8" w:rsidRPr="00AB315F" w:rsidRDefault="005D5DC8" w:rsidP="0091109F">
            <w:pPr>
              <w:jc w:val="center"/>
              <w:rPr>
                <w:rFonts w:ascii="Calibri" w:hAnsi="Calibri"/>
                <w:sz w:val="22"/>
                <w:szCs w:val="22"/>
              </w:rPr>
            </w:pPr>
            <w:r w:rsidRPr="00AB315F">
              <w:rPr>
                <w:rFonts w:ascii="Calibri" w:hAnsi="Calibri"/>
                <w:sz w:val="22"/>
                <w:szCs w:val="22"/>
              </w:rPr>
              <w:t>0,161</w:t>
            </w:r>
          </w:p>
        </w:tc>
        <w:tc>
          <w:tcPr>
            <w:tcW w:w="960" w:type="dxa"/>
            <w:tcBorders>
              <w:top w:val="nil"/>
              <w:left w:val="nil"/>
              <w:bottom w:val="nil"/>
              <w:right w:val="nil"/>
            </w:tcBorders>
            <w:shd w:val="clear" w:color="auto" w:fill="auto"/>
            <w:noWrap/>
            <w:vAlign w:val="center"/>
            <w:hideMark/>
          </w:tcPr>
          <w:p w14:paraId="678CF7D9" w14:textId="77777777" w:rsidR="005D5DC8" w:rsidRPr="00AB315F" w:rsidRDefault="005D5DC8" w:rsidP="0091109F">
            <w:pPr>
              <w:jc w:val="center"/>
              <w:rPr>
                <w:rFonts w:ascii="Calibri" w:hAnsi="Calibri"/>
                <w:sz w:val="22"/>
                <w:szCs w:val="22"/>
              </w:rPr>
            </w:pPr>
            <w:r w:rsidRPr="00AB315F">
              <w:rPr>
                <w:rFonts w:ascii="Calibri" w:hAnsi="Calibri"/>
                <w:sz w:val="22"/>
                <w:szCs w:val="22"/>
              </w:rPr>
              <w:t>0,365</w:t>
            </w:r>
          </w:p>
        </w:tc>
      </w:tr>
      <w:tr w:rsidR="005D5DC8" w:rsidRPr="00AB315F" w14:paraId="409F30DE" w14:textId="77777777" w:rsidTr="005D5DC8">
        <w:trPr>
          <w:trHeight w:val="290"/>
          <w:jc w:val="center"/>
        </w:trPr>
        <w:tc>
          <w:tcPr>
            <w:tcW w:w="1134" w:type="dxa"/>
            <w:tcBorders>
              <w:top w:val="nil"/>
              <w:left w:val="nil"/>
              <w:bottom w:val="nil"/>
              <w:right w:val="single" w:sz="4" w:space="0" w:color="auto"/>
            </w:tcBorders>
            <w:shd w:val="clear" w:color="auto" w:fill="auto"/>
            <w:noWrap/>
            <w:vAlign w:val="center"/>
            <w:hideMark/>
          </w:tcPr>
          <w:p w14:paraId="654A4BD8" w14:textId="77777777" w:rsidR="005D5DC8" w:rsidRPr="00AB315F" w:rsidRDefault="005D5DC8" w:rsidP="0091109F">
            <w:pPr>
              <w:jc w:val="center"/>
              <w:rPr>
                <w:rFonts w:ascii="Calibri" w:hAnsi="Calibri"/>
                <w:sz w:val="22"/>
                <w:szCs w:val="22"/>
              </w:rPr>
            </w:pPr>
            <w:r w:rsidRPr="00AB315F">
              <w:rPr>
                <w:rFonts w:ascii="Calibri" w:hAnsi="Calibri"/>
                <w:sz w:val="22"/>
                <w:szCs w:val="22"/>
              </w:rPr>
              <w:t>impostos</w:t>
            </w:r>
          </w:p>
        </w:tc>
        <w:tc>
          <w:tcPr>
            <w:tcW w:w="1124" w:type="dxa"/>
            <w:tcBorders>
              <w:top w:val="nil"/>
              <w:left w:val="single" w:sz="4" w:space="0" w:color="auto"/>
              <w:bottom w:val="nil"/>
              <w:right w:val="single" w:sz="4" w:space="0" w:color="auto"/>
            </w:tcBorders>
            <w:shd w:val="clear" w:color="auto" w:fill="auto"/>
            <w:noWrap/>
            <w:vAlign w:val="center"/>
            <w:hideMark/>
          </w:tcPr>
          <w:p w14:paraId="3523518A" w14:textId="77777777" w:rsidR="005D5DC8" w:rsidRPr="00AB315F" w:rsidRDefault="005D5DC8" w:rsidP="0091109F">
            <w:pPr>
              <w:jc w:val="center"/>
              <w:rPr>
                <w:rFonts w:ascii="Calibri" w:hAnsi="Calibri"/>
                <w:sz w:val="22"/>
                <w:szCs w:val="22"/>
              </w:rPr>
            </w:pPr>
            <w:r w:rsidRPr="00AB315F">
              <w:rPr>
                <w:rFonts w:ascii="Calibri" w:hAnsi="Calibri"/>
                <w:sz w:val="22"/>
                <w:szCs w:val="22"/>
              </w:rPr>
              <w:t>0,511</w:t>
            </w:r>
          </w:p>
        </w:tc>
        <w:tc>
          <w:tcPr>
            <w:tcW w:w="1124" w:type="dxa"/>
            <w:tcBorders>
              <w:top w:val="nil"/>
              <w:left w:val="nil"/>
              <w:bottom w:val="nil"/>
              <w:right w:val="single" w:sz="4" w:space="0" w:color="auto"/>
            </w:tcBorders>
            <w:shd w:val="clear" w:color="auto" w:fill="auto"/>
            <w:noWrap/>
            <w:vAlign w:val="center"/>
            <w:hideMark/>
          </w:tcPr>
          <w:p w14:paraId="26FBE4DD" w14:textId="77777777" w:rsidR="005D5DC8" w:rsidRPr="00AB315F" w:rsidRDefault="005D5DC8" w:rsidP="0091109F">
            <w:pPr>
              <w:jc w:val="center"/>
              <w:rPr>
                <w:rFonts w:ascii="Calibri" w:hAnsi="Calibri"/>
                <w:sz w:val="22"/>
                <w:szCs w:val="22"/>
              </w:rPr>
            </w:pPr>
            <w:r w:rsidRPr="00AB315F">
              <w:rPr>
                <w:rFonts w:ascii="Calibri" w:hAnsi="Calibri"/>
                <w:sz w:val="22"/>
                <w:szCs w:val="22"/>
              </w:rPr>
              <w:t>0,072</w:t>
            </w:r>
          </w:p>
        </w:tc>
        <w:tc>
          <w:tcPr>
            <w:tcW w:w="1820" w:type="dxa"/>
            <w:tcBorders>
              <w:top w:val="nil"/>
              <w:left w:val="nil"/>
              <w:bottom w:val="nil"/>
              <w:right w:val="single" w:sz="4" w:space="0" w:color="auto"/>
            </w:tcBorders>
            <w:shd w:val="clear" w:color="auto" w:fill="auto"/>
            <w:noWrap/>
            <w:vAlign w:val="center"/>
            <w:hideMark/>
          </w:tcPr>
          <w:p w14:paraId="2887C1F0" w14:textId="77777777" w:rsidR="005D5DC8" w:rsidRPr="00AB315F" w:rsidRDefault="005D5DC8" w:rsidP="0091109F">
            <w:pPr>
              <w:jc w:val="center"/>
              <w:rPr>
                <w:rFonts w:ascii="Calibri" w:hAnsi="Calibri"/>
                <w:sz w:val="22"/>
                <w:szCs w:val="22"/>
              </w:rPr>
            </w:pPr>
            <w:r w:rsidRPr="00AB315F">
              <w:rPr>
                <w:rFonts w:ascii="Calibri" w:hAnsi="Calibri"/>
                <w:sz w:val="22"/>
                <w:szCs w:val="22"/>
              </w:rPr>
              <w:t>0,221</w:t>
            </w:r>
          </w:p>
        </w:tc>
        <w:tc>
          <w:tcPr>
            <w:tcW w:w="960" w:type="dxa"/>
            <w:tcBorders>
              <w:top w:val="nil"/>
              <w:left w:val="nil"/>
              <w:bottom w:val="nil"/>
              <w:right w:val="nil"/>
            </w:tcBorders>
            <w:shd w:val="clear" w:color="auto" w:fill="auto"/>
            <w:noWrap/>
            <w:vAlign w:val="center"/>
            <w:hideMark/>
          </w:tcPr>
          <w:p w14:paraId="7B27CAE2" w14:textId="77777777" w:rsidR="005D5DC8" w:rsidRPr="00AB315F" w:rsidRDefault="005D5DC8" w:rsidP="0091109F">
            <w:pPr>
              <w:jc w:val="center"/>
              <w:rPr>
                <w:rFonts w:ascii="Calibri" w:hAnsi="Calibri"/>
                <w:sz w:val="22"/>
                <w:szCs w:val="22"/>
              </w:rPr>
            </w:pPr>
            <w:r w:rsidRPr="00AB315F">
              <w:rPr>
                <w:rFonts w:ascii="Calibri" w:hAnsi="Calibri"/>
                <w:sz w:val="22"/>
                <w:szCs w:val="22"/>
              </w:rPr>
              <w:t>0,459</w:t>
            </w:r>
          </w:p>
        </w:tc>
      </w:tr>
      <w:tr w:rsidR="005D5DC8" w:rsidRPr="00AB315F" w14:paraId="747F2832" w14:textId="77777777" w:rsidTr="005D5DC8">
        <w:trPr>
          <w:trHeight w:val="290"/>
          <w:jc w:val="center"/>
        </w:trPr>
        <w:tc>
          <w:tcPr>
            <w:tcW w:w="1134" w:type="dxa"/>
            <w:tcBorders>
              <w:top w:val="nil"/>
              <w:left w:val="nil"/>
              <w:bottom w:val="nil"/>
              <w:right w:val="single" w:sz="4" w:space="0" w:color="auto"/>
            </w:tcBorders>
            <w:shd w:val="clear" w:color="auto" w:fill="auto"/>
            <w:noWrap/>
            <w:vAlign w:val="center"/>
            <w:hideMark/>
          </w:tcPr>
          <w:p w14:paraId="36229CBA" w14:textId="5EFDD608" w:rsidR="005D5DC8" w:rsidRPr="00AB315F" w:rsidRDefault="005D5DC8" w:rsidP="0091109F">
            <w:pPr>
              <w:jc w:val="center"/>
              <w:rPr>
                <w:rFonts w:ascii="Calibri" w:hAnsi="Calibri"/>
                <w:sz w:val="22"/>
                <w:szCs w:val="22"/>
              </w:rPr>
            </w:pPr>
            <w:r w:rsidRPr="00AB315F">
              <w:rPr>
                <w:rFonts w:ascii="Calibri" w:hAnsi="Calibri"/>
                <w:sz w:val="22"/>
                <w:szCs w:val="22"/>
              </w:rPr>
              <w:t>Cenário 1</w:t>
            </w:r>
          </w:p>
        </w:tc>
        <w:tc>
          <w:tcPr>
            <w:tcW w:w="1124" w:type="dxa"/>
            <w:tcBorders>
              <w:top w:val="nil"/>
              <w:left w:val="single" w:sz="4" w:space="0" w:color="auto"/>
              <w:bottom w:val="nil"/>
              <w:right w:val="single" w:sz="4" w:space="0" w:color="auto"/>
            </w:tcBorders>
            <w:shd w:val="clear" w:color="auto" w:fill="auto"/>
            <w:noWrap/>
            <w:vAlign w:val="center"/>
            <w:hideMark/>
          </w:tcPr>
          <w:p w14:paraId="23D63292" w14:textId="77777777" w:rsidR="005D5DC8" w:rsidRPr="00AB315F" w:rsidRDefault="005D5DC8" w:rsidP="0091109F">
            <w:pPr>
              <w:jc w:val="center"/>
              <w:rPr>
                <w:rFonts w:ascii="Calibri" w:hAnsi="Calibri"/>
                <w:sz w:val="22"/>
                <w:szCs w:val="22"/>
              </w:rPr>
            </w:pPr>
            <w:r w:rsidRPr="00AB315F">
              <w:rPr>
                <w:rFonts w:ascii="Calibri" w:hAnsi="Calibri"/>
                <w:sz w:val="22"/>
                <w:szCs w:val="22"/>
              </w:rPr>
              <w:t>0,680</w:t>
            </w:r>
          </w:p>
        </w:tc>
        <w:tc>
          <w:tcPr>
            <w:tcW w:w="1124" w:type="dxa"/>
            <w:tcBorders>
              <w:top w:val="nil"/>
              <w:left w:val="nil"/>
              <w:bottom w:val="nil"/>
              <w:right w:val="single" w:sz="4" w:space="0" w:color="auto"/>
            </w:tcBorders>
            <w:shd w:val="clear" w:color="auto" w:fill="auto"/>
            <w:noWrap/>
            <w:vAlign w:val="center"/>
            <w:hideMark/>
          </w:tcPr>
          <w:p w14:paraId="6B5EC601" w14:textId="77777777" w:rsidR="005D5DC8" w:rsidRPr="00AB315F" w:rsidRDefault="005D5DC8" w:rsidP="0091109F">
            <w:pPr>
              <w:jc w:val="center"/>
              <w:rPr>
                <w:rFonts w:ascii="Calibri" w:hAnsi="Calibri"/>
                <w:sz w:val="22"/>
                <w:szCs w:val="22"/>
              </w:rPr>
            </w:pPr>
            <w:r w:rsidRPr="00AB315F">
              <w:rPr>
                <w:rFonts w:ascii="Calibri" w:hAnsi="Calibri"/>
                <w:sz w:val="22"/>
                <w:szCs w:val="22"/>
              </w:rPr>
              <w:t>0,321</w:t>
            </w:r>
          </w:p>
        </w:tc>
        <w:tc>
          <w:tcPr>
            <w:tcW w:w="1820" w:type="dxa"/>
            <w:tcBorders>
              <w:top w:val="nil"/>
              <w:left w:val="nil"/>
              <w:bottom w:val="nil"/>
              <w:right w:val="single" w:sz="4" w:space="0" w:color="auto"/>
            </w:tcBorders>
            <w:shd w:val="clear" w:color="auto" w:fill="auto"/>
            <w:noWrap/>
            <w:vAlign w:val="center"/>
            <w:hideMark/>
          </w:tcPr>
          <w:p w14:paraId="2DDF12B2" w14:textId="77777777" w:rsidR="005D5DC8" w:rsidRPr="00AB315F" w:rsidRDefault="005D5DC8" w:rsidP="0091109F">
            <w:pPr>
              <w:jc w:val="center"/>
              <w:rPr>
                <w:rFonts w:ascii="Calibri" w:hAnsi="Calibri"/>
                <w:sz w:val="22"/>
                <w:szCs w:val="22"/>
              </w:rPr>
            </w:pPr>
            <w:r w:rsidRPr="00AB315F">
              <w:rPr>
                <w:rFonts w:ascii="Calibri" w:hAnsi="Calibri"/>
                <w:sz w:val="22"/>
                <w:szCs w:val="22"/>
              </w:rPr>
              <w:t>0,078</w:t>
            </w:r>
          </w:p>
        </w:tc>
        <w:tc>
          <w:tcPr>
            <w:tcW w:w="960" w:type="dxa"/>
            <w:tcBorders>
              <w:top w:val="nil"/>
              <w:left w:val="nil"/>
              <w:bottom w:val="nil"/>
              <w:right w:val="nil"/>
            </w:tcBorders>
            <w:shd w:val="clear" w:color="auto" w:fill="auto"/>
            <w:noWrap/>
            <w:vAlign w:val="center"/>
            <w:hideMark/>
          </w:tcPr>
          <w:p w14:paraId="61DCF3BB" w14:textId="77777777" w:rsidR="005D5DC8" w:rsidRPr="00AB315F" w:rsidRDefault="005D5DC8" w:rsidP="0091109F">
            <w:pPr>
              <w:jc w:val="center"/>
              <w:rPr>
                <w:rFonts w:ascii="Calibri" w:hAnsi="Calibri"/>
                <w:sz w:val="22"/>
                <w:szCs w:val="22"/>
              </w:rPr>
            </w:pPr>
            <w:r w:rsidRPr="00AB315F">
              <w:rPr>
                <w:rFonts w:ascii="Calibri" w:hAnsi="Calibri"/>
                <w:sz w:val="22"/>
                <w:szCs w:val="22"/>
              </w:rPr>
              <w:t>0,203</w:t>
            </w:r>
          </w:p>
        </w:tc>
      </w:tr>
      <w:tr w:rsidR="005D5DC8" w:rsidRPr="00AB315F" w14:paraId="3CD5558A" w14:textId="77777777" w:rsidTr="005D5DC8">
        <w:trPr>
          <w:trHeight w:val="290"/>
          <w:jc w:val="center"/>
        </w:trPr>
        <w:tc>
          <w:tcPr>
            <w:tcW w:w="1134" w:type="dxa"/>
            <w:tcBorders>
              <w:top w:val="nil"/>
              <w:left w:val="nil"/>
              <w:bottom w:val="nil"/>
              <w:right w:val="single" w:sz="4" w:space="0" w:color="auto"/>
            </w:tcBorders>
            <w:shd w:val="clear" w:color="auto" w:fill="auto"/>
            <w:noWrap/>
            <w:vAlign w:val="center"/>
            <w:hideMark/>
          </w:tcPr>
          <w:p w14:paraId="4D35E925" w14:textId="601EC209" w:rsidR="005D5DC8" w:rsidRPr="00AB315F" w:rsidRDefault="005D5DC8" w:rsidP="0091109F">
            <w:pPr>
              <w:jc w:val="center"/>
              <w:rPr>
                <w:rFonts w:ascii="Calibri" w:hAnsi="Calibri"/>
                <w:sz w:val="22"/>
                <w:szCs w:val="22"/>
              </w:rPr>
            </w:pPr>
            <w:r w:rsidRPr="00AB315F">
              <w:rPr>
                <w:rFonts w:ascii="Calibri" w:hAnsi="Calibri"/>
                <w:sz w:val="22"/>
                <w:szCs w:val="22"/>
              </w:rPr>
              <w:t>Cenário 2</w:t>
            </w:r>
          </w:p>
        </w:tc>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1CB30640" w14:textId="77777777" w:rsidR="005D5DC8" w:rsidRPr="00AB315F" w:rsidRDefault="005D5DC8" w:rsidP="0091109F">
            <w:pPr>
              <w:jc w:val="center"/>
              <w:rPr>
                <w:rFonts w:ascii="Calibri" w:hAnsi="Calibri"/>
                <w:sz w:val="22"/>
                <w:szCs w:val="22"/>
              </w:rPr>
            </w:pPr>
            <w:r w:rsidRPr="00AB315F">
              <w:rPr>
                <w:rFonts w:ascii="Calibri" w:hAnsi="Calibri"/>
                <w:sz w:val="22"/>
                <w:szCs w:val="22"/>
              </w:rPr>
              <w:t>0,658</w:t>
            </w:r>
          </w:p>
        </w:tc>
        <w:tc>
          <w:tcPr>
            <w:tcW w:w="1124" w:type="dxa"/>
            <w:tcBorders>
              <w:top w:val="nil"/>
              <w:left w:val="nil"/>
              <w:bottom w:val="single" w:sz="4" w:space="0" w:color="auto"/>
              <w:right w:val="single" w:sz="4" w:space="0" w:color="auto"/>
            </w:tcBorders>
            <w:shd w:val="clear" w:color="auto" w:fill="auto"/>
            <w:noWrap/>
            <w:vAlign w:val="center"/>
            <w:hideMark/>
          </w:tcPr>
          <w:p w14:paraId="1B0389D0" w14:textId="77777777" w:rsidR="005D5DC8" w:rsidRPr="00AB315F" w:rsidRDefault="005D5DC8" w:rsidP="0091109F">
            <w:pPr>
              <w:jc w:val="center"/>
              <w:rPr>
                <w:rFonts w:ascii="Calibri" w:hAnsi="Calibri"/>
                <w:sz w:val="22"/>
                <w:szCs w:val="22"/>
              </w:rPr>
            </w:pPr>
            <w:r w:rsidRPr="00AB315F">
              <w:rPr>
                <w:rFonts w:ascii="Calibri" w:hAnsi="Calibri"/>
                <w:sz w:val="22"/>
                <w:szCs w:val="22"/>
              </w:rPr>
              <w:t>0,274</w:t>
            </w:r>
          </w:p>
        </w:tc>
        <w:tc>
          <w:tcPr>
            <w:tcW w:w="1820" w:type="dxa"/>
            <w:tcBorders>
              <w:top w:val="nil"/>
              <w:left w:val="nil"/>
              <w:bottom w:val="single" w:sz="4" w:space="0" w:color="auto"/>
              <w:right w:val="single" w:sz="4" w:space="0" w:color="auto"/>
            </w:tcBorders>
            <w:shd w:val="clear" w:color="auto" w:fill="auto"/>
            <w:noWrap/>
            <w:vAlign w:val="center"/>
            <w:hideMark/>
          </w:tcPr>
          <w:p w14:paraId="71CAABC1" w14:textId="77777777" w:rsidR="005D5DC8" w:rsidRPr="00AB315F" w:rsidRDefault="005D5DC8" w:rsidP="0091109F">
            <w:pPr>
              <w:jc w:val="center"/>
              <w:rPr>
                <w:rFonts w:ascii="Calibri" w:hAnsi="Calibri"/>
                <w:sz w:val="22"/>
                <w:szCs w:val="22"/>
              </w:rPr>
            </w:pPr>
            <w:r w:rsidRPr="00AB315F">
              <w:rPr>
                <w:rFonts w:ascii="Calibri" w:hAnsi="Calibri"/>
                <w:sz w:val="22"/>
                <w:szCs w:val="22"/>
              </w:rPr>
              <w:t>0,100</w:t>
            </w:r>
          </w:p>
        </w:tc>
        <w:tc>
          <w:tcPr>
            <w:tcW w:w="960" w:type="dxa"/>
            <w:tcBorders>
              <w:top w:val="nil"/>
              <w:left w:val="nil"/>
              <w:bottom w:val="nil"/>
              <w:right w:val="nil"/>
            </w:tcBorders>
            <w:shd w:val="clear" w:color="auto" w:fill="auto"/>
            <w:noWrap/>
            <w:vAlign w:val="center"/>
            <w:hideMark/>
          </w:tcPr>
          <w:p w14:paraId="072BF7FD" w14:textId="77777777" w:rsidR="005D5DC8" w:rsidRPr="00AB315F" w:rsidRDefault="005D5DC8" w:rsidP="0091109F">
            <w:pPr>
              <w:jc w:val="center"/>
              <w:rPr>
                <w:rFonts w:ascii="Calibri" w:hAnsi="Calibri"/>
                <w:sz w:val="22"/>
                <w:szCs w:val="22"/>
              </w:rPr>
            </w:pPr>
            <w:r w:rsidRPr="00AB315F">
              <w:rPr>
                <w:rFonts w:ascii="Calibri" w:hAnsi="Calibri"/>
                <w:sz w:val="22"/>
                <w:szCs w:val="22"/>
              </w:rPr>
              <w:t>0,250</w:t>
            </w:r>
          </w:p>
        </w:tc>
      </w:tr>
      <w:tr w:rsidR="005D5DC8" w:rsidRPr="00AB315F" w14:paraId="4C6BC685" w14:textId="77777777" w:rsidTr="005D5DC8">
        <w:trPr>
          <w:trHeight w:val="290"/>
          <w:jc w:val="center"/>
        </w:trPr>
        <w:tc>
          <w:tcPr>
            <w:tcW w:w="1134" w:type="dxa"/>
            <w:tcBorders>
              <w:top w:val="single" w:sz="4" w:space="0" w:color="auto"/>
              <w:left w:val="nil"/>
              <w:bottom w:val="single" w:sz="4" w:space="0" w:color="auto"/>
              <w:right w:val="nil"/>
            </w:tcBorders>
            <w:shd w:val="clear" w:color="auto" w:fill="auto"/>
            <w:noWrap/>
            <w:vAlign w:val="bottom"/>
            <w:hideMark/>
          </w:tcPr>
          <w:p w14:paraId="5F3F648D" w14:textId="77777777" w:rsidR="005D5DC8" w:rsidRPr="00AB315F" w:rsidRDefault="005D5DC8" w:rsidP="0091109F">
            <w:pPr>
              <w:rPr>
                <w:rFonts w:ascii="Calibri" w:hAnsi="Calibri"/>
                <w:sz w:val="22"/>
                <w:szCs w:val="22"/>
              </w:rPr>
            </w:pPr>
            <w:r w:rsidRPr="00AB315F">
              <w:rPr>
                <w:rFonts w:ascii="Calibri" w:hAnsi="Calibri"/>
                <w:sz w:val="22"/>
                <w:szCs w:val="22"/>
              </w:rPr>
              <w:t>Test scale</w:t>
            </w:r>
          </w:p>
        </w:tc>
        <w:tc>
          <w:tcPr>
            <w:tcW w:w="1124" w:type="dxa"/>
            <w:tcBorders>
              <w:top w:val="nil"/>
              <w:left w:val="nil"/>
              <w:bottom w:val="single" w:sz="4" w:space="0" w:color="auto"/>
              <w:right w:val="nil"/>
            </w:tcBorders>
            <w:shd w:val="clear" w:color="auto" w:fill="auto"/>
            <w:noWrap/>
            <w:vAlign w:val="bottom"/>
            <w:hideMark/>
          </w:tcPr>
          <w:p w14:paraId="2B115480" w14:textId="77777777" w:rsidR="005D5DC8" w:rsidRPr="00AB315F" w:rsidRDefault="005D5DC8" w:rsidP="0091109F">
            <w:pPr>
              <w:rPr>
                <w:rFonts w:ascii="Calibri" w:hAnsi="Calibri"/>
                <w:sz w:val="22"/>
                <w:szCs w:val="22"/>
              </w:rPr>
            </w:pPr>
            <w:r w:rsidRPr="00AB315F">
              <w:rPr>
                <w:rFonts w:ascii="Calibri" w:hAnsi="Calibri"/>
                <w:sz w:val="22"/>
                <w:szCs w:val="22"/>
              </w:rPr>
              <w:t> </w:t>
            </w:r>
          </w:p>
        </w:tc>
        <w:tc>
          <w:tcPr>
            <w:tcW w:w="1124" w:type="dxa"/>
            <w:tcBorders>
              <w:top w:val="nil"/>
              <w:left w:val="nil"/>
              <w:bottom w:val="single" w:sz="4" w:space="0" w:color="auto"/>
              <w:right w:val="nil"/>
            </w:tcBorders>
            <w:shd w:val="clear" w:color="auto" w:fill="auto"/>
            <w:noWrap/>
            <w:vAlign w:val="bottom"/>
            <w:hideMark/>
          </w:tcPr>
          <w:p w14:paraId="52E38E36" w14:textId="77777777" w:rsidR="005D5DC8" w:rsidRPr="00AB315F" w:rsidRDefault="005D5DC8" w:rsidP="0091109F">
            <w:pPr>
              <w:rPr>
                <w:rFonts w:ascii="Calibri" w:hAnsi="Calibri"/>
                <w:sz w:val="22"/>
                <w:szCs w:val="22"/>
              </w:rPr>
            </w:pPr>
            <w:r w:rsidRPr="00AB315F">
              <w:rPr>
                <w:rFonts w:ascii="Calibri" w:hAnsi="Calibri"/>
                <w:sz w:val="22"/>
                <w:szCs w:val="22"/>
              </w:rPr>
              <w:t> </w:t>
            </w:r>
          </w:p>
        </w:tc>
        <w:tc>
          <w:tcPr>
            <w:tcW w:w="1820" w:type="dxa"/>
            <w:tcBorders>
              <w:top w:val="nil"/>
              <w:left w:val="nil"/>
              <w:bottom w:val="single" w:sz="4" w:space="0" w:color="auto"/>
              <w:right w:val="nil"/>
            </w:tcBorders>
            <w:shd w:val="clear" w:color="auto" w:fill="auto"/>
            <w:noWrap/>
            <w:vAlign w:val="bottom"/>
            <w:hideMark/>
          </w:tcPr>
          <w:p w14:paraId="7ED3940A" w14:textId="77777777" w:rsidR="005D5DC8" w:rsidRPr="00AB315F" w:rsidRDefault="005D5DC8" w:rsidP="0091109F">
            <w:pPr>
              <w:jc w:val="center"/>
              <w:rPr>
                <w:rFonts w:ascii="Calibri" w:hAnsi="Calibri"/>
                <w:sz w:val="22"/>
                <w:szCs w:val="22"/>
              </w:rPr>
            </w:pPr>
            <w:r w:rsidRPr="00AB315F">
              <w:rPr>
                <w:rFonts w:ascii="Calibri" w:hAnsi="Calibri"/>
                <w:sz w:val="22"/>
                <w:szCs w:val="22"/>
              </w:rPr>
              <w:t>0,1409</w:t>
            </w:r>
          </w:p>
        </w:tc>
        <w:tc>
          <w:tcPr>
            <w:tcW w:w="960" w:type="dxa"/>
            <w:tcBorders>
              <w:top w:val="single" w:sz="4" w:space="0" w:color="auto"/>
              <w:left w:val="nil"/>
              <w:bottom w:val="single" w:sz="4" w:space="0" w:color="auto"/>
              <w:right w:val="nil"/>
            </w:tcBorders>
            <w:shd w:val="clear" w:color="auto" w:fill="auto"/>
            <w:noWrap/>
            <w:vAlign w:val="center"/>
            <w:hideMark/>
          </w:tcPr>
          <w:p w14:paraId="15E34F74" w14:textId="77777777" w:rsidR="005D5DC8" w:rsidRPr="00AB315F" w:rsidRDefault="005D5DC8" w:rsidP="0091109F">
            <w:pPr>
              <w:jc w:val="right"/>
              <w:rPr>
                <w:rFonts w:ascii="Calibri" w:hAnsi="Calibri"/>
                <w:sz w:val="22"/>
                <w:szCs w:val="22"/>
              </w:rPr>
            </w:pPr>
            <w:r w:rsidRPr="00AB315F">
              <w:rPr>
                <w:rFonts w:ascii="Calibri" w:hAnsi="Calibri"/>
                <w:sz w:val="22"/>
                <w:szCs w:val="22"/>
              </w:rPr>
              <w:t>0,3962</w:t>
            </w:r>
          </w:p>
        </w:tc>
      </w:tr>
    </w:tbl>
    <w:p w14:paraId="769C2C8F" w14:textId="353FBBA8" w:rsidR="001F728A" w:rsidRPr="001F728A" w:rsidRDefault="001F728A" w:rsidP="005D5DC8">
      <w:pPr>
        <w:spacing w:line="360" w:lineRule="auto"/>
        <w:ind w:firstLine="708"/>
        <w:rPr>
          <w:rFonts w:ascii="Calibri" w:hAnsi="Calibri"/>
          <w:sz w:val="20"/>
          <w:szCs w:val="22"/>
        </w:rPr>
      </w:pPr>
      <w:r w:rsidRPr="001F728A">
        <w:rPr>
          <w:rFonts w:ascii="Calibri" w:hAnsi="Calibri"/>
          <w:sz w:val="20"/>
          <w:szCs w:val="22"/>
        </w:rPr>
        <w:t>Fonte</w:t>
      </w:r>
      <w:r>
        <w:rPr>
          <w:rFonts w:ascii="Calibri" w:hAnsi="Calibri"/>
          <w:sz w:val="20"/>
          <w:szCs w:val="22"/>
        </w:rPr>
        <w:t>:</w:t>
      </w:r>
      <w:r w:rsidR="00FD55AE">
        <w:rPr>
          <w:rFonts w:ascii="Calibri" w:hAnsi="Calibri"/>
          <w:sz w:val="20"/>
          <w:szCs w:val="22"/>
        </w:rPr>
        <w:t xml:space="preserve"> LAPOP 2008 -</w:t>
      </w:r>
      <w:r>
        <w:rPr>
          <w:rFonts w:ascii="Calibri" w:hAnsi="Calibri"/>
          <w:sz w:val="20"/>
          <w:szCs w:val="22"/>
        </w:rPr>
        <w:t xml:space="preserve"> elaboração própria</w:t>
      </w:r>
    </w:p>
    <w:p w14:paraId="6E62CAA8" w14:textId="77777777" w:rsidR="00DE189C" w:rsidRPr="00AB315F" w:rsidRDefault="00DE189C" w:rsidP="00B35BE0">
      <w:pPr>
        <w:spacing w:line="360" w:lineRule="auto"/>
        <w:jc w:val="both"/>
        <w:rPr>
          <w:rFonts w:asciiTheme="minorHAnsi" w:hAnsiTheme="minorHAnsi"/>
          <w:u w:val="single"/>
        </w:rPr>
      </w:pPr>
    </w:p>
    <w:p w14:paraId="5E2060E7" w14:textId="5F5E757E" w:rsidR="0047170B" w:rsidRPr="00AB315F" w:rsidRDefault="0047170B" w:rsidP="005A7075">
      <w:pPr>
        <w:spacing w:after="240" w:line="360" w:lineRule="auto"/>
        <w:ind w:firstLine="708"/>
        <w:jc w:val="both"/>
        <w:rPr>
          <w:rFonts w:asciiTheme="minorHAnsi" w:hAnsiTheme="minorHAnsi"/>
        </w:rPr>
      </w:pPr>
      <w:r w:rsidRPr="00AB315F">
        <w:rPr>
          <w:rFonts w:asciiTheme="minorHAnsi" w:hAnsiTheme="minorHAnsi"/>
        </w:rPr>
        <w:t>A partir da alternativa da análise utilizada para avaliar a validação convergente da med</w:t>
      </w:r>
      <w:r w:rsidR="005F661C">
        <w:rPr>
          <w:rFonts w:asciiTheme="minorHAnsi" w:hAnsiTheme="minorHAnsi"/>
        </w:rPr>
        <w:t>ida de aceitação, existem</w:t>
      </w:r>
      <w:r w:rsidRPr="00AB315F">
        <w:rPr>
          <w:rFonts w:asciiTheme="minorHAnsi" w:hAnsiTheme="minorHAnsi"/>
        </w:rPr>
        <w:t xml:space="preserve"> evidência</w:t>
      </w:r>
      <w:r w:rsidR="00C56A67" w:rsidRPr="00AB315F">
        <w:rPr>
          <w:rFonts w:asciiTheme="minorHAnsi" w:hAnsiTheme="minorHAnsi"/>
        </w:rPr>
        <w:t>s</w:t>
      </w:r>
      <w:r w:rsidRPr="00AB315F">
        <w:rPr>
          <w:rFonts w:asciiTheme="minorHAnsi" w:hAnsiTheme="minorHAnsi"/>
        </w:rPr>
        <w:t xml:space="preserve"> para</w:t>
      </w:r>
      <w:r w:rsidR="005F661C">
        <w:rPr>
          <w:rFonts w:asciiTheme="minorHAnsi" w:hAnsiTheme="minorHAnsi"/>
        </w:rPr>
        <w:t xml:space="preserve"> rejeitar</w:t>
      </w:r>
      <w:r w:rsidRPr="00AB315F">
        <w:rPr>
          <w:rFonts w:asciiTheme="minorHAnsi" w:hAnsiTheme="minorHAnsi"/>
        </w:rPr>
        <w:t xml:space="preserve"> a hipótese de que indicadores observáveis alternativos da dimensão da aceitação da corrupção no âmbito do cotidiano são convergentes aos indicadores observáveis da medida de Aceitação da Corrupção – neste caso, “oferecer propina” e “sonegar impostos”.</w:t>
      </w:r>
    </w:p>
    <w:p w14:paraId="07DAE481" w14:textId="419DD179" w:rsidR="0047170B" w:rsidRPr="00AB315F" w:rsidRDefault="0072120D" w:rsidP="00656889">
      <w:pPr>
        <w:pStyle w:val="Ttulo3"/>
        <w:spacing w:after="240"/>
      </w:pPr>
      <w:bookmarkStart w:id="26" w:name="_Toc456241259"/>
      <w:r w:rsidRPr="00AB315F">
        <w:t>3.2</w:t>
      </w:r>
      <w:r w:rsidR="0005370B" w:rsidRPr="00AB315F">
        <w:t>.</w:t>
      </w:r>
      <w:r w:rsidRPr="00AB315F">
        <w:t>4</w:t>
      </w:r>
      <w:r w:rsidR="0005370B" w:rsidRPr="00AB315F">
        <w:t xml:space="preserve"> </w:t>
      </w:r>
      <w:r w:rsidR="00DB4E85">
        <w:t>Validação n</w:t>
      </w:r>
      <w:r w:rsidR="0047170B" w:rsidRPr="00AB315F">
        <w:t>omológica</w:t>
      </w:r>
      <w:bookmarkEnd w:id="26"/>
      <w:r w:rsidR="0047170B" w:rsidRPr="00AB315F">
        <w:t xml:space="preserve"> </w:t>
      </w:r>
    </w:p>
    <w:p w14:paraId="192928BF" w14:textId="0442B95B" w:rsidR="00517EF4" w:rsidRPr="00AB315F" w:rsidRDefault="00517EF4" w:rsidP="00656889">
      <w:pPr>
        <w:spacing w:after="240" w:line="360" w:lineRule="auto"/>
        <w:ind w:firstLine="708"/>
        <w:jc w:val="both"/>
        <w:rPr>
          <w:rFonts w:asciiTheme="minorHAnsi" w:hAnsiTheme="minorHAnsi"/>
        </w:rPr>
      </w:pPr>
      <w:r w:rsidRPr="00AB315F">
        <w:rPr>
          <w:rFonts w:asciiTheme="minorHAnsi" w:hAnsiTheme="minorHAnsi"/>
        </w:rPr>
        <w:t>A validação nomológica avalia o desempenho de um indicador em relação a uma hipótese causal relacionada a outros constructos.</w:t>
      </w:r>
      <w:r w:rsidR="00262624" w:rsidRPr="00AB315F">
        <w:rPr>
          <w:rFonts w:asciiTheme="minorHAnsi" w:hAnsiTheme="minorHAnsi"/>
        </w:rPr>
        <w:t xml:space="preserve"> Ou seja, certifica-se que o indicador tem um desempenho esperado para uma determinada relação de causalidade com outros constructos. </w:t>
      </w:r>
    </w:p>
    <w:p w14:paraId="0ECD7C97" w14:textId="0D1DCF87" w:rsidR="00262624" w:rsidRPr="00AB315F" w:rsidRDefault="00262624" w:rsidP="005A7075">
      <w:pPr>
        <w:spacing w:after="240" w:line="360" w:lineRule="auto"/>
        <w:ind w:firstLine="708"/>
        <w:jc w:val="both"/>
        <w:rPr>
          <w:rFonts w:asciiTheme="minorHAnsi" w:hAnsiTheme="minorHAnsi"/>
        </w:rPr>
      </w:pPr>
      <w:r w:rsidRPr="00AB315F">
        <w:rPr>
          <w:rFonts w:asciiTheme="minorHAnsi" w:hAnsiTheme="minorHAnsi"/>
        </w:rPr>
        <w:t>Este tipo de validação depende do arcabouço teórico e o estabelecimento de relações de causalidade entre o constructo Aceitação da Corrupção e outras variáveis latentes. Assim, esta análise será guiada à luz os achados da literatura e do arcabouço teórico que envolve o fenômeno da aceitação.</w:t>
      </w:r>
    </w:p>
    <w:p w14:paraId="4BAF2916" w14:textId="13B88113" w:rsidR="00262624" w:rsidRPr="00AB315F" w:rsidRDefault="00262624" w:rsidP="005A7075">
      <w:pPr>
        <w:spacing w:after="240" w:line="360" w:lineRule="auto"/>
        <w:ind w:firstLine="708"/>
        <w:jc w:val="both"/>
        <w:rPr>
          <w:rFonts w:asciiTheme="minorHAnsi" w:hAnsiTheme="minorHAnsi"/>
        </w:rPr>
      </w:pPr>
      <w:r w:rsidRPr="00AB315F">
        <w:rPr>
          <w:rFonts w:asciiTheme="minorHAnsi" w:hAnsiTheme="minorHAnsi"/>
        </w:rPr>
        <w:t xml:space="preserve">Entre os constructos que a literatura apresenta como explicativos ao fenômeno da aceitação da corrupção estão: confiança interpessoal e nas instituições políticas, valores democráticos e valores pós-materialistas. </w:t>
      </w:r>
    </w:p>
    <w:p w14:paraId="7C7FC81E" w14:textId="77777777" w:rsidR="00262624" w:rsidRPr="00AB315F" w:rsidRDefault="00262624" w:rsidP="005A7075">
      <w:pPr>
        <w:autoSpaceDE w:val="0"/>
        <w:autoSpaceDN w:val="0"/>
        <w:adjustRightInd w:val="0"/>
        <w:spacing w:after="240" w:line="360" w:lineRule="auto"/>
        <w:ind w:firstLine="708"/>
        <w:jc w:val="both"/>
        <w:rPr>
          <w:rFonts w:asciiTheme="minorHAnsi" w:hAnsiTheme="minorHAnsi"/>
        </w:rPr>
      </w:pPr>
      <w:r w:rsidRPr="00AB315F">
        <w:rPr>
          <w:rFonts w:asciiTheme="minorHAnsi" w:hAnsiTheme="minorHAnsi"/>
        </w:rPr>
        <w:t xml:space="preserve">É esperado que o constructo da confiança interpessoal e nas instituições políticas se relacionem negativamente com a medida de aceitação, ou seja, quanto maior o nível da confiança menor a justificação das práticas corruptas. </w:t>
      </w:r>
    </w:p>
    <w:p w14:paraId="405B9A77" w14:textId="3B493DD7" w:rsidR="00262624" w:rsidRPr="00AB315F" w:rsidRDefault="00262624" w:rsidP="005A7075">
      <w:pPr>
        <w:autoSpaceDE w:val="0"/>
        <w:autoSpaceDN w:val="0"/>
        <w:adjustRightInd w:val="0"/>
        <w:spacing w:after="240" w:line="360" w:lineRule="auto"/>
        <w:ind w:firstLine="708"/>
        <w:jc w:val="both"/>
        <w:rPr>
          <w:rFonts w:asciiTheme="minorHAnsi" w:hAnsiTheme="minorHAnsi"/>
        </w:rPr>
      </w:pPr>
      <w:r w:rsidRPr="00AB315F">
        <w:rPr>
          <w:rFonts w:asciiTheme="minorHAnsi" w:hAnsiTheme="minorHAnsi"/>
        </w:rPr>
        <w:lastRenderedPageBreak/>
        <w:t>A literatura entende que a ação coordenada e a restrição ao comportamento oportunista devem depender, em parte, da difusão de valores, atitudes e da confiança - tanto interpessoal, quanto nas instituições de uma sociedade (PUTNAM, 2000). A desconfiança interpessoal e nas instituições pode produzir um ambiente marcado pela incerteza, o que dificultaria ações coordenadas, ou restrições a comportamentos desviantes do interesse público (INGLEHART 2000). Segundo Putnam (2000), em comunidades caracterizadas pela confiança generalizada, as pessoas tendem a acreditar que as regras são implementadas e aceitas pela comunidade, o que gera em tese respeito a elas. Nesse sentido, avaliar que determinado ato corrupto é aceitável significa romper com a norma estabelecida e transgredir o interesse público, ou seja, não cooperar.</w:t>
      </w:r>
    </w:p>
    <w:p w14:paraId="42C5189E" w14:textId="77777777" w:rsidR="00262624" w:rsidRPr="00AB315F" w:rsidRDefault="00262624" w:rsidP="005A7075">
      <w:pPr>
        <w:autoSpaceDE w:val="0"/>
        <w:autoSpaceDN w:val="0"/>
        <w:adjustRightInd w:val="0"/>
        <w:spacing w:after="240" w:line="360" w:lineRule="auto"/>
        <w:ind w:right="-188" w:firstLine="708"/>
        <w:jc w:val="both"/>
        <w:rPr>
          <w:rFonts w:asciiTheme="minorHAnsi" w:eastAsiaTheme="minorHAnsi" w:hAnsiTheme="minorHAnsi"/>
          <w:lang w:eastAsia="en-US"/>
        </w:rPr>
      </w:pPr>
      <w:r w:rsidRPr="00AB315F">
        <w:rPr>
          <w:rFonts w:asciiTheme="minorHAnsi" w:hAnsiTheme="minorHAnsi"/>
        </w:rPr>
        <w:t xml:space="preserve">Da mesma forma, o constructo refletido por orientações cívicas e democráticas (adesão aos princípios e normas democráticas deve se relacionar negativamente com a medida de Aceitação. Segundo Putnan (2000), a identidade e mobilização coletiva acerca de temas públicos reduzem o espaço para comportamentos oportunistas e cria um círculo virtuoso de valorização de práticas democráticas e fortalecimento das instituições. </w:t>
      </w:r>
    </w:p>
    <w:p w14:paraId="2C425E77" w14:textId="4A137C1C" w:rsidR="00262624" w:rsidRPr="00AB315F" w:rsidRDefault="00262624" w:rsidP="005A7075">
      <w:pPr>
        <w:autoSpaceDE w:val="0"/>
        <w:autoSpaceDN w:val="0"/>
        <w:adjustRightInd w:val="0"/>
        <w:spacing w:after="240" w:line="360" w:lineRule="auto"/>
        <w:ind w:right="-188" w:firstLine="708"/>
        <w:jc w:val="both"/>
        <w:rPr>
          <w:rFonts w:asciiTheme="minorHAnsi" w:hAnsiTheme="minorHAnsi"/>
        </w:rPr>
      </w:pPr>
      <w:r w:rsidRPr="00AB315F">
        <w:rPr>
          <w:rFonts w:asciiTheme="minorHAnsi" w:eastAsiaTheme="minorHAnsi" w:hAnsiTheme="minorHAnsi"/>
          <w:lang w:eastAsia="en-US"/>
        </w:rPr>
        <w:t xml:space="preserve">Norris (1999) também avalia que a inclinação pessoal para respeitar a lei está positivamente associada à confiança e adesão aos princípios e normas do sistema político. </w:t>
      </w:r>
      <w:r w:rsidR="00FD55AE" w:rsidRPr="00AB315F">
        <w:rPr>
          <w:rFonts w:asciiTheme="minorHAnsi" w:eastAsiaTheme="minorHAnsi" w:hAnsiTheme="minorHAnsi"/>
          <w:lang w:eastAsia="en-US"/>
        </w:rPr>
        <w:t>Enfim</w:t>
      </w:r>
      <w:r w:rsidRPr="00AB315F">
        <w:rPr>
          <w:rFonts w:asciiTheme="minorHAnsi" w:eastAsiaTheme="minorHAnsi" w:hAnsiTheme="minorHAnsi"/>
          <w:lang w:eastAsia="en-US"/>
        </w:rPr>
        <w:t xml:space="preserve">, </w:t>
      </w:r>
      <w:r w:rsidRPr="00AB315F">
        <w:rPr>
          <w:rFonts w:asciiTheme="minorHAnsi" w:hAnsiTheme="minorHAnsi"/>
        </w:rPr>
        <w:t>os atos de corrupção representam, em sua essência, a deterioração dos valores cívicos e, como a acepção da palavra denota: a decomposição e putrefação do interesse público (FILGUEIRAS, 2008).</w:t>
      </w:r>
    </w:p>
    <w:p w14:paraId="345F27CD" w14:textId="27F293EF" w:rsidR="0024169A" w:rsidRPr="00AB315F" w:rsidRDefault="00262624" w:rsidP="005A7075">
      <w:pPr>
        <w:tabs>
          <w:tab w:val="left" w:pos="540"/>
        </w:tabs>
        <w:autoSpaceDE w:val="0"/>
        <w:autoSpaceDN w:val="0"/>
        <w:adjustRightInd w:val="0"/>
        <w:spacing w:after="240" w:line="360" w:lineRule="auto"/>
        <w:ind w:right="-188"/>
        <w:jc w:val="both"/>
        <w:rPr>
          <w:rFonts w:asciiTheme="minorHAnsi" w:hAnsiTheme="minorHAnsi"/>
        </w:rPr>
      </w:pPr>
      <w:r w:rsidRPr="00AB315F">
        <w:rPr>
          <w:rFonts w:asciiTheme="minorHAnsi" w:hAnsiTheme="minorHAnsi"/>
        </w:rPr>
        <w:tab/>
        <w:t xml:space="preserve">Por fim, as orientações atitudinais (valores) também devem se relacionar </w:t>
      </w:r>
      <w:r w:rsidR="0024169A" w:rsidRPr="00AB315F">
        <w:rPr>
          <w:rFonts w:asciiTheme="minorHAnsi" w:hAnsiTheme="minorHAnsi"/>
        </w:rPr>
        <w:t>negativamente com a medida de A</w:t>
      </w:r>
      <w:r w:rsidRPr="00AB315F">
        <w:rPr>
          <w:rFonts w:asciiTheme="minorHAnsi" w:hAnsiTheme="minorHAnsi"/>
        </w:rPr>
        <w:t>ceitaçã</w:t>
      </w:r>
      <w:r w:rsidR="0024169A" w:rsidRPr="00AB315F">
        <w:rPr>
          <w:rFonts w:asciiTheme="minorHAnsi" w:hAnsiTheme="minorHAnsi"/>
        </w:rPr>
        <w:t xml:space="preserve">o. </w:t>
      </w:r>
      <w:r w:rsidRPr="00AB315F">
        <w:rPr>
          <w:rFonts w:asciiTheme="minorHAnsi" w:hAnsiTheme="minorHAnsi"/>
        </w:rPr>
        <w:t xml:space="preserve">Segundo Inglehart e Welzet (2010), em sociedades nas quais prevalecem valores tradicionais, a estrutura social costuma ser mais verticalmente hierárquica, o que, aliado ao maior respeito às autoridades, diminui a capacidade social de questionamento e contribui para maior tolerância à corrupção. </w:t>
      </w:r>
    </w:p>
    <w:p w14:paraId="1D999194" w14:textId="694A5589" w:rsidR="00262624" w:rsidRPr="00AB315F" w:rsidRDefault="0024169A" w:rsidP="005A7075">
      <w:pPr>
        <w:tabs>
          <w:tab w:val="left" w:pos="540"/>
        </w:tabs>
        <w:autoSpaceDE w:val="0"/>
        <w:autoSpaceDN w:val="0"/>
        <w:adjustRightInd w:val="0"/>
        <w:spacing w:after="240" w:line="360" w:lineRule="auto"/>
        <w:ind w:right="-188"/>
        <w:jc w:val="both"/>
        <w:rPr>
          <w:rFonts w:asciiTheme="minorHAnsi" w:hAnsiTheme="minorHAnsi"/>
        </w:rPr>
      </w:pPr>
      <w:r w:rsidRPr="00AB315F">
        <w:rPr>
          <w:rFonts w:asciiTheme="minorHAnsi" w:hAnsiTheme="minorHAnsi"/>
        </w:rPr>
        <w:tab/>
      </w:r>
      <w:r w:rsidR="00262624" w:rsidRPr="00AB315F">
        <w:rPr>
          <w:rFonts w:asciiTheme="minorHAnsi" w:hAnsiTheme="minorHAnsi"/>
        </w:rPr>
        <w:t xml:space="preserve">Sociedades mais próximas de valores secular-racionais apresentam valores opostos a esses, com menor ênfase nas tradições e religião e maior ênfase na razão. O índice de pós-materialismo, o qual incorpora mudanças culturais decorrentes da transição de uma sociedade industrial para pós-industrial, além de indicar alterações de prioridades </w:t>
      </w:r>
      <w:r w:rsidR="00262624" w:rsidRPr="00AB315F">
        <w:rPr>
          <w:rFonts w:asciiTheme="minorHAnsi" w:hAnsiTheme="minorHAnsi"/>
        </w:rPr>
        <w:lastRenderedPageBreak/>
        <w:t>(INGLEHART; 2002), está fortemente associado a valores de aceitação da diversidade e, sobretudo, à promoção da confiança interpessoal generalizada, o que implicaria em efeitos sobre a tolerância à corrupção.</w:t>
      </w:r>
    </w:p>
    <w:p w14:paraId="59450C11" w14:textId="7D40C282" w:rsidR="00205942" w:rsidRPr="00AB315F" w:rsidRDefault="0024169A" w:rsidP="005A7075">
      <w:pPr>
        <w:autoSpaceDE w:val="0"/>
        <w:autoSpaceDN w:val="0"/>
        <w:adjustRightInd w:val="0"/>
        <w:spacing w:after="240" w:line="360" w:lineRule="auto"/>
        <w:ind w:right="-188" w:firstLine="708"/>
        <w:jc w:val="both"/>
        <w:rPr>
          <w:rFonts w:asciiTheme="minorHAnsi" w:hAnsiTheme="minorHAnsi"/>
        </w:rPr>
      </w:pPr>
      <w:r w:rsidRPr="00AB315F">
        <w:rPr>
          <w:rFonts w:asciiTheme="minorHAnsi" w:hAnsiTheme="minorHAnsi"/>
        </w:rPr>
        <w:t>D</w:t>
      </w:r>
      <w:r w:rsidR="00315843" w:rsidRPr="00AB315F">
        <w:rPr>
          <w:rFonts w:asciiTheme="minorHAnsi" w:hAnsiTheme="minorHAnsi"/>
        </w:rPr>
        <w:t>eve-se buscar</w:t>
      </w:r>
      <w:r w:rsidRPr="00AB315F">
        <w:rPr>
          <w:rFonts w:asciiTheme="minorHAnsi" w:hAnsiTheme="minorHAnsi"/>
        </w:rPr>
        <w:t xml:space="preserve">, a partir do referencial teórico, </w:t>
      </w:r>
      <w:r w:rsidR="00205942" w:rsidRPr="00AB315F">
        <w:rPr>
          <w:rFonts w:asciiTheme="minorHAnsi" w:hAnsiTheme="minorHAnsi"/>
        </w:rPr>
        <w:t>explicar os construtos e estimar os parâmetros de uma cadeia nomológica (cadeia de relacionamentos causais envolvendo, de forma simultânea, uma rede de construtos)</w:t>
      </w:r>
      <w:r w:rsidR="00315843" w:rsidRPr="00AB315F">
        <w:rPr>
          <w:rFonts w:asciiTheme="minorHAnsi" w:hAnsiTheme="minorHAnsi"/>
        </w:rPr>
        <w:t>.</w:t>
      </w:r>
      <w:r w:rsidRPr="00AB315F">
        <w:rPr>
          <w:rFonts w:asciiTheme="minorHAnsi" w:hAnsiTheme="minorHAnsi"/>
        </w:rPr>
        <w:t xml:space="preserve"> Isto será feito mediante uma modelagem por equações estruturais.</w:t>
      </w:r>
    </w:p>
    <w:p w14:paraId="6B860F7C" w14:textId="0BC1F539" w:rsidR="0024169A" w:rsidRDefault="00DE1B7B" w:rsidP="005A7075">
      <w:pPr>
        <w:autoSpaceDE w:val="0"/>
        <w:autoSpaceDN w:val="0"/>
        <w:adjustRightInd w:val="0"/>
        <w:spacing w:after="240" w:line="360" w:lineRule="auto"/>
        <w:ind w:right="-188" w:firstLine="708"/>
        <w:jc w:val="both"/>
        <w:rPr>
          <w:rFonts w:asciiTheme="minorHAnsi" w:hAnsiTheme="minorHAnsi"/>
          <w:szCs w:val="30"/>
        </w:rPr>
      </w:pPr>
      <w:r>
        <w:rPr>
          <w:rFonts w:asciiTheme="minorHAnsi" w:hAnsiTheme="minorHAnsi"/>
        </w:rPr>
        <w:t>A</w:t>
      </w:r>
      <w:r w:rsidRPr="00AB315F">
        <w:rPr>
          <w:rFonts w:asciiTheme="minorHAnsi" w:hAnsiTheme="minorHAnsi"/>
        </w:rPr>
        <w:t xml:space="preserve"> exceção do Índice de Pós-materialismo, que já está construído na base de dados</w:t>
      </w:r>
      <w:r>
        <w:rPr>
          <w:rFonts w:asciiTheme="minorHAnsi" w:hAnsiTheme="minorHAnsi"/>
        </w:rPr>
        <w:t xml:space="preserve"> do WVS</w:t>
      </w:r>
      <w:r w:rsidRPr="00AB315F">
        <w:rPr>
          <w:rFonts w:asciiTheme="minorHAnsi" w:hAnsiTheme="minorHAnsi"/>
        </w:rPr>
        <w:t>,</w:t>
      </w:r>
      <w:r>
        <w:rPr>
          <w:rFonts w:asciiTheme="minorHAnsi" w:hAnsiTheme="minorHAnsi"/>
        </w:rPr>
        <w:t xml:space="preserve"> o</w:t>
      </w:r>
      <w:r w:rsidR="0024169A" w:rsidRPr="00AB315F">
        <w:rPr>
          <w:rFonts w:asciiTheme="minorHAnsi" w:hAnsiTheme="minorHAnsi"/>
        </w:rPr>
        <w:t xml:space="preserve">s constructos explicativos à Aceitação da Corrupção </w:t>
      </w:r>
      <w:r>
        <w:rPr>
          <w:rFonts w:asciiTheme="minorHAnsi" w:hAnsiTheme="minorHAnsi"/>
        </w:rPr>
        <w:t>são resultados dos outputs da AFE dos seguintes e respectivos indicadores observáveis</w:t>
      </w:r>
      <w:r w:rsidR="0024169A" w:rsidRPr="00AB315F">
        <w:rPr>
          <w:rFonts w:asciiTheme="minorHAnsi" w:hAnsiTheme="minorHAnsi"/>
          <w:szCs w:val="30"/>
        </w:rPr>
        <w:t>:</w:t>
      </w:r>
    </w:p>
    <w:p w14:paraId="76188ECC" w14:textId="0A4DE86E" w:rsidR="00E15C4B" w:rsidRPr="00E15C4B" w:rsidRDefault="00E15C4B" w:rsidP="005A7075">
      <w:pPr>
        <w:autoSpaceDE w:val="0"/>
        <w:autoSpaceDN w:val="0"/>
        <w:adjustRightInd w:val="0"/>
        <w:spacing w:after="240" w:line="360" w:lineRule="auto"/>
        <w:ind w:right="-188" w:firstLine="708"/>
        <w:jc w:val="both"/>
        <w:rPr>
          <w:rFonts w:asciiTheme="minorHAnsi" w:hAnsiTheme="minorHAnsi"/>
          <w:b/>
        </w:rPr>
      </w:pPr>
      <w:r w:rsidRPr="00E15C4B">
        <w:rPr>
          <w:rFonts w:asciiTheme="minorHAnsi" w:hAnsiTheme="minorHAnsi"/>
          <w:b/>
          <w:szCs w:val="30"/>
        </w:rPr>
        <w:t>Tabela 1</w:t>
      </w:r>
      <w:r w:rsidR="00ED2DAB">
        <w:rPr>
          <w:rFonts w:asciiTheme="minorHAnsi" w:hAnsiTheme="minorHAnsi"/>
          <w:b/>
          <w:szCs w:val="30"/>
        </w:rPr>
        <w:t>1</w:t>
      </w:r>
      <w:r w:rsidRPr="00E15C4B">
        <w:rPr>
          <w:rFonts w:asciiTheme="minorHAnsi" w:hAnsiTheme="minorHAnsi"/>
          <w:b/>
          <w:szCs w:val="30"/>
        </w:rPr>
        <w:t>. Indicadores de associação à medida de Aceitação da Corrupção</w:t>
      </w:r>
    </w:p>
    <w:tbl>
      <w:tblPr>
        <w:tblStyle w:val="Tabelacomgrade"/>
        <w:tblW w:w="0" w:type="auto"/>
        <w:jc w:val="center"/>
        <w:tblLook w:val="04A0" w:firstRow="1" w:lastRow="0" w:firstColumn="1" w:lastColumn="0" w:noHBand="0" w:noVBand="1"/>
      </w:tblPr>
      <w:tblGrid>
        <w:gridCol w:w="2689"/>
        <w:gridCol w:w="5805"/>
      </w:tblGrid>
      <w:tr w:rsidR="0024169A" w:rsidRPr="00AB315F" w14:paraId="0DC19804" w14:textId="77777777" w:rsidTr="00E15C4B">
        <w:trPr>
          <w:jc w:val="center"/>
        </w:trPr>
        <w:tc>
          <w:tcPr>
            <w:tcW w:w="2689" w:type="dxa"/>
            <w:tcBorders>
              <w:left w:val="nil"/>
              <w:bottom w:val="single" w:sz="4" w:space="0" w:color="auto"/>
            </w:tcBorders>
            <w:vAlign w:val="center"/>
          </w:tcPr>
          <w:p w14:paraId="1B156C9F" w14:textId="07102E5B" w:rsidR="0024169A" w:rsidRPr="00AB315F" w:rsidRDefault="00386609" w:rsidP="0073630D">
            <w:pPr>
              <w:autoSpaceDE w:val="0"/>
              <w:autoSpaceDN w:val="0"/>
              <w:adjustRightInd w:val="0"/>
              <w:ind w:right="-188"/>
              <w:jc w:val="center"/>
              <w:rPr>
                <w:rFonts w:asciiTheme="minorHAnsi" w:hAnsiTheme="minorHAnsi"/>
                <w:sz w:val="20"/>
              </w:rPr>
            </w:pPr>
            <w:r>
              <w:rPr>
                <w:rFonts w:asciiTheme="minorHAnsi" w:hAnsiTheme="minorHAnsi"/>
                <w:sz w:val="20"/>
              </w:rPr>
              <w:t xml:space="preserve">Índices </w:t>
            </w:r>
          </w:p>
        </w:tc>
        <w:tc>
          <w:tcPr>
            <w:tcW w:w="5805" w:type="dxa"/>
            <w:tcBorders>
              <w:bottom w:val="single" w:sz="4" w:space="0" w:color="auto"/>
              <w:right w:val="nil"/>
            </w:tcBorders>
            <w:vAlign w:val="center"/>
          </w:tcPr>
          <w:p w14:paraId="1FF4CF4E" w14:textId="1980681E" w:rsidR="0024169A" w:rsidRPr="00AB315F" w:rsidRDefault="0073630D" w:rsidP="0073630D">
            <w:pPr>
              <w:autoSpaceDE w:val="0"/>
              <w:autoSpaceDN w:val="0"/>
              <w:adjustRightInd w:val="0"/>
              <w:ind w:right="-188"/>
              <w:jc w:val="center"/>
              <w:rPr>
                <w:rFonts w:asciiTheme="minorHAnsi" w:hAnsiTheme="minorHAnsi"/>
                <w:sz w:val="20"/>
              </w:rPr>
            </w:pPr>
            <w:r w:rsidRPr="00AB315F">
              <w:rPr>
                <w:rFonts w:asciiTheme="minorHAnsi" w:hAnsiTheme="minorHAnsi"/>
                <w:sz w:val="20"/>
              </w:rPr>
              <w:t>Variáveis observáveis</w:t>
            </w:r>
          </w:p>
        </w:tc>
      </w:tr>
      <w:tr w:rsidR="0024169A" w:rsidRPr="00AB315F" w14:paraId="1AFCB0E9" w14:textId="77777777" w:rsidTr="00E15C4B">
        <w:trPr>
          <w:jc w:val="center"/>
        </w:trPr>
        <w:tc>
          <w:tcPr>
            <w:tcW w:w="2689" w:type="dxa"/>
            <w:tcBorders>
              <w:left w:val="nil"/>
            </w:tcBorders>
            <w:vAlign w:val="center"/>
          </w:tcPr>
          <w:p w14:paraId="56F1792A" w14:textId="1707EA55" w:rsidR="0024169A" w:rsidRPr="00AB315F" w:rsidRDefault="0024169A" w:rsidP="0073630D">
            <w:pPr>
              <w:autoSpaceDE w:val="0"/>
              <w:autoSpaceDN w:val="0"/>
              <w:adjustRightInd w:val="0"/>
              <w:ind w:right="-188"/>
              <w:jc w:val="center"/>
              <w:rPr>
                <w:rFonts w:asciiTheme="minorHAnsi" w:hAnsiTheme="minorHAnsi"/>
                <w:sz w:val="20"/>
              </w:rPr>
            </w:pPr>
            <w:r w:rsidRPr="00AB315F">
              <w:rPr>
                <w:rFonts w:asciiTheme="minorHAnsi" w:hAnsiTheme="minorHAnsi"/>
                <w:sz w:val="20"/>
              </w:rPr>
              <w:t>Valores democráticos</w:t>
            </w:r>
          </w:p>
        </w:tc>
        <w:tc>
          <w:tcPr>
            <w:tcW w:w="5805" w:type="dxa"/>
            <w:tcBorders>
              <w:right w:val="nil"/>
            </w:tcBorders>
            <w:vAlign w:val="center"/>
          </w:tcPr>
          <w:p w14:paraId="2C4CB0AE" w14:textId="77777777" w:rsidR="0073630D" w:rsidRPr="00AB315F" w:rsidRDefault="0024169A" w:rsidP="0073630D">
            <w:pPr>
              <w:autoSpaceDE w:val="0"/>
              <w:autoSpaceDN w:val="0"/>
              <w:adjustRightInd w:val="0"/>
              <w:ind w:right="-188"/>
              <w:jc w:val="center"/>
              <w:rPr>
                <w:rFonts w:asciiTheme="minorHAnsi" w:hAnsiTheme="minorHAnsi"/>
                <w:sz w:val="20"/>
              </w:rPr>
            </w:pPr>
            <w:r w:rsidRPr="00AB315F">
              <w:rPr>
                <w:rFonts w:asciiTheme="minorHAnsi" w:hAnsiTheme="minorHAnsi"/>
                <w:sz w:val="20"/>
              </w:rPr>
              <w:t>“Ter um líder forte que precise se preocupar com  deputados e senadores e com as eleições</w:t>
            </w:r>
          </w:p>
          <w:p w14:paraId="08C22471" w14:textId="04D50997" w:rsidR="0073630D" w:rsidRPr="00DE1B7B" w:rsidRDefault="0073630D" w:rsidP="00DE1B7B">
            <w:pPr>
              <w:autoSpaceDE w:val="0"/>
              <w:autoSpaceDN w:val="0"/>
              <w:adjustRightInd w:val="0"/>
              <w:ind w:right="-188"/>
              <w:jc w:val="center"/>
              <w:rPr>
                <w:rFonts w:asciiTheme="minorHAnsi" w:hAnsiTheme="minorHAnsi"/>
                <w:sz w:val="20"/>
              </w:rPr>
            </w:pPr>
            <w:r w:rsidRPr="00AB315F">
              <w:rPr>
                <w:rFonts w:asciiTheme="minorHAnsi" w:hAnsiTheme="minorHAnsi"/>
                <w:i/>
                <w:sz w:val="20"/>
              </w:rPr>
              <w:t>“</w:t>
            </w:r>
            <w:r w:rsidRPr="00AB315F">
              <w:rPr>
                <w:rFonts w:asciiTheme="minorHAnsi" w:hAnsiTheme="minorHAnsi"/>
                <w:sz w:val="20"/>
              </w:rPr>
              <w:t>Ter um siste</w:t>
            </w:r>
            <w:r w:rsidR="00DE1B7B">
              <w:rPr>
                <w:rFonts w:asciiTheme="minorHAnsi" w:hAnsiTheme="minorHAnsi"/>
                <w:sz w:val="20"/>
              </w:rPr>
              <w:t>ma político democrático”</w:t>
            </w:r>
          </w:p>
        </w:tc>
      </w:tr>
      <w:tr w:rsidR="0024169A" w:rsidRPr="00AB315F" w14:paraId="199FC52F" w14:textId="77777777" w:rsidTr="00E15C4B">
        <w:trPr>
          <w:jc w:val="center"/>
        </w:trPr>
        <w:tc>
          <w:tcPr>
            <w:tcW w:w="2689" w:type="dxa"/>
            <w:tcBorders>
              <w:left w:val="nil"/>
            </w:tcBorders>
            <w:vAlign w:val="center"/>
          </w:tcPr>
          <w:p w14:paraId="6B1B9469" w14:textId="25B58B28" w:rsidR="0024169A" w:rsidRPr="00AB315F" w:rsidRDefault="0024169A" w:rsidP="0073630D">
            <w:pPr>
              <w:autoSpaceDE w:val="0"/>
              <w:autoSpaceDN w:val="0"/>
              <w:adjustRightInd w:val="0"/>
              <w:ind w:right="-188"/>
              <w:jc w:val="center"/>
              <w:rPr>
                <w:rFonts w:asciiTheme="minorHAnsi" w:hAnsiTheme="minorHAnsi"/>
                <w:sz w:val="20"/>
              </w:rPr>
            </w:pPr>
            <w:r w:rsidRPr="00AB315F">
              <w:rPr>
                <w:rFonts w:asciiTheme="minorHAnsi" w:hAnsiTheme="minorHAnsi"/>
                <w:sz w:val="20"/>
              </w:rPr>
              <w:t>Confiança Política</w:t>
            </w:r>
          </w:p>
        </w:tc>
        <w:tc>
          <w:tcPr>
            <w:tcW w:w="5805" w:type="dxa"/>
            <w:tcBorders>
              <w:right w:val="nil"/>
            </w:tcBorders>
            <w:vAlign w:val="center"/>
          </w:tcPr>
          <w:p w14:paraId="335AD875" w14:textId="4FDEAC0B" w:rsidR="0024169A" w:rsidRPr="00AB315F" w:rsidRDefault="00DE1B7B" w:rsidP="0073630D">
            <w:pPr>
              <w:autoSpaceDE w:val="0"/>
              <w:autoSpaceDN w:val="0"/>
              <w:adjustRightInd w:val="0"/>
              <w:ind w:right="-188"/>
              <w:jc w:val="center"/>
              <w:rPr>
                <w:rFonts w:asciiTheme="minorHAnsi" w:hAnsiTheme="minorHAnsi"/>
                <w:sz w:val="20"/>
              </w:rPr>
            </w:pPr>
            <w:r>
              <w:rPr>
                <w:rFonts w:asciiTheme="minorHAnsi" w:hAnsiTheme="minorHAnsi"/>
                <w:sz w:val="20"/>
              </w:rPr>
              <w:t>M</w:t>
            </w:r>
            <w:r w:rsidR="0073630D" w:rsidRPr="00AB315F">
              <w:rPr>
                <w:rFonts w:asciiTheme="minorHAnsi" w:hAnsiTheme="minorHAnsi"/>
                <w:sz w:val="20"/>
              </w:rPr>
              <w:t xml:space="preserve">edida </w:t>
            </w:r>
            <w:r>
              <w:rPr>
                <w:rFonts w:asciiTheme="minorHAnsi" w:hAnsiTheme="minorHAnsi"/>
                <w:sz w:val="20"/>
              </w:rPr>
              <w:t xml:space="preserve">de </w:t>
            </w:r>
            <w:r w:rsidR="0073630D" w:rsidRPr="00AB315F">
              <w:rPr>
                <w:rFonts w:asciiTheme="minorHAnsi" w:hAnsiTheme="minorHAnsi"/>
                <w:sz w:val="20"/>
              </w:rPr>
              <w:t>confia</w:t>
            </w:r>
            <w:r>
              <w:rPr>
                <w:rFonts w:asciiTheme="minorHAnsi" w:hAnsiTheme="minorHAnsi"/>
                <w:sz w:val="20"/>
              </w:rPr>
              <w:t>nça</w:t>
            </w:r>
            <w:r w:rsidR="0073630D" w:rsidRPr="00AB315F">
              <w:rPr>
                <w:rFonts w:asciiTheme="minorHAnsi" w:hAnsiTheme="minorHAnsi"/>
                <w:sz w:val="20"/>
              </w:rPr>
              <w:t xml:space="preserve"> nas instituições :</w:t>
            </w:r>
          </w:p>
          <w:p w14:paraId="56D5CC3A" w14:textId="77777777" w:rsidR="0073630D" w:rsidRPr="00AB315F" w:rsidRDefault="0073630D" w:rsidP="0073630D">
            <w:pPr>
              <w:autoSpaceDE w:val="0"/>
              <w:autoSpaceDN w:val="0"/>
              <w:adjustRightInd w:val="0"/>
              <w:ind w:right="-188"/>
              <w:jc w:val="center"/>
              <w:rPr>
                <w:rFonts w:asciiTheme="minorHAnsi" w:hAnsiTheme="minorHAnsi"/>
                <w:sz w:val="20"/>
              </w:rPr>
            </w:pPr>
            <w:r w:rsidRPr="00AB315F">
              <w:rPr>
                <w:rFonts w:asciiTheme="minorHAnsi" w:hAnsiTheme="minorHAnsi"/>
                <w:sz w:val="20"/>
              </w:rPr>
              <w:t>“Justiça”</w:t>
            </w:r>
          </w:p>
          <w:p w14:paraId="7FB080DB" w14:textId="77777777" w:rsidR="0073630D" w:rsidRPr="00AB315F" w:rsidRDefault="0073630D" w:rsidP="0073630D">
            <w:pPr>
              <w:autoSpaceDE w:val="0"/>
              <w:autoSpaceDN w:val="0"/>
              <w:adjustRightInd w:val="0"/>
              <w:ind w:right="-188"/>
              <w:jc w:val="center"/>
              <w:rPr>
                <w:rFonts w:asciiTheme="minorHAnsi" w:hAnsiTheme="minorHAnsi"/>
                <w:sz w:val="20"/>
              </w:rPr>
            </w:pPr>
            <w:r w:rsidRPr="00AB315F">
              <w:rPr>
                <w:rFonts w:asciiTheme="minorHAnsi" w:hAnsiTheme="minorHAnsi"/>
                <w:sz w:val="20"/>
              </w:rPr>
              <w:t>“Governo”</w:t>
            </w:r>
          </w:p>
          <w:p w14:paraId="6E8C3E39" w14:textId="77777777" w:rsidR="0073630D" w:rsidRPr="00AB315F" w:rsidRDefault="0073630D" w:rsidP="0073630D">
            <w:pPr>
              <w:autoSpaceDE w:val="0"/>
              <w:autoSpaceDN w:val="0"/>
              <w:adjustRightInd w:val="0"/>
              <w:ind w:right="-188"/>
              <w:jc w:val="center"/>
              <w:rPr>
                <w:rFonts w:asciiTheme="minorHAnsi" w:hAnsiTheme="minorHAnsi"/>
                <w:sz w:val="20"/>
              </w:rPr>
            </w:pPr>
            <w:r w:rsidRPr="00AB315F">
              <w:rPr>
                <w:rFonts w:asciiTheme="minorHAnsi" w:hAnsiTheme="minorHAnsi"/>
                <w:sz w:val="20"/>
              </w:rPr>
              <w:t>“Partido”</w:t>
            </w:r>
          </w:p>
          <w:p w14:paraId="1C198213" w14:textId="7E504F0F" w:rsidR="0073630D" w:rsidRPr="00AB315F" w:rsidRDefault="00DE1B7B" w:rsidP="00DE1B7B">
            <w:pPr>
              <w:autoSpaceDE w:val="0"/>
              <w:autoSpaceDN w:val="0"/>
              <w:adjustRightInd w:val="0"/>
              <w:ind w:right="-188"/>
              <w:jc w:val="center"/>
              <w:rPr>
                <w:rFonts w:asciiTheme="minorHAnsi" w:hAnsiTheme="minorHAnsi"/>
                <w:sz w:val="20"/>
              </w:rPr>
            </w:pPr>
            <w:r>
              <w:rPr>
                <w:rFonts w:asciiTheme="minorHAnsi" w:hAnsiTheme="minorHAnsi"/>
                <w:sz w:val="20"/>
              </w:rPr>
              <w:t>“Congresso Nacional”</w:t>
            </w:r>
          </w:p>
        </w:tc>
      </w:tr>
      <w:tr w:rsidR="0024169A" w:rsidRPr="00AB315F" w14:paraId="0275E041" w14:textId="77777777" w:rsidTr="00E15C4B">
        <w:trPr>
          <w:jc w:val="center"/>
        </w:trPr>
        <w:tc>
          <w:tcPr>
            <w:tcW w:w="2689" w:type="dxa"/>
            <w:tcBorders>
              <w:left w:val="nil"/>
            </w:tcBorders>
            <w:vAlign w:val="center"/>
          </w:tcPr>
          <w:p w14:paraId="215C4AFB" w14:textId="4BB9101D" w:rsidR="0024169A" w:rsidRPr="00AB315F" w:rsidRDefault="0024169A" w:rsidP="0073630D">
            <w:pPr>
              <w:autoSpaceDE w:val="0"/>
              <w:autoSpaceDN w:val="0"/>
              <w:adjustRightInd w:val="0"/>
              <w:ind w:right="-188"/>
              <w:jc w:val="center"/>
              <w:rPr>
                <w:rFonts w:asciiTheme="minorHAnsi" w:hAnsiTheme="minorHAnsi"/>
                <w:sz w:val="20"/>
              </w:rPr>
            </w:pPr>
            <w:r w:rsidRPr="00AB315F">
              <w:rPr>
                <w:rFonts w:asciiTheme="minorHAnsi" w:hAnsiTheme="minorHAnsi"/>
                <w:sz w:val="20"/>
              </w:rPr>
              <w:t>Confiança Interpessoal</w:t>
            </w:r>
          </w:p>
        </w:tc>
        <w:tc>
          <w:tcPr>
            <w:tcW w:w="5805" w:type="dxa"/>
            <w:tcBorders>
              <w:right w:val="nil"/>
            </w:tcBorders>
            <w:vAlign w:val="center"/>
          </w:tcPr>
          <w:p w14:paraId="702E831B" w14:textId="14A0E338" w:rsidR="0024169A" w:rsidRPr="00AB315F" w:rsidRDefault="00DE1B7B" w:rsidP="0073630D">
            <w:pPr>
              <w:autoSpaceDE w:val="0"/>
              <w:autoSpaceDN w:val="0"/>
              <w:adjustRightInd w:val="0"/>
              <w:ind w:right="-188"/>
              <w:jc w:val="center"/>
              <w:rPr>
                <w:rFonts w:asciiTheme="minorHAnsi" w:hAnsiTheme="minorHAnsi"/>
                <w:sz w:val="20"/>
              </w:rPr>
            </w:pPr>
            <w:r>
              <w:rPr>
                <w:rFonts w:asciiTheme="minorHAnsi" w:hAnsiTheme="minorHAnsi"/>
                <w:sz w:val="20"/>
              </w:rPr>
              <w:t>M</w:t>
            </w:r>
            <w:r w:rsidR="0073630D" w:rsidRPr="00AB315F">
              <w:rPr>
                <w:rFonts w:asciiTheme="minorHAnsi" w:hAnsiTheme="minorHAnsi"/>
                <w:sz w:val="20"/>
              </w:rPr>
              <w:t xml:space="preserve">edida </w:t>
            </w:r>
            <w:r>
              <w:rPr>
                <w:rFonts w:asciiTheme="minorHAnsi" w:hAnsiTheme="minorHAnsi"/>
                <w:sz w:val="20"/>
              </w:rPr>
              <w:t xml:space="preserve">de </w:t>
            </w:r>
            <w:r w:rsidR="0073630D" w:rsidRPr="00AB315F">
              <w:rPr>
                <w:rFonts w:asciiTheme="minorHAnsi" w:hAnsiTheme="minorHAnsi"/>
                <w:sz w:val="20"/>
              </w:rPr>
              <w:t>confia</w:t>
            </w:r>
            <w:r>
              <w:rPr>
                <w:rFonts w:asciiTheme="minorHAnsi" w:hAnsiTheme="minorHAnsi"/>
                <w:sz w:val="20"/>
              </w:rPr>
              <w:t>nça em</w:t>
            </w:r>
            <w:r w:rsidR="0073630D" w:rsidRPr="00AB315F">
              <w:rPr>
                <w:rFonts w:asciiTheme="minorHAnsi" w:hAnsiTheme="minorHAnsi"/>
                <w:sz w:val="20"/>
              </w:rPr>
              <w:t>:</w:t>
            </w:r>
          </w:p>
          <w:p w14:paraId="5804795B" w14:textId="77777777" w:rsidR="0073630D" w:rsidRPr="00AB315F" w:rsidRDefault="0073630D" w:rsidP="0073630D">
            <w:pPr>
              <w:autoSpaceDE w:val="0"/>
              <w:autoSpaceDN w:val="0"/>
              <w:adjustRightInd w:val="0"/>
              <w:ind w:right="-188"/>
              <w:jc w:val="center"/>
              <w:rPr>
                <w:rFonts w:asciiTheme="minorHAnsi" w:hAnsiTheme="minorHAnsi"/>
                <w:sz w:val="20"/>
              </w:rPr>
            </w:pPr>
            <w:r w:rsidRPr="00AB315F">
              <w:rPr>
                <w:rFonts w:asciiTheme="minorHAnsi" w:hAnsiTheme="minorHAnsi"/>
                <w:sz w:val="20"/>
              </w:rPr>
              <w:t>“Pessoas que você conhece pessoalmente”</w:t>
            </w:r>
          </w:p>
          <w:p w14:paraId="6CB54DC8" w14:textId="75EB6B5E" w:rsidR="0073630D" w:rsidRPr="00DE1B7B" w:rsidRDefault="0073630D" w:rsidP="00DE1B7B">
            <w:pPr>
              <w:autoSpaceDE w:val="0"/>
              <w:autoSpaceDN w:val="0"/>
              <w:adjustRightInd w:val="0"/>
              <w:ind w:right="-188"/>
              <w:jc w:val="center"/>
              <w:rPr>
                <w:rFonts w:asciiTheme="minorHAnsi" w:hAnsiTheme="minorHAnsi"/>
                <w:sz w:val="20"/>
              </w:rPr>
            </w:pPr>
            <w:r w:rsidRPr="00AB315F">
              <w:rPr>
                <w:rFonts w:asciiTheme="minorHAnsi" w:hAnsiTheme="minorHAnsi"/>
                <w:sz w:val="20"/>
              </w:rPr>
              <w:t>“Pessoas que voc</w:t>
            </w:r>
            <w:r w:rsidR="00DE1B7B">
              <w:rPr>
                <w:rFonts w:asciiTheme="minorHAnsi" w:hAnsiTheme="minorHAnsi"/>
                <w:sz w:val="20"/>
              </w:rPr>
              <w:t>ê está vendo pela primeira vez”</w:t>
            </w:r>
          </w:p>
        </w:tc>
      </w:tr>
    </w:tbl>
    <w:p w14:paraId="60249605" w14:textId="690EFB56"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 </w:t>
      </w:r>
      <w:r>
        <w:rPr>
          <w:rFonts w:ascii="Calibri" w:hAnsi="Calibri"/>
          <w:sz w:val="20"/>
          <w:szCs w:val="22"/>
        </w:rPr>
        <w:t>elaboração própria</w:t>
      </w:r>
    </w:p>
    <w:p w14:paraId="013E1E6F" w14:textId="0E67F1E4" w:rsidR="0024169A" w:rsidRDefault="0024169A" w:rsidP="0024169A">
      <w:pPr>
        <w:autoSpaceDE w:val="0"/>
        <w:autoSpaceDN w:val="0"/>
        <w:adjustRightInd w:val="0"/>
        <w:spacing w:line="360" w:lineRule="auto"/>
        <w:ind w:right="-188" w:firstLine="708"/>
        <w:jc w:val="both"/>
        <w:rPr>
          <w:rFonts w:asciiTheme="minorHAnsi" w:hAnsiTheme="minorHAnsi"/>
        </w:rPr>
      </w:pPr>
    </w:p>
    <w:p w14:paraId="7ECD143D" w14:textId="77777777" w:rsidR="00FD55AE" w:rsidRDefault="00FD55AE" w:rsidP="0024169A">
      <w:pPr>
        <w:autoSpaceDE w:val="0"/>
        <w:autoSpaceDN w:val="0"/>
        <w:adjustRightInd w:val="0"/>
        <w:spacing w:line="360" w:lineRule="auto"/>
        <w:ind w:right="-188" w:firstLine="708"/>
        <w:jc w:val="both"/>
        <w:rPr>
          <w:rFonts w:asciiTheme="minorHAnsi" w:hAnsiTheme="minorHAnsi"/>
        </w:rPr>
      </w:pPr>
    </w:p>
    <w:p w14:paraId="1C8E6DFC" w14:textId="77777777" w:rsidR="00FD55AE" w:rsidRDefault="00FD55AE" w:rsidP="0024169A">
      <w:pPr>
        <w:autoSpaceDE w:val="0"/>
        <w:autoSpaceDN w:val="0"/>
        <w:adjustRightInd w:val="0"/>
        <w:spacing w:line="360" w:lineRule="auto"/>
        <w:ind w:right="-188" w:firstLine="708"/>
        <w:jc w:val="both"/>
        <w:rPr>
          <w:rFonts w:asciiTheme="minorHAnsi" w:hAnsiTheme="minorHAnsi"/>
        </w:rPr>
      </w:pPr>
    </w:p>
    <w:p w14:paraId="1F1E1FE9" w14:textId="77777777" w:rsidR="00FD55AE" w:rsidRDefault="00FD55AE" w:rsidP="0024169A">
      <w:pPr>
        <w:autoSpaceDE w:val="0"/>
        <w:autoSpaceDN w:val="0"/>
        <w:adjustRightInd w:val="0"/>
        <w:spacing w:line="360" w:lineRule="auto"/>
        <w:ind w:right="-188" w:firstLine="708"/>
        <w:jc w:val="both"/>
        <w:rPr>
          <w:rFonts w:asciiTheme="minorHAnsi" w:hAnsiTheme="minorHAnsi"/>
        </w:rPr>
      </w:pPr>
    </w:p>
    <w:p w14:paraId="61BAEC6F" w14:textId="77777777" w:rsidR="00FD55AE" w:rsidRDefault="00FD55AE" w:rsidP="0024169A">
      <w:pPr>
        <w:autoSpaceDE w:val="0"/>
        <w:autoSpaceDN w:val="0"/>
        <w:adjustRightInd w:val="0"/>
        <w:spacing w:line="360" w:lineRule="auto"/>
        <w:ind w:right="-188" w:firstLine="708"/>
        <w:jc w:val="both"/>
        <w:rPr>
          <w:rFonts w:asciiTheme="minorHAnsi" w:hAnsiTheme="minorHAnsi"/>
        </w:rPr>
      </w:pPr>
    </w:p>
    <w:p w14:paraId="5B0D4067" w14:textId="77777777" w:rsidR="00FD55AE" w:rsidRDefault="00FD55AE" w:rsidP="0024169A">
      <w:pPr>
        <w:autoSpaceDE w:val="0"/>
        <w:autoSpaceDN w:val="0"/>
        <w:adjustRightInd w:val="0"/>
        <w:spacing w:line="360" w:lineRule="auto"/>
        <w:ind w:right="-188" w:firstLine="708"/>
        <w:jc w:val="both"/>
        <w:rPr>
          <w:rFonts w:asciiTheme="minorHAnsi" w:hAnsiTheme="minorHAnsi"/>
        </w:rPr>
      </w:pPr>
    </w:p>
    <w:p w14:paraId="266CA6B5" w14:textId="77777777" w:rsidR="00FD55AE" w:rsidRDefault="00FD55AE" w:rsidP="0024169A">
      <w:pPr>
        <w:autoSpaceDE w:val="0"/>
        <w:autoSpaceDN w:val="0"/>
        <w:adjustRightInd w:val="0"/>
        <w:spacing w:line="360" w:lineRule="auto"/>
        <w:ind w:right="-188" w:firstLine="708"/>
        <w:jc w:val="both"/>
        <w:rPr>
          <w:rFonts w:asciiTheme="minorHAnsi" w:hAnsiTheme="minorHAnsi"/>
        </w:rPr>
      </w:pPr>
    </w:p>
    <w:p w14:paraId="314427D3" w14:textId="77777777" w:rsidR="00FD55AE" w:rsidRDefault="00FD55AE" w:rsidP="0024169A">
      <w:pPr>
        <w:autoSpaceDE w:val="0"/>
        <w:autoSpaceDN w:val="0"/>
        <w:adjustRightInd w:val="0"/>
        <w:spacing w:line="360" w:lineRule="auto"/>
        <w:ind w:right="-188" w:firstLine="708"/>
        <w:jc w:val="both"/>
        <w:rPr>
          <w:rFonts w:asciiTheme="minorHAnsi" w:hAnsiTheme="minorHAnsi"/>
        </w:rPr>
      </w:pPr>
    </w:p>
    <w:p w14:paraId="1EB89ABA" w14:textId="77777777" w:rsidR="00FD55AE" w:rsidRDefault="00FD55AE" w:rsidP="0024169A">
      <w:pPr>
        <w:autoSpaceDE w:val="0"/>
        <w:autoSpaceDN w:val="0"/>
        <w:adjustRightInd w:val="0"/>
        <w:spacing w:line="360" w:lineRule="auto"/>
        <w:ind w:right="-188" w:firstLine="708"/>
        <w:jc w:val="both"/>
        <w:rPr>
          <w:rFonts w:asciiTheme="minorHAnsi" w:hAnsiTheme="minorHAnsi"/>
        </w:rPr>
      </w:pPr>
    </w:p>
    <w:p w14:paraId="2B149994" w14:textId="77777777" w:rsidR="00FD55AE" w:rsidRDefault="00FD55AE" w:rsidP="0024169A">
      <w:pPr>
        <w:autoSpaceDE w:val="0"/>
        <w:autoSpaceDN w:val="0"/>
        <w:adjustRightInd w:val="0"/>
        <w:spacing w:line="360" w:lineRule="auto"/>
        <w:ind w:right="-188" w:firstLine="708"/>
        <w:jc w:val="both"/>
        <w:rPr>
          <w:rFonts w:asciiTheme="minorHAnsi" w:hAnsiTheme="minorHAnsi"/>
        </w:rPr>
      </w:pPr>
    </w:p>
    <w:p w14:paraId="50548B98" w14:textId="77777777" w:rsidR="00FD55AE" w:rsidRPr="00AB315F" w:rsidRDefault="00FD55AE" w:rsidP="0024169A">
      <w:pPr>
        <w:autoSpaceDE w:val="0"/>
        <w:autoSpaceDN w:val="0"/>
        <w:adjustRightInd w:val="0"/>
        <w:spacing w:line="360" w:lineRule="auto"/>
        <w:ind w:right="-188" w:firstLine="708"/>
        <w:jc w:val="both"/>
        <w:rPr>
          <w:rFonts w:asciiTheme="minorHAnsi" w:hAnsiTheme="minorHAnsi"/>
        </w:rPr>
      </w:pPr>
    </w:p>
    <w:p w14:paraId="1C4C8FA8" w14:textId="26006B19" w:rsidR="00315843" w:rsidRDefault="0024169A" w:rsidP="0024169A">
      <w:pPr>
        <w:ind w:firstLine="708"/>
        <w:rPr>
          <w:rFonts w:asciiTheme="minorHAnsi" w:hAnsiTheme="minorHAnsi"/>
          <w:szCs w:val="30"/>
        </w:rPr>
      </w:pPr>
      <w:r w:rsidRPr="00AB315F">
        <w:rPr>
          <w:rFonts w:asciiTheme="minorHAnsi" w:hAnsiTheme="minorHAnsi"/>
          <w:szCs w:val="30"/>
        </w:rPr>
        <w:lastRenderedPageBreak/>
        <w:t xml:space="preserve">O modelo está especificado conforme a figura abaixo: </w:t>
      </w:r>
    </w:p>
    <w:p w14:paraId="144C26D7" w14:textId="77777777" w:rsidR="00E15C4B" w:rsidRDefault="00E15C4B" w:rsidP="0024169A">
      <w:pPr>
        <w:ind w:firstLine="708"/>
        <w:rPr>
          <w:rFonts w:asciiTheme="minorHAnsi" w:hAnsiTheme="minorHAnsi"/>
          <w:szCs w:val="30"/>
        </w:rPr>
      </w:pPr>
    </w:p>
    <w:p w14:paraId="487AD348" w14:textId="7BE49CD2" w:rsidR="00E15C4B" w:rsidRPr="00E15C4B" w:rsidRDefault="00E15C4B" w:rsidP="00E15C4B">
      <w:pPr>
        <w:jc w:val="center"/>
        <w:rPr>
          <w:rFonts w:asciiTheme="minorHAnsi" w:hAnsiTheme="minorHAnsi"/>
          <w:b/>
          <w:szCs w:val="30"/>
        </w:rPr>
      </w:pPr>
      <w:r w:rsidRPr="00E15C4B">
        <w:rPr>
          <w:rFonts w:asciiTheme="minorHAnsi" w:hAnsiTheme="minorHAnsi"/>
          <w:b/>
          <w:szCs w:val="30"/>
        </w:rPr>
        <w:t>Figura 4. Modelo de equações estruturais</w:t>
      </w:r>
    </w:p>
    <w:p w14:paraId="673EE415" w14:textId="79195B72" w:rsidR="00DE1B7B" w:rsidRPr="00AB315F" w:rsidRDefault="00DE1B7B" w:rsidP="0024169A">
      <w:pPr>
        <w:ind w:firstLine="708"/>
        <w:rPr>
          <w:rFonts w:asciiTheme="minorHAnsi" w:hAnsiTheme="minorHAnsi"/>
          <w:szCs w:val="30"/>
        </w:rPr>
      </w:pPr>
      <w:r>
        <w:rPr>
          <w:rFonts w:asciiTheme="minorHAnsi" w:hAnsiTheme="minorHAnsi"/>
          <w:noProof/>
          <w:szCs w:val="30"/>
        </w:rPr>
        <w:drawing>
          <wp:anchor distT="0" distB="0" distL="114300" distR="114300" simplePos="0" relativeHeight="251960320" behindDoc="0" locked="0" layoutInCell="1" allowOverlap="1" wp14:anchorId="38530FC0" wp14:editId="66279A59">
            <wp:simplePos x="0" y="0"/>
            <wp:positionH relativeFrom="column">
              <wp:posOffset>-30922</wp:posOffset>
            </wp:positionH>
            <wp:positionV relativeFrom="paragraph">
              <wp:posOffset>245110</wp:posOffset>
            </wp:positionV>
            <wp:extent cx="5400040" cy="2999740"/>
            <wp:effectExtent l="0" t="0" r="0" b="0"/>
            <wp:wrapThrough wrapText="bothSides">
              <wp:wrapPolygon edited="0">
                <wp:start x="0" y="0"/>
                <wp:lineTo x="0" y="21399"/>
                <wp:lineTo x="21488" y="21399"/>
                <wp:lineTo x="21488" y="0"/>
                <wp:lineTo x="0" y="0"/>
              </wp:wrapPolygon>
            </wp:wrapThrough>
            <wp:docPr id="227" name="Imagem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SEM_ITC2006.png"/>
                    <pic:cNvPicPr/>
                  </pic:nvPicPr>
                  <pic:blipFill>
                    <a:blip r:embed="rId19">
                      <a:extLst>
                        <a:ext uri="{28A0092B-C50C-407E-A947-70E740481C1C}">
                          <a14:useLocalDpi xmlns:a14="http://schemas.microsoft.com/office/drawing/2010/main" val="0"/>
                        </a:ext>
                      </a:extLst>
                    </a:blip>
                    <a:stretch>
                      <a:fillRect/>
                    </a:stretch>
                  </pic:blipFill>
                  <pic:spPr>
                    <a:xfrm>
                      <a:off x="0" y="0"/>
                      <a:ext cx="5400040" cy="2999740"/>
                    </a:xfrm>
                    <a:prstGeom prst="rect">
                      <a:avLst/>
                    </a:prstGeom>
                  </pic:spPr>
                </pic:pic>
              </a:graphicData>
            </a:graphic>
            <wp14:sizeRelH relativeFrom="page">
              <wp14:pctWidth>0</wp14:pctWidth>
            </wp14:sizeRelH>
            <wp14:sizeRelV relativeFrom="page">
              <wp14:pctHeight>0</wp14:pctHeight>
            </wp14:sizeRelV>
          </wp:anchor>
        </w:drawing>
      </w:r>
    </w:p>
    <w:p w14:paraId="6B765F11" w14:textId="77777777"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elaboração própria</w:t>
      </w:r>
    </w:p>
    <w:p w14:paraId="3729F83A" w14:textId="77777777" w:rsidR="001F728A" w:rsidRDefault="001F728A" w:rsidP="005A7075">
      <w:pPr>
        <w:spacing w:after="240" w:line="360" w:lineRule="auto"/>
        <w:ind w:firstLine="708"/>
        <w:jc w:val="both"/>
        <w:rPr>
          <w:rFonts w:asciiTheme="minorHAnsi" w:hAnsiTheme="minorHAnsi"/>
        </w:rPr>
      </w:pPr>
    </w:p>
    <w:p w14:paraId="25AF3527" w14:textId="52D5B4CD" w:rsidR="00E904CF" w:rsidRPr="00AB315F" w:rsidRDefault="00E904CF" w:rsidP="005A7075">
      <w:pPr>
        <w:spacing w:after="240" w:line="360" w:lineRule="auto"/>
        <w:ind w:firstLine="708"/>
        <w:jc w:val="both"/>
        <w:rPr>
          <w:rFonts w:asciiTheme="minorHAnsi" w:hAnsiTheme="minorHAnsi"/>
        </w:rPr>
      </w:pPr>
      <w:r w:rsidRPr="00AB315F">
        <w:rPr>
          <w:rFonts w:asciiTheme="minorHAnsi" w:hAnsiTheme="minorHAnsi"/>
        </w:rPr>
        <w:t xml:space="preserve">Os </w:t>
      </w:r>
      <w:r w:rsidR="00231C17" w:rsidRPr="00AB315F">
        <w:rPr>
          <w:rFonts w:asciiTheme="minorHAnsi" w:hAnsiTheme="minorHAnsi"/>
        </w:rPr>
        <w:t>coeficientes da equação estrutural são significativos para os efeitos dos constructos “</w:t>
      </w:r>
      <w:r w:rsidR="0024169A" w:rsidRPr="00AB315F">
        <w:rPr>
          <w:rFonts w:asciiTheme="minorHAnsi" w:hAnsiTheme="minorHAnsi"/>
        </w:rPr>
        <w:t>Valores democráticos” e “Índice pó</w:t>
      </w:r>
      <w:r w:rsidR="00231C17" w:rsidRPr="00AB315F">
        <w:rPr>
          <w:rFonts w:asciiTheme="minorHAnsi" w:hAnsiTheme="minorHAnsi"/>
        </w:rPr>
        <w:t>s</w:t>
      </w:r>
      <w:r w:rsidR="0024169A" w:rsidRPr="00AB315F">
        <w:rPr>
          <w:rFonts w:asciiTheme="minorHAnsi" w:hAnsiTheme="minorHAnsi"/>
        </w:rPr>
        <w:t>-</w:t>
      </w:r>
      <w:r w:rsidR="00231C17" w:rsidRPr="00AB315F">
        <w:rPr>
          <w:rFonts w:asciiTheme="minorHAnsi" w:hAnsiTheme="minorHAnsi"/>
        </w:rPr>
        <w:t xml:space="preserve">materialista”. Neste caso as relações esperadas são confirmadas, os coeficientes demonstram que quanto mais altos são os valores dos índices de pós-materialismo e </w:t>
      </w:r>
      <w:r w:rsidR="0024169A" w:rsidRPr="00AB315F">
        <w:rPr>
          <w:rFonts w:asciiTheme="minorHAnsi" w:hAnsiTheme="minorHAnsi"/>
        </w:rPr>
        <w:t xml:space="preserve">“Valores democráticos” </w:t>
      </w:r>
      <w:r w:rsidR="00231C17" w:rsidRPr="00AB315F">
        <w:rPr>
          <w:rFonts w:asciiTheme="minorHAnsi" w:hAnsiTheme="minorHAnsi"/>
        </w:rPr>
        <w:t xml:space="preserve">mais baixa a tolerância ou aceitação da corrupção. Os coeficientes do constructo de confiança nas instituições políticas e </w:t>
      </w:r>
      <w:r w:rsidR="00AB1E1C" w:rsidRPr="00AB315F">
        <w:rPr>
          <w:rFonts w:asciiTheme="minorHAnsi" w:hAnsiTheme="minorHAnsi"/>
        </w:rPr>
        <w:t>confiança interpessoal</w:t>
      </w:r>
      <w:r w:rsidR="00231C17" w:rsidRPr="00AB315F">
        <w:rPr>
          <w:rFonts w:asciiTheme="minorHAnsi" w:hAnsiTheme="minorHAnsi"/>
        </w:rPr>
        <w:t xml:space="preserve"> não são significativos.</w:t>
      </w:r>
    </w:p>
    <w:p w14:paraId="05734751" w14:textId="6C2B898C" w:rsidR="009B1AA8" w:rsidRPr="00AB315F" w:rsidRDefault="009B1AA8" w:rsidP="005A7075">
      <w:pPr>
        <w:spacing w:after="240" w:line="360" w:lineRule="auto"/>
        <w:jc w:val="both"/>
        <w:rPr>
          <w:rFonts w:asciiTheme="minorHAnsi" w:hAnsiTheme="minorHAnsi"/>
        </w:rPr>
      </w:pPr>
      <w:r w:rsidRPr="00AB315F">
        <w:rPr>
          <w:rFonts w:asciiTheme="minorHAnsi" w:hAnsiTheme="minorHAnsi"/>
        </w:rPr>
        <w:tab/>
      </w:r>
      <w:r w:rsidR="003D2555" w:rsidRPr="00AB315F">
        <w:rPr>
          <w:rFonts w:asciiTheme="minorHAnsi" w:hAnsiTheme="minorHAnsi"/>
        </w:rPr>
        <w:t xml:space="preserve">Uma vez que os coeficientes foram estimados </w:t>
      </w:r>
      <w:r w:rsidR="00656889">
        <w:rPr>
          <w:rFonts w:asciiTheme="minorHAnsi" w:hAnsiTheme="minorHAnsi"/>
        </w:rPr>
        <w:t xml:space="preserve">com erros padrões robustos, as </w:t>
      </w:r>
      <w:r w:rsidR="003D2555" w:rsidRPr="00AB315F">
        <w:rPr>
          <w:rFonts w:asciiTheme="minorHAnsi" w:hAnsiTheme="minorHAnsi"/>
        </w:rPr>
        <w:t>e</w:t>
      </w:r>
      <w:r w:rsidRPr="00AB315F">
        <w:rPr>
          <w:rFonts w:asciiTheme="minorHAnsi" w:hAnsiTheme="minorHAnsi"/>
        </w:rPr>
        <w:t>statística</w:t>
      </w:r>
      <w:r w:rsidR="003D2555" w:rsidRPr="00AB315F">
        <w:rPr>
          <w:rFonts w:asciiTheme="minorHAnsi" w:hAnsiTheme="minorHAnsi"/>
        </w:rPr>
        <w:t>s</w:t>
      </w:r>
      <w:r w:rsidRPr="00AB315F">
        <w:rPr>
          <w:rFonts w:asciiTheme="minorHAnsi" w:hAnsiTheme="minorHAnsi"/>
        </w:rPr>
        <w:t xml:space="preserve"> de ajuste do modelo foram estimadas apenas pelos índices SRMR (0,046) e CD (0,953), </w:t>
      </w:r>
      <w:r w:rsidR="00EE2C1E" w:rsidRPr="00AB315F">
        <w:rPr>
          <w:rFonts w:asciiTheme="minorHAnsi" w:hAnsiTheme="minorHAnsi"/>
        </w:rPr>
        <w:t xml:space="preserve">os quais apresentaram valores de corte aceitáveis. </w:t>
      </w:r>
    </w:p>
    <w:p w14:paraId="4D3AC83F" w14:textId="3B18CDF4" w:rsidR="00517EF4" w:rsidRDefault="00517EF4" w:rsidP="005A7075">
      <w:pPr>
        <w:spacing w:after="240" w:line="360" w:lineRule="auto"/>
        <w:jc w:val="both"/>
        <w:rPr>
          <w:rFonts w:asciiTheme="minorHAnsi" w:hAnsiTheme="minorHAnsi"/>
        </w:rPr>
      </w:pPr>
      <w:r w:rsidRPr="00AB315F">
        <w:rPr>
          <w:rFonts w:asciiTheme="minorHAnsi" w:hAnsiTheme="minorHAnsi"/>
        </w:rPr>
        <w:tab/>
        <w:t xml:space="preserve">Nesse sentido </w:t>
      </w:r>
      <w:r w:rsidR="00B72A80" w:rsidRPr="00AB315F">
        <w:rPr>
          <w:rFonts w:asciiTheme="minorHAnsi" w:hAnsiTheme="minorHAnsi"/>
        </w:rPr>
        <w:t>a validação nomológica é parcialmente satisfeita, já que os constructos de confiança interpessoal e nas instituições políticas não foram significativos para explicar o nível de aceitação da corrupção dos brasileiros em 2006.</w:t>
      </w:r>
    </w:p>
    <w:p w14:paraId="0AB8C3AB" w14:textId="42038F7E" w:rsidR="00AB1E1C" w:rsidRPr="00AB315F" w:rsidRDefault="0072120D" w:rsidP="00E81B2E">
      <w:pPr>
        <w:pStyle w:val="Ttulo2"/>
        <w:spacing w:before="0" w:after="240"/>
        <w:rPr>
          <w:color w:val="auto"/>
        </w:rPr>
      </w:pPr>
      <w:bookmarkStart w:id="27" w:name="_Toc456241260"/>
      <w:r w:rsidRPr="00AB315F">
        <w:rPr>
          <w:color w:val="auto"/>
        </w:rPr>
        <w:lastRenderedPageBreak/>
        <w:t xml:space="preserve">3.3 </w:t>
      </w:r>
      <w:r w:rsidR="002A6ADC" w:rsidRPr="00AB315F">
        <w:rPr>
          <w:color w:val="auto"/>
        </w:rPr>
        <w:t>Evidências de c</w:t>
      </w:r>
      <w:r w:rsidR="00AB1E1C" w:rsidRPr="00AB315F">
        <w:rPr>
          <w:color w:val="auto"/>
        </w:rPr>
        <w:t>onfiabilidade</w:t>
      </w:r>
      <w:bookmarkEnd w:id="27"/>
      <w:r w:rsidR="00AB1E1C" w:rsidRPr="00AB315F">
        <w:rPr>
          <w:color w:val="auto"/>
        </w:rPr>
        <w:t xml:space="preserve"> </w:t>
      </w:r>
    </w:p>
    <w:p w14:paraId="411CC0F1" w14:textId="5D48A935" w:rsidR="00AB1E1C" w:rsidRPr="00AB315F" w:rsidRDefault="001E2BA8" w:rsidP="00E81B2E">
      <w:pPr>
        <w:spacing w:after="240" w:line="360" w:lineRule="auto"/>
        <w:jc w:val="both"/>
        <w:rPr>
          <w:rFonts w:asciiTheme="minorHAnsi" w:hAnsiTheme="minorHAnsi"/>
        </w:rPr>
      </w:pPr>
      <w:r w:rsidRPr="00AB315F">
        <w:rPr>
          <w:rFonts w:asciiTheme="minorHAnsi" w:hAnsiTheme="minorHAnsi"/>
        </w:rPr>
        <w:tab/>
        <w:t xml:space="preserve">A confiabilidade da medida de aceitação será acessada através das técnicas de Análise Fatorial e Alpha de Cronbach. </w:t>
      </w:r>
    </w:p>
    <w:p w14:paraId="40D6F5AC" w14:textId="5AE3BB40" w:rsidR="001E2BA8" w:rsidRPr="00AB315F" w:rsidRDefault="001E2BA8" w:rsidP="005A7075">
      <w:pPr>
        <w:spacing w:after="240" w:line="360" w:lineRule="auto"/>
        <w:jc w:val="both"/>
        <w:rPr>
          <w:rFonts w:asciiTheme="minorHAnsi" w:hAnsiTheme="minorHAnsi"/>
        </w:rPr>
      </w:pPr>
      <w:r w:rsidRPr="00AB315F">
        <w:rPr>
          <w:rFonts w:asciiTheme="minorHAnsi" w:hAnsiTheme="minorHAnsi"/>
        </w:rPr>
        <w:tab/>
        <w:t xml:space="preserve">A princípio utiliza-se da técnica de Análise Fatorial Exploratória (AFE) para </w:t>
      </w:r>
      <w:r w:rsidR="002F318F" w:rsidRPr="00AB315F">
        <w:rPr>
          <w:rFonts w:asciiTheme="minorHAnsi" w:hAnsiTheme="minorHAnsi"/>
        </w:rPr>
        <w:t>avaliar a natureza da estrutura subjacente às variáveis, ou seja, avaliar a dimensionalidade de o conjunto de indicadores observáveis da medida de Aceitação a fim de descobrir o menor número de fatores interpretáveis necessários para explicar as correlações entre eles.</w:t>
      </w:r>
    </w:p>
    <w:p w14:paraId="6D9379F0" w14:textId="3FA91318" w:rsidR="002F318F" w:rsidRPr="00AB315F" w:rsidRDefault="00DB6F16" w:rsidP="005A7075">
      <w:pPr>
        <w:spacing w:after="240" w:line="360" w:lineRule="auto"/>
        <w:jc w:val="both"/>
        <w:rPr>
          <w:rFonts w:asciiTheme="minorHAnsi" w:hAnsiTheme="minorHAnsi"/>
        </w:rPr>
      </w:pPr>
      <w:r w:rsidRPr="00AB315F">
        <w:rPr>
          <w:rFonts w:asciiTheme="minorHAnsi" w:hAnsiTheme="minorHAnsi"/>
        </w:rPr>
        <w:tab/>
        <w:t xml:space="preserve">Entre </w:t>
      </w:r>
      <w:r w:rsidR="002F318F" w:rsidRPr="00AB315F">
        <w:rPr>
          <w:rFonts w:asciiTheme="minorHAnsi" w:hAnsiTheme="minorHAnsi"/>
        </w:rPr>
        <w:t>os três períodos observados do banco de dados do World Value Survey para o Brasil, a AFE demonstrou que os indicadores</w:t>
      </w:r>
      <w:r w:rsidRPr="00AB315F">
        <w:rPr>
          <w:rFonts w:asciiTheme="minorHAnsi" w:hAnsiTheme="minorHAnsi"/>
        </w:rPr>
        <w:t xml:space="preserve"> observáveis da rodada de 2006 e 2014</w:t>
      </w:r>
      <w:r w:rsidR="002F318F" w:rsidRPr="00AB315F">
        <w:rPr>
          <w:rFonts w:asciiTheme="minorHAnsi" w:hAnsiTheme="minorHAnsi"/>
        </w:rPr>
        <w:t xml:space="preserve"> possuem apenas um fator subjacente</w:t>
      </w:r>
      <w:r w:rsidR="002F318F" w:rsidRPr="00AB315F">
        <w:rPr>
          <w:rStyle w:val="Refdenotaderodap"/>
          <w:rFonts w:asciiTheme="minorHAnsi" w:hAnsiTheme="minorHAnsi"/>
        </w:rPr>
        <w:footnoteReference w:id="20"/>
      </w:r>
      <w:r w:rsidRPr="00AB315F">
        <w:rPr>
          <w:rFonts w:asciiTheme="minorHAnsi" w:hAnsiTheme="minorHAnsi"/>
        </w:rPr>
        <w:t>, já para a rodada de 1991 não foi gerado nenhum fator</w:t>
      </w:r>
      <w:r w:rsidR="002F318F" w:rsidRPr="00AB315F">
        <w:rPr>
          <w:rFonts w:asciiTheme="minorHAnsi" w:hAnsiTheme="minorHAnsi"/>
        </w:rPr>
        <w:t xml:space="preserve">. </w:t>
      </w:r>
      <w:r w:rsidRPr="00AB315F">
        <w:rPr>
          <w:rFonts w:asciiTheme="minorHAnsi" w:hAnsiTheme="minorHAnsi"/>
        </w:rPr>
        <w:t>O</w:t>
      </w:r>
      <w:r w:rsidR="002F318F" w:rsidRPr="00AB315F">
        <w:rPr>
          <w:rFonts w:asciiTheme="minorHAnsi" w:hAnsiTheme="minorHAnsi"/>
        </w:rPr>
        <w:t xml:space="preserve"> valor da estatística KMO é considerado pobre para a rodada de 2006 (0,689) e mediano para a rodada de 2014 (0,733). Apesar disso, segundo Pallant (2007) e Hair et al (</w:t>
      </w:r>
      <w:r w:rsidRPr="00AB315F">
        <w:rPr>
          <w:rFonts w:asciiTheme="minorHAnsi" w:hAnsiTheme="minorHAnsi"/>
        </w:rPr>
        <w:t xml:space="preserve">2006) os valores estão em um patamar aceitável. </w:t>
      </w:r>
    </w:p>
    <w:p w14:paraId="3960E915" w14:textId="0657540D" w:rsidR="002F318F" w:rsidRDefault="002F318F" w:rsidP="005A7075">
      <w:pPr>
        <w:spacing w:after="240" w:line="360" w:lineRule="auto"/>
        <w:jc w:val="both"/>
        <w:rPr>
          <w:rFonts w:asciiTheme="minorHAnsi" w:hAnsiTheme="minorHAnsi"/>
        </w:rPr>
      </w:pPr>
      <w:r w:rsidRPr="00AB315F">
        <w:rPr>
          <w:rFonts w:asciiTheme="minorHAnsi" w:hAnsiTheme="minorHAnsi"/>
        </w:rPr>
        <w:tab/>
        <w:t>Vale observar que a variável “aceitar propina” possui baixa comunialidade com o fator subjacente para</w:t>
      </w:r>
      <w:r w:rsidR="00DB6F16" w:rsidRPr="00AB315F">
        <w:rPr>
          <w:rFonts w:asciiTheme="minorHAnsi" w:hAnsiTheme="minorHAnsi"/>
        </w:rPr>
        <w:t xml:space="preserve"> a rodada de</w:t>
      </w:r>
      <w:r w:rsidRPr="00AB315F">
        <w:rPr>
          <w:rFonts w:asciiTheme="minorHAnsi" w:hAnsiTheme="minorHAnsi"/>
        </w:rPr>
        <w:t xml:space="preserve"> 2006 e, portanto</w:t>
      </w:r>
      <w:r w:rsidR="009C21E5" w:rsidRPr="00AB315F">
        <w:rPr>
          <w:rFonts w:asciiTheme="minorHAnsi" w:hAnsiTheme="minorHAnsi"/>
        </w:rPr>
        <w:t>,</w:t>
      </w:r>
      <w:r w:rsidRPr="00AB315F">
        <w:rPr>
          <w:rFonts w:asciiTheme="minorHAnsi" w:hAnsiTheme="minorHAnsi"/>
        </w:rPr>
        <w:t xml:space="preserve"> baixa relevância para o conjunto de indicadores. </w:t>
      </w:r>
    </w:p>
    <w:p w14:paraId="08005FBF" w14:textId="53C22D21" w:rsidR="00E15C4B" w:rsidRPr="00E15C4B" w:rsidRDefault="00ED2DAB" w:rsidP="00E15C4B">
      <w:pPr>
        <w:spacing w:after="240" w:line="360" w:lineRule="auto"/>
        <w:jc w:val="center"/>
        <w:rPr>
          <w:rFonts w:asciiTheme="minorHAnsi" w:hAnsiTheme="minorHAnsi"/>
          <w:b/>
        </w:rPr>
      </w:pPr>
      <w:r>
        <w:rPr>
          <w:rFonts w:asciiTheme="minorHAnsi" w:hAnsiTheme="minorHAnsi"/>
          <w:b/>
        </w:rPr>
        <w:t>Tabela 12</w:t>
      </w:r>
      <w:r w:rsidR="00E15C4B" w:rsidRPr="00E15C4B">
        <w:rPr>
          <w:rFonts w:asciiTheme="minorHAnsi" w:hAnsiTheme="minorHAnsi"/>
          <w:b/>
        </w:rPr>
        <w:t xml:space="preserve">. </w:t>
      </w:r>
      <w:r w:rsidR="00E15C4B">
        <w:rPr>
          <w:rFonts w:asciiTheme="minorHAnsi" w:hAnsiTheme="minorHAnsi"/>
          <w:b/>
        </w:rPr>
        <w:t>AFE</w:t>
      </w:r>
      <w:r w:rsidR="00E15C4B" w:rsidRPr="00E15C4B">
        <w:rPr>
          <w:rFonts w:asciiTheme="minorHAnsi" w:hAnsiTheme="minorHAnsi"/>
          <w:b/>
        </w:rPr>
        <w:t xml:space="preserve"> dos indicadores de aceitação da corrupção </w:t>
      </w:r>
      <w:r w:rsidR="00E15C4B">
        <w:rPr>
          <w:rFonts w:asciiTheme="minorHAnsi" w:hAnsiTheme="minorHAnsi"/>
          <w:b/>
        </w:rPr>
        <w:t>–</w:t>
      </w:r>
      <w:r w:rsidR="00E15C4B" w:rsidRPr="00E15C4B">
        <w:rPr>
          <w:rFonts w:asciiTheme="minorHAnsi" w:hAnsiTheme="minorHAnsi"/>
          <w:b/>
        </w:rPr>
        <w:t xml:space="preserve"> WVS</w:t>
      </w:r>
      <w:r w:rsidR="00E15C4B">
        <w:rPr>
          <w:rFonts w:asciiTheme="minorHAnsi" w:hAnsiTheme="minorHAnsi"/>
          <w:b/>
        </w:rPr>
        <w:t xml:space="preserve"> 2006 e 2014</w:t>
      </w:r>
    </w:p>
    <w:tbl>
      <w:tblPr>
        <w:tblW w:w="5579" w:type="dxa"/>
        <w:jc w:val="center"/>
        <w:tblCellMar>
          <w:left w:w="70" w:type="dxa"/>
          <w:right w:w="70" w:type="dxa"/>
        </w:tblCellMar>
        <w:tblLook w:val="04A0" w:firstRow="1" w:lastRow="0" w:firstColumn="1" w:lastColumn="0" w:noHBand="0" w:noVBand="1"/>
      </w:tblPr>
      <w:tblGrid>
        <w:gridCol w:w="818"/>
        <w:gridCol w:w="1123"/>
        <w:gridCol w:w="1074"/>
        <w:gridCol w:w="1410"/>
        <w:gridCol w:w="1154"/>
      </w:tblGrid>
      <w:tr w:rsidR="009C21E5" w:rsidRPr="00AB315F" w14:paraId="31463BCC" w14:textId="77777777" w:rsidTr="005D5DC8">
        <w:trPr>
          <w:trHeight w:val="290"/>
          <w:jc w:val="center"/>
        </w:trPr>
        <w:tc>
          <w:tcPr>
            <w:tcW w:w="5579" w:type="dxa"/>
            <w:gridSpan w:val="5"/>
            <w:tcBorders>
              <w:top w:val="single" w:sz="4" w:space="0" w:color="auto"/>
              <w:left w:val="nil"/>
              <w:bottom w:val="single" w:sz="4" w:space="0" w:color="auto"/>
              <w:right w:val="nil"/>
            </w:tcBorders>
            <w:shd w:val="clear" w:color="auto" w:fill="auto"/>
            <w:noWrap/>
            <w:vAlign w:val="center"/>
            <w:hideMark/>
          </w:tcPr>
          <w:p w14:paraId="3714BA92" w14:textId="77777777" w:rsidR="009C21E5" w:rsidRPr="00AB315F" w:rsidRDefault="009C21E5" w:rsidP="009C21E5">
            <w:pPr>
              <w:jc w:val="center"/>
              <w:rPr>
                <w:rFonts w:ascii="Calibri" w:hAnsi="Calibri"/>
                <w:b/>
                <w:bCs/>
                <w:sz w:val="22"/>
                <w:szCs w:val="22"/>
              </w:rPr>
            </w:pPr>
            <w:r w:rsidRPr="00AB315F">
              <w:rPr>
                <w:rFonts w:ascii="Calibri" w:hAnsi="Calibri"/>
                <w:b/>
                <w:bCs/>
                <w:sz w:val="22"/>
                <w:szCs w:val="22"/>
              </w:rPr>
              <w:t>2006</w:t>
            </w:r>
          </w:p>
        </w:tc>
      </w:tr>
      <w:tr w:rsidR="009C21E5" w:rsidRPr="00AB315F" w14:paraId="2A23F119" w14:textId="77777777" w:rsidTr="005D5DC8">
        <w:trPr>
          <w:trHeight w:val="290"/>
          <w:jc w:val="center"/>
        </w:trPr>
        <w:tc>
          <w:tcPr>
            <w:tcW w:w="818" w:type="dxa"/>
            <w:tcBorders>
              <w:top w:val="nil"/>
              <w:left w:val="nil"/>
              <w:bottom w:val="single" w:sz="4" w:space="0" w:color="auto"/>
              <w:right w:val="nil"/>
            </w:tcBorders>
            <w:shd w:val="clear" w:color="auto" w:fill="auto"/>
            <w:noWrap/>
            <w:vAlign w:val="center"/>
            <w:hideMark/>
          </w:tcPr>
          <w:p w14:paraId="6E70C2E5" w14:textId="22FF0EAB" w:rsidR="009C21E5" w:rsidRPr="00AB315F" w:rsidRDefault="005D5DC8" w:rsidP="009C21E5">
            <w:pPr>
              <w:jc w:val="center"/>
              <w:rPr>
                <w:rFonts w:ascii="Calibri" w:hAnsi="Calibri"/>
                <w:sz w:val="22"/>
                <w:szCs w:val="22"/>
              </w:rPr>
            </w:pPr>
            <w:r>
              <w:rPr>
                <w:rFonts w:ascii="Calibri" w:hAnsi="Calibri"/>
                <w:sz w:val="22"/>
                <w:szCs w:val="22"/>
              </w:rPr>
              <w:t>Fa</w:t>
            </w:r>
            <w:r w:rsidR="009C21E5" w:rsidRPr="00AB315F">
              <w:rPr>
                <w:rFonts w:ascii="Calibri" w:hAnsi="Calibri"/>
                <w:sz w:val="22"/>
                <w:szCs w:val="22"/>
              </w:rPr>
              <w:t>tor</w:t>
            </w:r>
          </w:p>
        </w:tc>
        <w:tc>
          <w:tcPr>
            <w:tcW w:w="1123" w:type="dxa"/>
            <w:tcBorders>
              <w:top w:val="nil"/>
              <w:left w:val="single" w:sz="4" w:space="0" w:color="auto"/>
              <w:bottom w:val="single" w:sz="4" w:space="0" w:color="auto"/>
              <w:right w:val="single" w:sz="4" w:space="0" w:color="auto"/>
            </w:tcBorders>
            <w:shd w:val="clear" w:color="auto" w:fill="auto"/>
            <w:noWrap/>
            <w:vAlign w:val="center"/>
            <w:hideMark/>
          </w:tcPr>
          <w:p w14:paraId="76F1B776" w14:textId="77777777" w:rsidR="009C21E5" w:rsidRPr="00AB315F" w:rsidRDefault="009C21E5" w:rsidP="009C21E5">
            <w:pPr>
              <w:jc w:val="center"/>
              <w:rPr>
                <w:rFonts w:ascii="Calibri" w:hAnsi="Calibri"/>
                <w:sz w:val="22"/>
                <w:szCs w:val="22"/>
              </w:rPr>
            </w:pPr>
            <w:r w:rsidRPr="00AB315F">
              <w:rPr>
                <w:rFonts w:ascii="Calibri" w:hAnsi="Calibri"/>
                <w:sz w:val="22"/>
                <w:szCs w:val="22"/>
              </w:rPr>
              <w:t>Eigenvalue</w:t>
            </w:r>
          </w:p>
        </w:tc>
        <w:tc>
          <w:tcPr>
            <w:tcW w:w="1074" w:type="dxa"/>
            <w:tcBorders>
              <w:top w:val="nil"/>
              <w:left w:val="nil"/>
              <w:bottom w:val="single" w:sz="4" w:space="0" w:color="auto"/>
              <w:right w:val="nil"/>
            </w:tcBorders>
            <w:shd w:val="clear" w:color="auto" w:fill="auto"/>
            <w:noWrap/>
            <w:vAlign w:val="center"/>
            <w:hideMark/>
          </w:tcPr>
          <w:p w14:paraId="321815D7" w14:textId="2E7BC7ED" w:rsidR="009C21E5" w:rsidRPr="00AB315F" w:rsidRDefault="005D5DC8" w:rsidP="009C21E5">
            <w:pPr>
              <w:jc w:val="center"/>
              <w:rPr>
                <w:rFonts w:ascii="Calibri" w:hAnsi="Calibri"/>
                <w:sz w:val="22"/>
                <w:szCs w:val="22"/>
              </w:rPr>
            </w:pPr>
            <w:r>
              <w:rPr>
                <w:rFonts w:ascii="Calibri" w:hAnsi="Calibri"/>
                <w:sz w:val="22"/>
                <w:szCs w:val="22"/>
              </w:rPr>
              <w:t>Diferença</w:t>
            </w:r>
          </w:p>
        </w:tc>
        <w:tc>
          <w:tcPr>
            <w:tcW w:w="1410" w:type="dxa"/>
            <w:tcBorders>
              <w:top w:val="nil"/>
              <w:left w:val="single" w:sz="4" w:space="0" w:color="auto"/>
              <w:bottom w:val="single" w:sz="4" w:space="0" w:color="auto"/>
            </w:tcBorders>
            <w:shd w:val="clear" w:color="auto" w:fill="auto"/>
            <w:noWrap/>
            <w:vAlign w:val="center"/>
            <w:hideMark/>
          </w:tcPr>
          <w:p w14:paraId="610AA934" w14:textId="4FCBD820" w:rsidR="009C21E5" w:rsidRPr="00AB315F" w:rsidRDefault="005D5DC8" w:rsidP="009C21E5">
            <w:pPr>
              <w:jc w:val="center"/>
              <w:rPr>
                <w:rFonts w:ascii="Calibri" w:hAnsi="Calibri"/>
                <w:sz w:val="22"/>
                <w:szCs w:val="22"/>
              </w:rPr>
            </w:pPr>
            <w:r>
              <w:rPr>
                <w:rFonts w:ascii="Calibri" w:hAnsi="Calibri"/>
                <w:sz w:val="22"/>
                <w:szCs w:val="22"/>
              </w:rPr>
              <w:t>Proporção</w:t>
            </w:r>
          </w:p>
        </w:tc>
        <w:tc>
          <w:tcPr>
            <w:tcW w:w="1154" w:type="dxa"/>
            <w:tcBorders>
              <w:top w:val="nil"/>
              <w:bottom w:val="single" w:sz="4" w:space="0" w:color="auto"/>
              <w:right w:val="nil"/>
            </w:tcBorders>
            <w:shd w:val="clear" w:color="auto" w:fill="auto"/>
            <w:noWrap/>
            <w:vAlign w:val="center"/>
            <w:hideMark/>
          </w:tcPr>
          <w:p w14:paraId="710A1065" w14:textId="06D37712" w:rsidR="009C21E5" w:rsidRPr="00AB315F" w:rsidRDefault="009C21E5" w:rsidP="009C21E5">
            <w:pPr>
              <w:jc w:val="center"/>
              <w:rPr>
                <w:rFonts w:ascii="Calibri" w:hAnsi="Calibri"/>
                <w:sz w:val="22"/>
                <w:szCs w:val="22"/>
              </w:rPr>
            </w:pPr>
          </w:p>
        </w:tc>
      </w:tr>
      <w:tr w:rsidR="009C21E5" w:rsidRPr="00AB315F" w14:paraId="6A1D0FCE" w14:textId="77777777" w:rsidTr="005D5DC8">
        <w:trPr>
          <w:trHeight w:val="290"/>
          <w:jc w:val="center"/>
        </w:trPr>
        <w:tc>
          <w:tcPr>
            <w:tcW w:w="818" w:type="dxa"/>
            <w:tcBorders>
              <w:top w:val="nil"/>
              <w:left w:val="nil"/>
              <w:bottom w:val="single" w:sz="4" w:space="0" w:color="auto"/>
              <w:right w:val="nil"/>
            </w:tcBorders>
            <w:shd w:val="clear" w:color="auto" w:fill="auto"/>
            <w:noWrap/>
            <w:vAlign w:val="center"/>
            <w:hideMark/>
          </w:tcPr>
          <w:p w14:paraId="3FE5100B" w14:textId="77777777" w:rsidR="009C21E5" w:rsidRPr="00AB315F" w:rsidRDefault="009C21E5" w:rsidP="009C21E5">
            <w:pPr>
              <w:jc w:val="center"/>
              <w:rPr>
                <w:rFonts w:ascii="Calibri" w:hAnsi="Calibri"/>
                <w:sz w:val="22"/>
                <w:szCs w:val="22"/>
              </w:rPr>
            </w:pPr>
            <w:r w:rsidRPr="00AB315F">
              <w:rPr>
                <w:rFonts w:ascii="Calibri" w:hAnsi="Calibri"/>
                <w:sz w:val="22"/>
                <w:szCs w:val="22"/>
              </w:rPr>
              <w:t>Factor1</w:t>
            </w:r>
          </w:p>
        </w:tc>
        <w:tc>
          <w:tcPr>
            <w:tcW w:w="1123" w:type="dxa"/>
            <w:tcBorders>
              <w:top w:val="nil"/>
              <w:left w:val="single" w:sz="4" w:space="0" w:color="auto"/>
              <w:bottom w:val="single" w:sz="4" w:space="0" w:color="auto"/>
              <w:right w:val="single" w:sz="4" w:space="0" w:color="auto"/>
            </w:tcBorders>
            <w:shd w:val="clear" w:color="auto" w:fill="auto"/>
            <w:noWrap/>
            <w:vAlign w:val="center"/>
            <w:hideMark/>
          </w:tcPr>
          <w:p w14:paraId="51A5462B" w14:textId="77777777" w:rsidR="009C21E5" w:rsidRPr="00AB315F" w:rsidRDefault="009C21E5" w:rsidP="009C21E5">
            <w:pPr>
              <w:jc w:val="center"/>
              <w:rPr>
                <w:rFonts w:ascii="Calibri" w:hAnsi="Calibri"/>
                <w:sz w:val="22"/>
                <w:szCs w:val="22"/>
              </w:rPr>
            </w:pPr>
            <w:r w:rsidRPr="00AB315F">
              <w:rPr>
                <w:rFonts w:ascii="Calibri" w:hAnsi="Calibri"/>
                <w:sz w:val="22"/>
                <w:szCs w:val="22"/>
              </w:rPr>
              <w:t>1,148</w:t>
            </w:r>
          </w:p>
        </w:tc>
        <w:tc>
          <w:tcPr>
            <w:tcW w:w="1074" w:type="dxa"/>
            <w:tcBorders>
              <w:top w:val="nil"/>
              <w:left w:val="nil"/>
              <w:bottom w:val="single" w:sz="4" w:space="0" w:color="auto"/>
              <w:right w:val="nil"/>
            </w:tcBorders>
            <w:shd w:val="clear" w:color="auto" w:fill="auto"/>
            <w:noWrap/>
            <w:vAlign w:val="center"/>
            <w:hideMark/>
          </w:tcPr>
          <w:p w14:paraId="4C81C719" w14:textId="77777777" w:rsidR="009C21E5" w:rsidRPr="00AB315F" w:rsidRDefault="009C21E5" w:rsidP="009C21E5">
            <w:pPr>
              <w:jc w:val="center"/>
              <w:rPr>
                <w:rFonts w:ascii="Calibri" w:hAnsi="Calibri"/>
                <w:sz w:val="22"/>
                <w:szCs w:val="22"/>
              </w:rPr>
            </w:pPr>
            <w:r w:rsidRPr="00AB315F">
              <w:rPr>
                <w:rFonts w:ascii="Calibri" w:hAnsi="Calibri"/>
                <w:sz w:val="22"/>
                <w:szCs w:val="22"/>
              </w:rPr>
              <w:t>.</w:t>
            </w:r>
          </w:p>
        </w:tc>
        <w:tc>
          <w:tcPr>
            <w:tcW w:w="1410" w:type="dxa"/>
            <w:tcBorders>
              <w:top w:val="nil"/>
              <w:left w:val="single" w:sz="4" w:space="0" w:color="auto"/>
              <w:bottom w:val="single" w:sz="4" w:space="0" w:color="auto"/>
            </w:tcBorders>
            <w:shd w:val="clear" w:color="auto" w:fill="auto"/>
            <w:noWrap/>
            <w:vAlign w:val="center"/>
            <w:hideMark/>
          </w:tcPr>
          <w:p w14:paraId="29BFDE01" w14:textId="77777777" w:rsidR="009C21E5" w:rsidRPr="00AB315F" w:rsidRDefault="009C21E5" w:rsidP="009C21E5">
            <w:pPr>
              <w:jc w:val="center"/>
              <w:rPr>
                <w:rFonts w:ascii="Calibri" w:hAnsi="Calibri"/>
                <w:sz w:val="22"/>
                <w:szCs w:val="22"/>
              </w:rPr>
            </w:pPr>
            <w:r w:rsidRPr="00AB315F">
              <w:rPr>
                <w:rFonts w:ascii="Calibri" w:hAnsi="Calibri"/>
                <w:sz w:val="22"/>
                <w:szCs w:val="22"/>
              </w:rPr>
              <w:t>1,433</w:t>
            </w:r>
          </w:p>
        </w:tc>
        <w:tc>
          <w:tcPr>
            <w:tcW w:w="1154" w:type="dxa"/>
            <w:tcBorders>
              <w:top w:val="single" w:sz="4" w:space="0" w:color="auto"/>
              <w:bottom w:val="single" w:sz="4" w:space="0" w:color="auto"/>
              <w:right w:val="nil"/>
            </w:tcBorders>
            <w:shd w:val="clear" w:color="auto" w:fill="auto"/>
            <w:noWrap/>
            <w:vAlign w:val="center"/>
            <w:hideMark/>
          </w:tcPr>
          <w:p w14:paraId="40B490A0" w14:textId="77777777" w:rsidR="009C21E5" w:rsidRPr="00AB315F" w:rsidRDefault="009C21E5" w:rsidP="009C21E5">
            <w:pPr>
              <w:jc w:val="center"/>
              <w:rPr>
                <w:rFonts w:ascii="Calibri" w:hAnsi="Calibri"/>
                <w:sz w:val="22"/>
                <w:szCs w:val="22"/>
              </w:rPr>
            </w:pPr>
            <w:r w:rsidRPr="00AB315F">
              <w:rPr>
                <w:rFonts w:ascii="Calibri" w:hAnsi="Calibri"/>
                <w:sz w:val="22"/>
                <w:szCs w:val="22"/>
              </w:rPr>
              <w:t>1,433</w:t>
            </w:r>
          </w:p>
        </w:tc>
      </w:tr>
      <w:tr w:rsidR="005D5DC8" w:rsidRPr="00AB315F" w14:paraId="2D8655EA" w14:textId="77777777" w:rsidTr="005D5DC8">
        <w:trPr>
          <w:trHeight w:val="290"/>
          <w:jc w:val="center"/>
        </w:trPr>
        <w:tc>
          <w:tcPr>
            <w:tcW w:w="818" w:type="dxa"/>
            <w:tcBorders>
              <w:top w:val="single" w:sz="4" w:space="0" w:color="auto"/>
              <w:bottom w:val="single" w:sz="4" w:space="0" w:color="auto"/>
            </w:tcBorders>
            <w:shd w:val="clear" w:color="auto" w:fill="auto"/>
            <w:noWrap/>
            <w:vAlign w:val="center"/>
          </w:tcPr>
          <w:p w14:paraId="6321AA95" w14:textId="77777777" w:rsidR="005D5DC8" w:rsidRPr="00AB315F" w:rsidRDefault="005D5DC8" w:rsidP="009C21E5">
            <w:pPr>
              <w:jc w:val="center"/>
              <w:rPr>
                <w:rFonts w:ascii="Calibri" w:hAnsi="Calibri"/>
                <w:sz w:val="22"/>
                <w:szCs w:val="22"/>
              </w:rPr>
            </w:pPr>
          </w:p>
        </w:tc>
        <w:tc>
          <w:tcPr>
            <w:tcW w:w="1123" w:type="dxa"/>
            <w:tcBorders>
              <w:top w:val="single" w:sz="4" w:space="0" w:color="auto"/>
              <w:bottom w:val="single" w:sz="4" w:space="0" w:color="auto"/>
            </w:tcBorders>
            <w:shd w:val="clear" w:color="auto" w:fill="auto"/>
            <w:noWrap/>
            <w:vAlign w:val="center"/>
          </w:tcPr>
          <w:p w14:paraId="1D99F7D6" w14:textId="77777777" w:rsidR="005D5DC8" w:rsidRPr="00AB315F" w:rsidRDefault="005D5DC8" w:rsidP="009C21E5">
            <w:pPr>
              <w:jc w:val="center"/>
              <w:rPr>
                <w:rFonts w:ascii="Calibri" w:hAnsi="Calibri"/>
                <w:sz w:val="22"/>
                <w:szCs w:val="22"/>
              </w:rPr>
            </w:pPr>
          </w:p>
        </w:tc>
        <w:tc>
          <w:tcPr>
            <w:tcW w:w="1074" w:type="dxa"/>
            <w:tcBorders>
              <w:top w:val="single" w:sz="4" w:space="0" w:color="auto"/>
              <w:bottom w:val="single" w:sz="4" w:space="0" w:color="auto"/>
            </w:tcBorders>
            <w:shd w:val="clear" w:color="auto" w:fill="auto"/>
            <w:noWrap/>
            <w:vAlign w:val="center"/>
          </w:tcPr>
          <w:p w14:paraId="36C5A130" w14:textId="77777777" w:rsidR="005D5DC8" w:rsidRPr="00AB315F" w:rsidRDefault="005D5DC8" w:rsidP="009C21E5">
            <w:pPr>
              <w:jc w:val="center"/>
              <w:rPr>
                <w:rFonts w:ascii="Calibri" w:hAnsi="Calibri"/>
                <w:sz w:val="22"/>
                <w:szCs w:val="22"/>
              </w:rPr>
            </w:pPr>
          </w:p>
        </w:tc>
        <w:tc>
          <w:tcPr>
            <w:tcW w:w="1410" w:type="dxa"/>
            <w:tcBorders>
              <w:top w:val="single" w:sz="4" w:space="0" w:color="auto"/>
              <w:bottom w:val="single" w:sz="4" w:space="0" w:color="auto"/>
            </w:tcBorders>
            <w:shd w:val="clear" w:color="auto" w:fill="auto"/>
            <w:noWrap/>
            <w:vAlign w:val="center"/>
          </w:tcPr>
          <w:p w14:paraId="56C57D1C" w14:textId="77777777" w:rsidR="005D5DC8" w:rsidRPr="00AB315F" w:rsidRDefault="005D5DC8" w:rsidP="009C21E5">
            <w:pPr>
              <w:jc w:val="center"/>
              <w:rPr>
                <w:rFonts w:ascii="Calibri" w:hAnsi="Calibri"/>
                <w:sz w:val="22"/>
                <w:szCs w:val="22"/>
              </w:rPr>
            </w:pPr>
          </w:p>
        </w:tc>
        <w:tc>
          <w:tcPr>
            <w:tcW w:w="1154" w:type="dxa"/>
            <w:tcBorders>
              <w:top w:val="single" w:sz="4" w:space="0" w:color="auto"/>
              <w:bottom w:val="single" w:sz="4" w:space="0" w:color="auto"/>
              <w:right w:val="nil"/>
            </w:tcBorders>
            <w:shd w:val="clear" w:color="auto" w:fill="auto"/>
            <w:noWrap/>
            <w:vAlign w:val="center"/>
          </w:tcPr>
          <w:p w14:paraId="715D90BB" w14:textId="77777777" w:rsidR="005D5DC8" w:rsidRPr="00AB315F" w:rsidRDefault="005D5DC8" w:rsidP="009C21E5">
            <w:pPr>
              <w:jc w:val="center"/>
              <w:rPr>
                <w:rFonts w:ascii="Calibri" w:hAnsi="Calibri"/>
                <w:sz w:val="22"/>
                <w:szCs w:val="22"/>
              </w:rPr>
            </w:pPr>
          </w:p>
        </w:tc>
      </w:tr>
      <w:tr w:rsidR="009C21E5" w:rsidRPr="00AB315F" w14:paraId="52B29B94" w14:textId="77777777" w:rsidTr="005D5DC8">
        <w:trPr>
          <w:trHeight w:val="290"/>
          <w:jc w:val="center"/>
        </w:trPr>
        <w:tc>
          <w:tcPr>
            <w:tcW w:w="818" w:type="dxa"/>
            <w:tcBorders>
              <w:top w:val="single" w:sz="4" w:space="0" w:color="auto"/>
              <w:left w:val="nil"/>
              <w:bottom w:val="nil"/>
              <w:right w:val="nil"/>
            </w:tcBorders>
            <w:shd w:val="clear" w:color="auto" w:fill="auto"/>
            <w:noWrap/>
            <w:vAlign w:val="center"/>
            <w:hideMark/>
          </w:tcPr>
          <w:p w14:paraId="77F44F30" w14:textId="77777777" w:rsidR="009C21E5" w:rsidRPr="00AB315F" w:rsidRDefault="009C21E5" w:rsidP="009C21E5">
            <w:pPr>
              <w:jc w:val="center"/>
              <w:rPr>
                <w:rFonts w:ascii="Calibri" w:hAnsi="Calibri"/>
                <w:sz w:val="22"/>
                <w:szCs w:val="22"/>
              </w:rPr>
            </w:pPr>
          </w:p>
        </w:tc>
        <w:tc>
          <w:tcPr>
            <w:tcW w:w="1123" w:type="dxa"/>
            <w:tcBorders>
              <w:top w:val="single" w:sz="4" w:space="0" w:color="auto"/>
              <w:left w:val="nil"/>
              <w:bottom w:val="single" w:sz="4" w:space="0" w:color="auto"/>
              <w:right w:val="nil"/>
            </w:tcBorders>
            <w:shd w:val="clear" w:color="auto" w:fill="auto"/>
            <w:noWrap/>
            <w:vAlign w:val="center"/>
            <w:hideMark/>
          </w:tcPr>
          <w:p w14:paraId="728EE037" w14:textId="3636B162" w:rsidR="009C21E5" w:rsidRPr="00AB315F" w:rsidRDefault="005D5DC8" w:rsidP="009C21E5">
            <w:pPr>
              <w:jc w:val="center"/>
              <w:rPr>
                <w:rFonts w:ascii="Calibri" w:hAnsi="Calibri"/>
                <w:sz w:val="22"/>
                <w:szCs w:val="22"/>
              </w:rPr>
            </w:pPr>
            <w:r>
              <w:rPr>
                <w:rFonts w:ascii="Calibri" w:hAnsi="Calibri"/>
                <w:sz w:val="22"/>
                <w:szCs w:val="22"/>
              </w:rPr>
              <w:t>Variável</w:t>
            </w:r>
          </w:p>
        </w:tc>
        <w:tc>
          <w:tcPr>
            <w:tcW w:w="10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3CA0E1" w14:textId="0954F2C6" w:rsidR="009C21E5" w:rsidRPr="00AB315F" w:rsidRDefault="005D5DC8" w:rsidP="009C21E5">
            <w:pPr>
              <w:jc w:val="center"/>
              <w:rPr>
                <w:rFonts w:ascii="Calibri" w:hAnsi="Calibri"/>
                <w:sz w:val="22"/>
                <w:szCs w:val="22"/>
              </w:rPr>
            </w:pPr>
            <w:r>
              <w:rPr>
                <w:rFonts w:ascii="Calibri" w:hAnsi="Calibri"/>
                <w:sz w:val="22"/>
                <w:szCs w:val="22"/>
              </w:rPr>
              <w:t>Fa</w:t>
            </w:r>
            <w:r w:rsidR="009C21E5" w:rsidRPr="00AB315F">
              <w:rPr>
                <w:rFonts w:ascii="Calibri" w:hAnsi="Calibri"/>
                <w:sz w:val="22"/>
                <w:szCs w:val="22"/>
              </w:rPr>
              <w:t>tor1</w:t>
            </w:r>
          </w:p>
        </w:tc>
        <w:tc>
          <w:tcPr>
            <w:tcW w:w="1410" w:type="dxa"/>
            <w:tcBorders>
              <w:top w:val="single" w:sz="4" w:space="0" w:color="auto"/>
              <w:left w:val="nil"/>
              <w:bottom w:val="single" w:sz="4" w:space="0" w:color="auto"/>
              <w:right w:val="nil"/>
            </w:tcBorders>
            <w:shd w:val="clear" w:color="auto" w:fill="auto"/>
            <w:noWrap/>
            <w:vAlign w:val="center"/>
            <w:hideMark/>
          </w:tcPr>
          <w:p w14:paraId="26F4BE2B" w14:textId="6877E625" w:rsidR="009C21E5" w:rsidRPr="00AB315F" w:rsidRDefault="005D5DC8" w:rsidP="009C21E5">
            <w:pPr>
              <w:jc w:val="center"/>
              <w:rPr>
                <w:rFonts w:ascii="Calibri" w:hAnsi="Calibri"/>
                <w:sz w:val="22"/>
                <w:szCs w:val="22"/>
              </w:rPr>
            </w:pPr>
            <w:r>
              <w:rPr>
                <w:rFonts w:ascii="Calibri" w:hAnsi="Calibri"/>
                <w:sz w:val="22"/>
                <w:szCs w:val="22"/>
              </w:rPr>
              <w:t>Especificidade</w:t>
            </w:r>
          </w:p>
        </w:tc>
        <w:tc>
          <w:tcPr>
            <w:tcW w:w="1154" w:type="dxa"/>
            <w:tcBorders>
              <w:top w:val="single" w:sz="4" w:space="0" w:color="auto"/>
              <w:left w:val="nil"/>
              <w:bottom w:val="nil"/>
              <w:right w:val="nil"/>
            </w:tcBorders>
            <w:shd w:val="clear" w:color="auto" w:fill="auto"/>
            <w:noWrap/>
            <w:vAlign w:val="center"/>
            <w:hideMark/>
          </w:tcPr>
          <w:p w14:paraId="163036CA" w14:textId="77777777" w:rsidR="009C21E5" w:rsidRPr="00AB315F" w:rsidRDefault="009C21E5" w:rsidP="009C21E5">
            <w:pPr>
              <w:jc w:val="center"/>
              <w:rPr>
                <w:rFonts w:ascii="Calibri" w:hAnsi="Calibri"/>
                <w:sz w:val="22"/>
                <w:szCs w:val="22"/>
              </w:rPr>
            </w:pPr>
          </w:p>
        </w:tc>
      </w:tr>
      <w:tr w:rsidR="009C21E5" w:rsidRPr="00AB315F" w14:paraId="54438D33"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29075F73" w14:textId="77777777" w:rsidR="009C21E5" w:rsidRPr="00AB315F" w:rsidRDefault="009C21E5" w:rsidP="009C21E5">
            <w:pPr>
              <w:jc w:val="center"/>
              <w:rPr>
                <w:sz w:val="20"/>
                <w:szCs w:val="20"/>
              </w:rPr>
            </w:pPr>
          </w:p>
        </w:tc>
        <w:tc>
          <w:tcPr>
            <w:tcW w:w="1123" w:type="dxa"/>
            <w:tcBorders>
              <w:top w:val="single" w:sz="4" w:space="0" w:color="auto"/>
              <w:left w:val="nil"/>
              <w:bottom w:val="nil"/>
              <w:right w:val="nil"/>
            </w:tcBorders>
            <w:shd w:val="clear" w:color="auto" w:fill="auto"/>
            <w:noWrap/>
            <w:vAlign w:val="center"/>
            <w:hideMark/>
          </w:tcPr>
          <w:p w14:paraId="1AE57AB9" w14:textId="77777777" w:rsidR="009C21E5" w:rsidRPr="00AB315F" w:rsidRDefault="009C21E5" w:rsidP="009C21E5">
            <w:pPr>
              <w:jc w:val="center"/>
              <w:rPr>
                <w:rFonts w:ascii="Calibri" w:hAnsi="Calibri"/>
                <w:sz w:val="22"/>
                <w:szCs w:val="22"/>
              </w:rPr>
            </w:pPr>
            <w:r w:rsidRPr="00AB315F">
              <w:rPr>
                <w:rFonts w:ascii="Calibri" w:hAnsi="Calibri"/>
                <w:sz w:val="22"/>
                <w:szCs w:val="22"/>
              </w:rPr>
              <w:t>Impostos</w:t>
            </w:r>
          </w:p>
        </w:tc>
        <w:tc>
          <w:tcPr>
            <w:tcW w:w="1074" w:type="dxa"/>
            <w:tcBorders>
              <w:top w:val="single" w:sz="4" w:space="0" w:color="auto"/>
              <w:left w:val="single" w:sz="4" w:space="0" w:color="auto"/>
              <w:bottom w:val="nil"/>
              <w:right w:val="single" w:sz="4" w:space="0" w:color="auto"/>
            </w:tcBorders>
            <w:shd w:val="clear" w:color="auto" w:fill="auto"/>
            <w:noWrap/>
            <w:vAlign w:val="center"/>
            <w:hideMark/>
          </w:tcPr>
          <w:p w14:paraId="70A1CAAB" w14:textId="77777777" w:rsidR="009C21E5" w:rsidRPr="00AB315F" w:rsidRDefault="009C21E5" w:rsidP="009C21E5">
            <w:pPr>
              <w:jc w:val="center"/>
              <w:rPr>
                <w:rFonts w:ascii="Calibri" w:hAnsi="Calibri"/>
                <w:sz w:val="22"/>
                <w:szCs w:val="22"/>
              </w:rPr>
            </w:pPr>
            <w:r w:rsidRPr="00AB315F">
              <w:rPr>
                <w:rFonts w:ascii="Calibri" w:hAnsi="Calibri"/>
                <w:sz w:val="22"/>
                <w:szCs w:val="22"/>
              </w:rPr>
              <w:t>0,5642</w:t>
            </w:r>
          </w:p>
        </w:tc>
        <w:tc>
          <w:tcPr>
            <w:tcW w:w="1410" w:type="dxa"/>
            <w:tcBorders>
              <w:top w:val="single" w:sz="4" w:space="0" w:color="auto"/>
              <w:left w:val="nil"/>
              <w:bottom w:val="nil"/>
              <w:right w:val="nil"/>
            </w:tcBorders>
            <w:shd w:val="clear" w:color="auto" w:fill="auto"/>
            <w:noWrap/>
            <w:vAlign w:val="center"/>
            <w:hideMark/>
          </w:tcPr>
          <w:p w14:paraId="09E8FC8F" w14:textId="77777777" w:rsidR="009C21E5" w:rsidRPr="00AB315F" w:rsidRDefault="009C21E5" w:rsidP="009C21E5">
            <w:pPr>
              <w:jc w:val="center"/>
              <w:rPr>
                <w:rFonts w:ascii="Calibri" w:hAnsi="Calibri"/>
                <w:sz w:val="22"/>
                <w:szCs w:val="22"/>
              </w:rPr>
            </w:pPr>
            <w:r w:rsidRPr="00AB315F">
              <w:rPr>
                <w:rFonts w:ascii="Calibri" w:hAnsi="Calibri"/>
                <w:sz w:val="22"/>
                <w:szCs w:val="22"/>
              </w:rPr>
              <w:t>0,6817</w:t>
            </w:r>
          </w:p>
        </w:tc>
        <w:tc>
          <w:tcPr>
            <w:tcW w:w="1154" w:type="dxa"/>
            <w:tcBorders>
              <w:top w:val="nil"/>
              <w:left w:val="nil"/>
              <w:bottom w:val="nil"/>
              <w:right w:val="nil"/>
            </w:tcBorders>
            <w:shd w:val="clear" w:color="auto" w:fill="auto"/>
            <w:noWrap/>
            <w:vAlign w:val="center"/>
            <w:hideMark/>
          </w:tcPr>
          <w:p w14:paraId="4A2DA5EF" w14:textId="77777777" w:rsidR="009C21E5" w:rsidRPr="00AB315F" w:rsidRDefault="009C21E5" w:rsidP="009C21E5">
            <w:pPr>
              <w:jc w:val="center"/>
              <w:rPr>
                <w:rFonts w:ascii="Calibri" w:hAnsi="Calibri"/>
                <w:sz w:val="22"/>
                <w:szCs w:val="22"/>
              </w:rPr>
            </w:pPr>
            <w:r w:rsidRPr="00AB315F">
              <w:rPr>
                <w:rFonts w:ascii="Calibri" w:hAnsi="Calibri"/>
                <w:sz w:val="22"/>
                <w:szCs w:val="22"/>
              </w:rPr>
              <w:t xml:space="preserve"> </w:t>
            </w:r>
          </w:p>
        </w:tc>
      </w:tr>
      <w:tr w:rsidR="009C21E5" w:rsidRPr="00AB315F" w14:paraId="61947E09"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3E8CD364" w14:textId="77777777" w:rsidR="009C21E5" w:rsidRPr="00AB315F" w:rsidRDefault="009C21E5" w:rsidP="009C21E5">
            <w:pPr>
              <w:jc w:val="center"/>
              <w:rPr>
                <w:rFonts w:ascii="Calibri" w:hAnsi="Calibri"/>
                <w:sz w:val="22"/>
                <w:szCs w:val="22"/>
              </w:rPr>
            </w:pPr>
          </w:p>
        </w:tc>
        <w:tc>
          <w:tcPr>
            <w:tcW w:w="1123" w:type="dxa"/>
            <w:tcBorders>
              <w:top w:val="nil"/>
              <w:left w:val="nil"/>
              <w:bottom w:val="nil"/>
              <w:right w:val="nil"/>
            </w:tcBorders>
            <w:shd w:val="clear" w:color="auto" w:fill="auto"/>
            <w:noWrap/>
            <w:vAlign w:val="center"/>
            <w:hideMark/>
          </w:tcPr>
          <w:p w14:paraId="3B967274" w14:textId="77777777" w:rsidR="009C21E5" w:rsidRPr="00AB315F" w:rsidRDefault="009C21E5" w:rsidP="009C21E5">
            <w:pPr>
              <w:jc w:val="center"/>
              <w:rPr>
                <w:rFonts w:ascii="Calibri" w:hAnsi="Calibri"/>
                <w:sz w:val="22"/>
                <w:szCs w:val="22"/>
              </w:rPr>
            </w:pPr>
            <w:r w:rsidRPr="00AB315F">
              <w:rPr>
                <w:rFonts w:ascii="Calibri" w:hAnsi="Calibri"/>
                <w:sz w:val="22"/>
                <w:szCs w:val="22"/>
              </w:rPr>
              <w:t>Propina</w:t>
            </w:r>
          </w:p>
        </w:tc>
        <w:tc>
          <w:tcPr>
            <w:tcW w:w="1074" w:type="dxa"/>
            <w:tcBorders>
              <w:top w:val="nil"/>
              <w:left w:val="single" w:sz="4" w:space="0" w:color="auto"/>
              <w:bottom w:val="nil"/>
              <w:right w:val="single" w:sz="4" w:space="0" w:color="auto"/>
            </w:tcBorders>
            <w:shd w:val="clear" w:color="auto" w:fill="auto"/>
            <w:noWrap/>
            <w:vAlign w:val="center"/>
            <w:hideMark/>
          </w:tcPr>
          <w:p w14:paraId="15B19ECA" w14:textId="77777777" w:rsidR="009C21E5" w:rsidRPr="00AB315F" w:rsidRDefault="009C21E5" w:rsidP="009C21E5">
            <w:pPr>
              <w:jc w:val="center"/>
              <w:rPr>
                <w:rFonts w:ascii="Calibri" w:hAnsi="Calibri"/>
                <w:sz w:val="22"/>
                <w:szCs w:val="22"/>
              </w:rPr>
            </w:pPr>
            <w:r w:rsidRPr="00AB315F">
              <w:rPr>
                <w:rFonts w:ascii="Calibri" w:hAnsi="Calibri"/>
                <w:sz w:val="22"/>
                <w:szCs w:val="22"/>
              </w:rPr>
              <w:t>0,481</w:t>
            </w:r>
          </w:p>
        </w:tc>
        <w:tc>
          <w:tcPr>
            <w:tcW w:w="1410" w:type="dxa"/>
            <w:tcBorders>
              <w:top w:val="nil"/>
              <w:left w:val="nil"/>
              <w:bottom w:val="nil"/>
              <w:right w:val="nil"/>
            </w:tcBorders>
            <w:shd w:val="clear" w:color="auto" w:fill="auto"/>
            <w:noWrap/>
            <w:vAlign w:val="center"/>
            <w:hideMark/>
          </w:tcPr>
          <w:p w14:paraId="5A256C45" w14:textId="77777777" w:rsidR="009C21E5" w:rsidRPr="00AB315F" w:rsidRDefault="009C21E5" w:rsidP="009C21E5">
            <w:pPr>
              <w:jc w:val="center"/>
              <w:rPr>
                <w:rFonts w:ascii="Calibri" w:hAnsi="Calibri"/>
                <w:sz w:val="22"/>
                <w:szCs w:val="22"/>
              </w:rPr>
            </w:pPr>
            <w:r w:rsidRPr="00AB315F">
              <w:rPr>
                <w:rFonts w:ascii="Calibri" w:hAnsi="Calibri"/>
                <w:sz w:val="22"/>
                <w:szCs w:val="22"/>
              </w:rPr>
              <w:t>0,7686</w:t>
            </w:r>
          </w:p>
        </w:tc>
        <w:tc>
          <w:tcPr>
            <w:tcW w:w="1154" w:type="dxa"/>
            <w:tcBorders>
              <w:top w:val="nil"/>
              <w:left w:val="nil"/>
              <w:bottom w:val="nil"/>
              <w:right w:val="nil"/>
            </w:tcBorders>
            <w:shd w:val="clear" w:color="auto" w:fill="auto"/>
            <w:noWrap/>
            <w:vAlign w:val="center"/>
            <w:hideMark/>
          </w:tcPr>
          <w:p w14:paraId="68B77871" w14:textId="77777777" w:rsidR="009C21E5" w:rsidRPr="00AB315F" w:rsidRDefault="009C21E5" w:rsidP="009C21E5">
            <w:pPr>
              <w:jc w:val="center"/>
              <w:rPr>
                <w:rFonts w:ascii="Calibri" w:hAnsi="Calibri"/>
                <w:sz w:val="22"/>
                <w:szCs w:val="22"/>
              </w:rPr>
            </w:pPr>
            <w:r w:rsidRPr="00AB315F">
              <w:rPr>
                <w:rFonts w:ascii="Calibri" w:hAnsi="Calibri"/>
                <w:sz w:val="22"/>
                <w:szCs w:val="22"/>
              </w:rPr>
              <w:t xml:space="preserve"> </w:t>
            </w:r>
          </w:p>
        </w:tc>
      </w:tr>
      <w:tr w:rsidR="009C21E5" w:rsidRPr="00AB315F" w14:paraId="4F05BAAB"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18B40A32" w14:textId="77777777" w:rsidR="009C21E5" w:rsidRPr="00AB315F" w:rsidRDefault="009C21E5" w:rsidP="009C21E5">
            <w:pPr>
              <w:jc w:val="center"/>
              <w:rPr>
                <w:rFonts w:ascii="Calibri" w:hAnsi="Calibri"/>
                <w:sz w:val="22"/>
                <w:szCs w:val="22"/>
              </w:rPr>
            </w:pPr>
          </w:p>
        </w:tc>
        <w:tc>
          <w:tcPr>
            <w:tcW w:w="1123" w:type="dxa"/>
            <w:tcBorders>
              <w:top w:val="nil"/>
              <w:left w:val="nil"/>
              <w:bottom w:val="nil"/>
              <w:right w:val="nil"/>
            </w:tcBorders>
            <w:shd w:val="clear" w:color="auto" w:fill="auto"/>
            <w:noWrap/>
            <w:vAlign w:val="center"/>
            <w:hideMark/>
          </w:tcPr>
          <w:p w14:paraId="4DF7DB5B" w14:textId="77777777" w:rsidR="009C21E5" w:rsidRPr="00AB315F" w:rsidRDefault="009C21E5" w:rsidP="009C21E5">
            <w:pPr>
              <w:jc w:val="center"/>
              <w:rPr>
                <w:rFonts w:ascii="Calibri" w:hAnsi="Calibri"/>
                <w:sz w:val="22"/>
                <w:szCs w:val="22"/>
              </w:rPr>
            </w:pPr>
            <w:r w:rsidRPr="00AB315F">
              <w:rPr>
                <w:rFonts w:ascii="Calibri" w:hAnsi="Calibri"/>
                <w:sz w:val="22"/>
                <w:szCs w:val="22"/>
              </w:rPr>
              <w:t>Transporte</w:t>
            </w:r>
          </w:p>
        </w:tc>
        <w:tc>
          <w:tcPr>
            <w:tcW w:w="1074" w:type="dxa"/>
            <w:tcBorders>
              <w:top w:val="nil"/>
              <w:left w:val="single" w:sz="4" w:space="0" w:color="auto"/>
              <w:bottom w:val="nil"/>
              <w:right w:val="single" w:sz="4" w:space="0" w:color="auto"/>
            </w:tcBorders>
            <w:shd w:val="clear" w:color="auto" w:fill="auto"/>
            <w:noWrap/>
            <w:vAlign w:val="center"/>
            <w:hideMark/>
          </w:tcPr>
          <w:p w14:paraId="38A71EEE" w14:textId="77777777" w:rsidR="009C21E5" w:rsidRPr="00AB315F" w:rsidRDefault="009C21E5" w:rsidP="009C21E5">
            <w:pPr>
              <w:jc w:val="center"/>
              <w:rPr>
                <w:rFonts w:ascii="Calibri" w:hAnsi="Calibri"/>
                <w:sz w:val="22"/>
                <w:szCs w:val="22"/>
              </w:rPr>
            </w:pPr>
            <w:r w:rsidRPr="00AB315F">
              <w:rPr>
                <w:rFonts w:ascii="Calibri" w:hAnsi="Calibri"/>
                <w:sz w:val="22"/>
                <w:szCs w:val="22"/>
              </w:rPr>
              <w:t>0,5231</w:t>
            </w:r>
          </w:p>
        </w:tc>
        <w:tc>
          <w:tcPr>
            <w:tcW w:w="1410" w:type="dxa"/>
            <w:tcBorders>
              <w:top w:val="nil"/>
              <w:left w:val="nil"/>
              <w:bottom w:val="nil"/>
              <w:right w:val="nil"/>
            </w:tcBorders>
            <w:shd w:val="clear" w:color="auto" w:fill="auto"/>
            <w:noWrap/>
            <w:vAlign w:val="center"/>
            <w:hideMark/>
          </w:tcPr>
          <w:p w14:paraId="7E5A6760" w14:textId="77777777" w:rsidR="009C21E5" w:rsidRPr="00AB315F" w:rsidRDefault="009C21E5" w:rsidP="009C21E5">
            <w:pPr>
              <w:jc w:val="center"/>
              <w:rPr>
                <w:rFonts w:ascii="Calibri" w:hAnsi="Calibri"/>
                <w:sz w:val="22"/>
                <w:szCs w:val="22"/>
              </w:rPr>
            </w:pPr>
            <w:r w:rsidRPr="00AB315F">
              <w:rPr>
                <w:rFonts w:ascii="Calibri" w:hAnsi="Calibri"/>
                <w:sz w:val="22"/>
                <w:szCs w:val="22"/>
              </w:rPr>
              <w:t>0,7264</w:t>
            </w:r>
          </w:p>
        </w:tc>
        <w:tc>
          <w:tcPr>
            <w:tcW w:w="1154" w:type="dxa"/>
            <w:tcBorders>
              <w:top w:val="nil"/>
              <w:left w:val="nil"/>
              <w:bottom w:val="nil"/>
              <w:right w:val="nil"/>
            </w:tcBorders>
            <w:shd w:val="clear" w:color="auto" w:fill="auto"/>
            <w:noWrap/>
            <w:vAlign w:val="center"/>
            <w:hideMark/>
          </w:tcPr>
          <w:p w14:paraId="6D3CC2B0" w14:textId="77777777" w:rsidR="009C21E5" w:rsidRPr="00AB315F" w:rsidRDefault="009C21E5" w:rsidP="009C21E5">
            <w:pPr>
              <w:jc w:val="center"/>
              <w:rPr>
                <w:rFonts w:ascii="Calibri" w:hAnsi="Calibri"/>
                <w:sz w:val="22"/>
                <w:szCs w:val="22"/>
              </w:rPr>
            </w:pPr>
            <w:r w:rsidRPr="00AB315F">
              <w:rPr>
                <w:rFonts w:ascii="Calibri" w:hAnsi="Calibri"/>
                <w:sz w:val="22"/>
                <w:szCs w:val="22"/>
              </w:rPr>
              <w:t xml:space="preserve"> </w:t>
            </w:r>
          </w:p>
        </w:tc>
      </w:tr>
      <w:tr w:rsidR="009C21E5" w:rsidRPr="00AB315F" w14:paraId="03B197CD"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29D71F25" w14:textId="77777777" w:rsidR="009C21E5" w:rsidRPr="00AB315F" w:rsidRDefault="009C21E5" w:rsidP="009C21E5">
            <w:pPr>
              <w:jc w:val="center"/>
              <w:rPr>
                <w:rFonts w:ascii="Calibri" w:hAnsi="Calibri"/>
                <w:sz w:val="22"/>
                <w:szCs w:val="22"/>
              </w:rPr>
            </w:pPr>
          </w:p>
        </w:tc>
        <w:tc>
          <w:tcPr>
            <w:tcW w:w="1123" w:type="dxa"/>
            <w:tcBorders>
              <w:top w:val="nil"/>
              <w:left w:val="nil"/>
              <w:bottom w:val="nil"/>
              <w:right w:val="nil"/>
            </w:tcBorders>
            <w:shd w:val="clear" w:color="auto" w:fill="auto"/>
            <w:noWrap/>
            <w:vAlign w:val="center"/>
            <w:hideMark/>
          </w:tcPr>
          <w:p w14:paraId="3CD28CEF" w14:textId="77777777" w:rsidR="009C21E5" w:rsidRPr="00AB315F" w:rsidRDefault="009C21E5" w:rsidP="009C21E5">
            <w:pPr>
              <w:jc w:val="center"/>
              <w:rPr>
                <w:rFonts w:ascii="Calibri" w:hAnsi="Calibri"/>
                <w:sz w:val="22"/>
                <w:szCs w:val="22"/>
              </w:rPr>
            </w:pPr>
            <w:r w:rsidRPr="00AB315F">
              <w:rPr>
                <w:rFonts w:ascii="Calibri" w:hAnsi="Calibri"/>
                <w:sz w:val="22"/>
                <w:szCs w:val="22"/>
              </w:rPr>
              <w:t>Benefícios</w:t>
            </w: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74757307" w14:textId="77777777" w:rsidR="009C21E5" w:rsidRPr="00AB315F" w:rsidRDefault="009C21E5" w:rsidP="009C21E5">
            <w:pPr>
              <w:jc w:val="center"/>
              <w:rPr>
                <w:rFonts w:ascii="Calibri" w:hAnsi="Calibri"/>
                <w:sz w:val="22"/>
                <w:szCs w:val="22"/>
              </w:rPr>
            </w:pPr>
            <w:r w:rsidRPr="00AB315F">
              <w:rPr>
                <w:rFonts w:ascii="Calibri" w:hAnsi="Calibri"/>
                <w:sz w:val="22"/>
                <w:szCs w:val="22"/>
              </w:rPr>
              <w:t>0,57</w:t>
            </w:r>
          </w:p>
        </w:tc>
        <w:tc>
          <w:tcPr>
            <w:tcW w:w="1410" w:type="dxa"/>
            <w:tcBorders>
              <w:top w:val="nil"/>
              <w:left w:val="nil"/>
              <w:bottom w:val="nil"/>
              <w:right w:val="nil"/>
            </w:tcBorders>
            <w:shd w:val="clear" w:color="auto" w:fill="auto"/>
            <w:noWrap/>
            <w:vAlign w:val="center"/>
            <w:hideMark/>
          </w:tcPr>
          <w:p w14:paraId="58CADB50" w14:textId="77777777" w:rsidR="009C21E5" w:rsidRPr="00AB315F" w:rsidRDefault="009C21E5" w:rsidP="009C21E5">
            <w:pPr>
              <w:jc w:val="center"/>
              <w:rPr>
                <w:rFonts w:ascii="Calibri" w:hAnsi="Calibri"/>
                <w:sz w:val="22"/>
                <w:szCs w:val="22"/>
              </w:rPr>
            </w:pPr>
            <w:r w:rsidRPr="00AB315F">
              <w:rPr>
                <w:rFonts w:ascii="Calibri" w:hAnsi="Calibri"/>
                <w:sz w:val="22"/>
                <w:szCs w:val="22"/>
              </w:rPr>
              <w:t>0,6751</w:t>
            </w:r>
          </w:p>
        </w:tc>
        <w:tc>
          <w:tcPr>
            <w:tcW w:w="1154" w:type="dxa"/>
            <w:tcBorders>
              <w:top w:val="nil"/>
              <w:left w:val="nil"/>
              <w:bottom w:val="nil"/>
              <w:right w:val="nil"/>
            </w:tcBorders>
            <w:shd w:val="clear" w:color="auto" w:fill="auto"/>
            <w:noWrap/>
            <w:vAlign w:val="center"/>
            <w:hideMark/>
          </w:tcPr>
          <w:p w14:paraId="794C6AFE" w14:textId="77777777" w:rsidR="009C21E5" w:rsidRPr="00AB315F" w:rsidRDefault="009C21E5" w:rsidP="009C21E5">
            <w:pPr>
              <w:jc w:val="center"/>
              <w:rPr>
                <w:rFonts w:ascii="Calibri" w:hAnsi="Calibri"/>
                <w:sz w:val="22"/>
                <w:szCs w:val="22"/>
              </w:rPr>
            </w:pPr>
            <w:r w:rsidRPr="00AB315F">
              <w:rPr>
                <w:rFonts w:ascii="Calibri" w:hAnsi="Calibri"/>
                <w:sz w:val="22"/>
                <w:szCs w:val="22"/>
              </w:rPr>
              <w:t xml:space="preserve"> </w:t>
            </w:r>
          </w:p>
        </w:tc>
      </w:tr>
      <w:tr w:rsidR="009C21E5" w:rsidRPr="00AB315F" w14:paraId="6FB055E7"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4F193AF6" w14:textId="77777777" w:rsidR="009C21E5" w:rsidRPr="00AB315F" w:rsidRDefault="009C21E5" w:rsidP="009C21E5">
            <w:pPr>
              <w:jc w:val="center"/>
              <w:rPr>
                <w:rFonts w:ascii="Calibri" w:hAnsi="Calibri"/>
                <w:sz w:val="22"/>
                <w:szCs w:val="22"/>
              </w:rPr>
            </w:pPr>
          </w:p>
        </w:tc>
        <w:tc>
          <w:tcPr>
            <w:tcW w:w="3607" w:type="dxa"/>
            <w:gridSpan w:val="3"/>
            <w:tcBorders>
              <w:top w:val="single" w:sz="4" w:space="0" w:color="auto"/>
              <w:left w:val="nil"/>
              <w:bottom w:val="single" w:sz="4" w:space="0" w:color="auto"/>
              <w:right w:val="nil"/>
            </w:tcBorders>
            <w:shd w:val="clear" w:color="auto" w:fill="auto"/>
            <w:noWrap/>
            <w:vAlign w:val="center"/>
            <w:hideMark/>
          </w:tcPr>
          <w:p w14:paraId="15F7BEA5" w14:textId="77777777" w:rsidR="009C21E5" w:rsidRPr="00AB315F" w:rsidRDefault="009C21E5" w:rsidP="009C21E5">
            <w:pPr>
              <w:jc w:val="center"/>
              <w:rPr>
                <w:rFonts w:ascii="Calibri" w:hAnsi="Calibri"/>
                <w:sz w:val="22"/>
                <w:szCs w:val="22"/>
              </w:rPr>
            </w:pPr>
            <w:r w:rsidRPr="00AB315F">
              <w:rPr>
                <w:rFonts w:ascii="Calibri" w:hAnsi="Calibri"/>
                <w:sz w:val="22"/>
                <w:szCs w:val="22"/>
              </w:rPr>
              <w:t>KMO               =     0.689</w:t>
            </w:r>
          </w:p>
        </w:tc>
        <w:tc>
          <w:tcPr>
            <w:tcW w:w="1154" w:type="dxa"/>
            <w:tcBorders>
              <w:top w:val="nil"/>
              <w:left w:val="nil"/>
              <w:bottom w:val="nil"/>
              <w:right w:val="nil"/>
            </w:tcBorders>
            <w:shd w:val="clear" w:color="auto" w:fill="auto"/>
            <w:noWrap/>
            <w:vAlign w:val="center"/>
            <w:hideMark/>
          </w:tcPr>
          <w:p w14:paraId="5C597A29" w14:textId="77777777" w:rsidR="009C21E5" w:rsidRPr="00AB315F" w:rsidRDefault="009C21E5" w:rsidP="009C21E5">
            <w:pPr>
              <w:jc w:val="center"/>
              <w:rPr>
                <w:rFonts w:ascii="Calibri" w:hAnsi="Calibri"/>
                <w:sz w:val="22"/>
                <w:szCs w:val="22"/>
              </w:rPr>
            </w:pPr>
          </w:p>
        </w:tc>
      </w:tr>
      <w:tr w:rsidR="009C21E5" w:rsidRPr="00AB315F" w14:paraId="4A8863A0"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5ADC650B" w14:textId="77777777" w:rsidR="009C21E5" w:rsidRPr="00AB315F" w:rsidRDefault="009C21E5" w:rsidP="009C21E5">
            <w:pPr>
              <w:rPr>
                <w:sz w:val="20"/>
                <w:szCs w:val="20"/>
              </w:rPr>
            </w:pPr>
          </w:p>
        </w:tc>
        <w:tc>
          <w:tcPr>
            <w:tcW w:w="1123" w:type="dxa"/>
            <w:tcBorders>
              <w:top w:val="nil"/>
              <w:left w:val="nil"/>
              <w:bottom w:val="nil"/>
              <w:right w:val="nil"/>
            </w:tcBorders>
            <w:shd w:val="clear" w:color="auto" w:fill="auto"/>
            <w:noWrap/>
            <w:vAlign w:val="center"/>
            <w:hideMark/>
          </w:tcPr>
          <w:p w14:paraId="541D4703" w14:textId="77777777" w:rsidR="009C21E5" w:rsidRPr="00AB315F" w:rsidRDefault="009C21E5" w:rsidP="009C21E5">
            <w:pPr>
              <w:jc w:val="center"/>
              <w:rPr>
                <w:sz w:val="20"/>
                <w:szCs w:val="20"/>
              </w:rPr>
            </w:pPr>
          </w:p>
        </w:tc>
        <w:tc>
          <w:tcPr>
            <w:tcW w:w="1074" w:type="dxa"/>
            <w:tcBorders>
              <w:top w:val="nil"/>
              <w:left w:val="nil"/>
              <w:bottom w:val="nil"/>
              <w:right w:val="nil"/>
            </w:tcBorders>
            <w:shd w:val="clear" w:color="auto" w:fill="auto"/>
            <w:noWrap/>
            <w:vAlign w:val="center"/>
            <w:hideMark/>
          </w:tcPr>
          <w:p w14:paraId="5644F3F7" w14:textId="77777777" w:rsidR="009C21E5" w:rsidRDefault="009C21E5" w:rsidP="009C21E5">
            <w:pPr>
              <w:jc w:val="center"/>
              <w:rPr>
                <w:sz w:val="20"/>
                <w:szCs w:val="20"/>
              </w:rPr>
            </w:pPr>
          </w:p>
          <w:p w14:paraId="2E501EE0" w14:textId="77777777" w:rsidR="005D5DC8" w:rsidRDefault="005D5DC8" w:rsidP="009C21E5">
            <w:pPr>
              <w:jc w:val="center"/>
              <w:rPr>
                <w:sz w:val="20"/>
                <w:szCs w:val="20"/>
              </w:rPr>
            </w:pPr>
          </w:p>
          <w:p w14:paraId="52BD508A" w14:textId="77777777" w:rsidR="005D5DC8" w:rsidRDefault="005D5DC8" w:rsidP="009C21E5">
            <w:pPr>
              <w:jc w:val="center"/>
              <w:rPr>
                <w:sz w:val="20"/>
                <w:szCs w:val="20"/>
              </w:rPr>
            </w:pPr>
          </w:p>
          <w:p w14:paraId="43C79DD1" w14:textId="77777777" w:rsidR="005D5DC8" w:rsidRDefault="005D5DC8" w:rsidP="009C21E5">
            <w:pPr>
              <w:jc w:val="center"/>
              <w:rPr>
                <w:sz w:val="20"/>
                <w:szCs w:val="20"/>
              </w:rPr>
            </w:pPr>
          </w:p>
          <w:p w14:paraId="023A2D23" w14:textId="77777777" w:rsidR="005D5DC8" w:rsidRPr="00AB315F" w:rsidRDefault="005D5DC8" w:rsidP="009C21E5">
            <w:pPr>
              <w:jc w:val="center"/>
              <w:rPr>
                <w:sz w:val="20"/>
                <w:szCs w:val="20"/>
              </w:rPr>
            </w:pPr>
          </w:p>
        </w:tc>
        <w:tc>
          <w:tcPr>
            <w:tcW w:w="1410" w:type="dxa"/>
            <w:tcBorders>
              <w:top w:val="nil"/>
              <w:left w:val="nil"/>
              <w:bottom w:val="nil"/>
              <w:right w:val="nil"/>
            </w:tcBorders>
            <w:shd w:val="clear" w:color="auto" w:fill="auto"/>
            <w:noWrap/>
            <w:vAlign w:val="center"/>
            <w:hideMark/>
          </w:tcPr>
          <w:p w14:paraId="0CE25289" w14:textId="77777777" w:rsidR="009C21E5" w:rsidRPr="00AB315F" w:rsidRDefault="009C21E5" w:rsidP="009C21E5">
            <w:pPr>
              <w:jc w:val="center"/>
              <w:rPr>
                <w:sz w:val="20"/>
                <w:szCs w:val="20"/>
              </w:rPr>
            </w:pPr>
          </w:p>
        </w:tc>
        <w:tc>
          <w:tcPr>
            <w:tcW w:w="1154" w:type="dxa"/>
            <w:tcBorders>
              <w:top w:val="nil"/>
              <w:left w:val="nil"/>
              <w:bottom w:val="nil"/>
              <w:right w:val="nil"/>
            </w:tcBorders>
            <w:shd w:val="clear" w:color="auto" w:fill="auto"/>
            <w:noWrap/>
            <w:vAlign w:val="center"/>
            <w:hideMark/>
          </w:tcPr>
          <w:p w14:paraId="61851BCD" w14:textId="77777777" w:rsidR="009C21E5" w:rsidRPr="00AB315F" w:rsidRDefault="009C21E5" w:rsidP="009C21E5">
            <w:pPr>
              <w:jc w:val="center"/>
              <w:rPr>
                <w:sz w:val="20"/>
                <w:szCs w:val="20"/>
              </w:rPr>
            </w:pPr>
          </w:p>
        </w:tc>
      </w:tr>
      <w:tr w:rsidR="009C21E5" w:rsidRPr="00AB315F" w14:paraId="022DF61D" w14:textId="77777777" w:rsidTr="005D5DC8">
        <w:trPr>
          <w:trHeight w:val="290"/>
          <w:jc w:val="center"/>
        </w:trPr>
        <w:tc>
          <w:tcPr>
            <w:tcW w:w="5579" w:type="dxa"/>
            <w:gridSpan w:val="5"/>
            <w:tcBorders>
              <w:top w:val="single" w:sz="4" w:space="0" w:color="auto"/>
              <w:left w:val="nil"/>
              <w:bottom w:val="single" w:sz="4" w:space="0" w:color="auto"/>
              <w:right w:val="nil"/>
            </w:tcBorders>
            <w:shd w:val="clear" w:color="auto" w:fill="auto"/>
            <w:noWrap/>
            <w:vAlign w:val="center"/>
            <w:hideMark/>
          </w:tcPr>
          <w:p w14:paraId="6D62CBB6" w14:textId="77777777" w:rsidR="009C21E5" w:rsidRPr="00AB315F" w:rsidRDefault="009C21E5" w:rsidP="009C21E5">
            <w:pPr>
              <w:jc w:val="center"/>
              <w:rPr>
                <w:rFonts w:ascii="Calibri" w:hAnsi="Calibri"/>
                <w:b/>
                <w:bCs/>
                <w:sz w:val="22"/>
                <w:szCs w:val="22"/>
              </w:rPr>
            </w:pPr>
            <w:r w:rsidRPr="00AB315F">
              <w:rPr>
                <w:rFonts w:ascii="Calibri" w:hAnsi="Calibri"/>
                <w:b/>
                <w:bCs/>
                <w:sz w:val="22"/>
                <w:szCs w:val="22"/>
              </w:rPr>
              <w:lastRenderedPageBreak/>
              <w:t>2014</w:t>
            </w:r>
          </w:p>
        </w:tc>
      </w:tr>
      <w:tr w:rsidR="005D5DC8" w:rsidRPr="00AB315F" w14:paraId="3D50DC05" w14:textId="77777777" w:rsidTr="005D5DC8">
        <w:trPr>
          <w:trHeight w:val="290"/>
          <w:jc w:val="center"/>
        </w:trPr>
        <w:tc>
          <w:tcPr>
            <w:tcW w:w="818" w:type="dxa"/>
            <w:tcBorders>
              <w:top w:val="nil"/>
              <w:left w:val="nil"/>
              <w:bottom w:val="single" w:sz="4" w:space="0" w:color="auto"/>
              <w:right w:val="nil"/>
            </w:tcBorders>
            <w:shd w:val="clear" w:color="auto" w:fill="auto"/>
            <w:noWrap/>
            <w:vAlign w:val="center"/>
            <w:hideMark/>
          </w:tcPr>
          <w:p w14:paraId="384766B7" w14:textId="0ECC69D6" w:rsidR="005D5DC8" w:rsidRPr="00AB315F" w:rsidRDefault="005D5DC8" w:rsidP="005D5DC8">
            <w:pPr>
              <w:jc w:val="center"/>
              <w:rPr>
                <w:rFonts w:ascii="Calibri" w:hAnsi="Calibri"/>
                <w:sz w:val="22"/>
                <w:szCs w:val="22"/>
              </w:rPr>
            </w:pPr>
            <w:r>
              <w:rPr>
                <w:rFonts w:ascii="Calibri" w:hAnsi="Calibri"/>
                <w:sz w:val="22"/>
                <w:szCs w:val="22"/>
              </w:rPr>
              <w:t>Fa</w:t>
            </w:r>
            <w:r w:rsidRPr="00AB315F">
              <w:rPr>
                <w:rFonts w:ascii="Calibri" w:hAnsi="Calibri"/>
                <w:sz w:val="22"/>
                <w:szCs w:val="22"/>
              </w:rPr>
              <w:t>tor</w:t>
            </w:r>
          </w:p>
        </w:tc>
        <w:tc>
          <w:tcPr>
            <w:tcW w:w="1123" w:type="dxa"/>
            <w:tcBorders>
              <w:top w:val="nil"/>
              <w:left w:val="single" w:sz="4" w:space="0" w:color="auto"/>
              <w:bottom w:val="single" w:sz="4" w:space="0" w:color="auto"/>
              <w:right w:val="single" w:sz="4" w:space="0" w:color="auto"/>
            </w:tcBorders>
            <w:shd w:val="clear" w:color="auto" w:fill="auto"/>
            <w:noWrap/>
            <w:vAlign w:val="center"/>
            <w:hideMark/>
          </w:tcPr>
          <w:p w14:paraId="263C4C75" w14:textId="7DF93F41" w:rsidR="005D5DC8" w:rsidRPr="00AB315F" w:rsidRDefault="005D5DC8" w:rsidP="005D5DC8">
            <w:pPr>
              <w:jc w:val="center"/>
              <w:rPr>
                <w:rFonts w:ascii="Calibri" w:hAnsi="Calibri"/>
                <w:sz w:val="22"/>
                <w:szCs w:val="22"/>
              </w:rPr>
            </w:pPr>
            <w:r w:rsidRPr="00AB315F">
              <w:rPr>
                <w:rFonts w:ascii="Calibri" w:hAnsi="Calibri"/>
                <w:sz w:val="22"/>
                <w:szCs w:val="22"/>
              </w:rPr>
              <w:t>Eigenvalue</w:t>
            </w:r>
          </w:p>
        </w:tc>
        <w:tc>
          <w:tcPr>
            <w:tcW w:w="1074" w:type="dxa"/>
            <w:tcBorders>
              <w:top w:val="nil"/>
              <w:left w:val="nil"/>
              <w:bottom w:val="single" w:sz="4" w:space="0" w:color="auto"/>
              <w:right w:val="single" w:sz="4" w:space="0" w:color="auto"/>
            </w:tcBorders>
            <w:shd w:val="clear" w:color="auto" w:fill="auto"/>
            <w:noWrap/>
            <w:vAlign w:val="center"/>
            <w:hideMark/>
          </w:tcPr>
          <w:p w14:paraId="724DE40A" w14:textId="3FB8036A" w:rsidR="005D5DC8" w:rsidRPr="00AB315F" w:rsidRDefault="005D5DC8" w:rsidP="005D5DC8">
            <w:pPr>
              <w:jc w:val="center"/>
              <w:rPr>
                <w:rFonts w:ascii="Calibri" w:hAnsi="Calibri"/>
                <w:sz w:val="22"/>
                <w:szCs w:val="22"/>
              </w:rPr>
            </w:pPr>
            <w:r>
              <w:rPr>
                <w:rFonts w:ascii="Calibri" w:hAnsi="Calibri"/>
                <w:sz w:val="22"/>
                <w:szCs w:val="22"/>
              </w:rPr>
              <w:t>Diferença</w:t>
            </w:r>
          </w:p>
        </w:tc>
        <w:tc>
          <w:tcPr>
            <w:tcW w:w="1410" w:type="dxa"/>
            <w:tcBorders>
              <w:top w:val="nil"/>
              <w:left w:val="nil"/>
              <w:bottom w:val="single" w:sz="4" w:space="0" w:color="auto"/>
              <w:right w:val="single" w:sz="4" w:space="0" w:color="auto"/>
            </w:tcBorders>
            <w:shd w:val="clear" w:color="auto" w:fill="auto"/>
            <w:noWrap/>
            <w:vAlign w:val="center"/>
            <w:hideMark/>
          </w:tcPr>
          <w:p w14:paraId="31325509" w14:textId="56E1B1FA" w:rsidR="005D5DC8" w:rsidRPr="00AB315F" w:rsidRDefault="005D5DC8" w:rsidP="005D5DC8">
            <w:pPr>
              <w:jc w:val="center"/>
              <w:rPr>
                <w:rFonts w:ascii="Calibri" w:hAnsi="Calibri"/>
                <w:sz w:val="22"/>
                <w:szCs w:val="22"/>
              </w:rPr>
            </w:pPr>
            <w:r>
              <w:rPr>
                <w:rFonts w:ascii="Calibri" w:hAnsi="Calibri"/>
                <w:sz w:val="22"/>
                <w:szCs w:val="22"/>
              </w:rPr>
              <w:t>Proporção</w:t>
            </w:r>
          </w:p>
        </w:tc>
        <w:tc>
          <w:tcPr>
            <w:tcW w:w="1154" w:type="dxa"/>
            <w:tcBorders>
              <w:top w:val="nil"/>
              <w:left w:val="nil"/>
              <w:bottom w:val="single" w:sz="4" w:space="0" w:color="auto"/>
              <w:right w:val="nil"/>
            </w:tcBorders>
            <w:shd w:val="clear" w:color="auto" w:fill="auto"/>
            <w:noWrap/>
            <w:vAlign w:val="center"/>
            <w:hideMark/>
          </w:tcPr>
          <w:p w14:paraId="72F5086B" w14:textId="2B75AF45" w:rsidR="005D5DC8" w:rsidRPr="00AB315F" w:rsidRDefault="005D5DC8" w:rsidP="005D5DC8">
            <w:pPr>
              <w:jc w:val="center"/>
              <w:rPr>
                <w:rFonts w:ascii="Calibri" w:hAnsi="Calibri"/>
                <w:sz w:val="22"/>
                <w:szCs w:val="22"/>
              </w:rPr>
            </w:pPr>
          </w:p>
        </w:tc>
      </w:tr>
      <w:tr w:rsidR="009C21E5" w:rsidRPr="00AB315F" w14:paraId="34C50767" w14:textId="77777777" w:rsidTr="005D5DC8">
        <w:trPr>
          <w:trHeight w:val="290"/>
          <w:jc w:val="center"/>
        </w:trPr>
        <w:tc>
          <w:tcPr>
            <w:tcW w:w="818" w:type="dxa"/>
            <w:tcBorders>
              <w:top w:val="nil"/>
              <w:left w:val="nil"/>
              <w:bottom w:val="single" w:sz="4" w:space="0" w:color="auto"/>
              <w:right w:val="nil"/>
            </w:tcBorders>
            <w:shd w:val="clear" w:color="auto" w:fill="auto"/>
            <w:noWrap/>
            <w:vAlign w:val="center"/>
            <w:hideMark/>
          </w:tcPr>
          <w:p w14:paraId="62157C10" w14:textId="77777777" w:rsidR="009C21E5" w:rsidRPr="00AB315F" w:rsidRDefault="009C21E5" w:rsidP="009C21E5">
            <w:pPr>
              <w:jc w:val="center"/>
              <w:rPr>
                <w:rFonts w:ascii="Calibri" w:hAnsi="Calibri"/>
                <w:sz w:val="22"/>
                <w:szCs w:val="22"/>
              </w:rPr>
            </w:pPr>
            <w:r w:rsidRPr="00AB315F">
              <w:rPr>
                <w:rFonts w:ascii="Calibri" w:hAnsi="Calibri"/>
                <w:sz w:val="22"/>
                <w:szCs w:val="22"/>
              </w:rPr>
              <w:t>Factor1</w:t>
            </w:r>
          </w:p>
        </w:tc>
        <w:tc>
          <w:tcPr>
            <w:tcW w:w="1123" w:type="dxa"/>
            <w:tcBorders>
              <w:top w:val="nil"/>
              <w:left w:val="single" w:sz="4" w:space="0" w:color="auto"/>
              <w:bottom w:val="single" w:sz="4" w:space="0" w:color="auto"/>
              <w:right w:val="single" w:sz="4" w:space="0" w:color="auto"/>
            </w:tcBorders>
            <w:shd w:val="clear" w:color="auto" w:fill="auto"/>
            <w:noWrap/>
            <w:vAlign w:val="center"/>
            <w:hideMark/>
          </w:tcPr>
          <w:p w14:paraId="6D456041" w14:textId="77777777" w:rsidR="009C21E5" w:rsidRPr="00AB315F" w:rsidRDefault="009C21E5" w:rsidP="009C21E5">
            <w:pPr>
              <w:jc w:val="center"/>
              <w:rPr>
                <w:rFonts w:ascii="Calibri" w:hAnsi="Calibri"/>
                <w:sz w:val="22"/>
                <w:szCs w:val="22"/>
              </w:rPr>
            </w:pPr>
            <w:r w:rsidRPr="00AB315F">
              <w:rPr>
                <w:rFonts w:ascii="Calibri" w:hAnsi="Calibri"/>
                <w:sz w:val="22"/>
                <w:szCs w:val="22"/>
              </w:rPr>
              <w:t>1,264</w:t>
            </w:r>
          </w:p>
        </w:tc>
        <w:tc>
          <w:tcPr>
            <w:tcW w:w="1074" w:type="dxa"/>
            <w:tcBorders>
              <w:top w:val="nil"/>
              <w:left w:val="nil"/>
              <w:bottom w:val="single" w:sz="4" w:space="0" w:color="auto"/>
              <w:right w:val="single" w:sz="4" w:space="0" w:color="auto"/>
            </w:tcBorders>
            <w:shd w:val="clear" w:color="auto" w:fill="auto"/>
            <w:noWrap/>
            <w:vAlign w:val="center"/>
            <w:hideMark/>
          </w:tcPr>
          <w:p w14:paraId="198A93C7" w14:textId="77777777" w:rsidR="009C21E5" w:rsidRPr="00AB315F" w:rsidRDefault="009C21E5" w:rsidP="009C21E5">
            <w:pPr>
              <w:jc w:val="center"/>
              <w:rPr>
                <w:rFonts w:ascii="Calibri" w:hAnsi="Calibri"/>
                <w:sz w:val="22"/>
                <w:szCs w:val="22"/>
              </w:rPr>
            </w:pPr>
            <w:r w:rsidRPr="00AB315F">
              <w:rPr>
                <w:rFonts w:ascii="Calibri" w:hAnsi="Calibri"/>
                <w:sz w:val="22"/>
                <w:szCs w:val="22"/>
              </w:rPr>
              <w:t>.</w:t>
            </w:r>
          </w:p>
        </w:tc>
        <w:tc>
          <w:tcPr>
            <w:tcW w:w="1410" w:type="dxa"/>
            <w:tcBorders>
              <w:top w:val="nil"/>
              <w:left w:val="nil"/>
              <w:bottom w:val="single" w:sz="4" w:space="0" w:color="auto"/>
              <w:right w:val="single" w:sz="4" w:space="0" w:color="auto"/>
            </w:tcBorders>
            <w:shd w:val="clear" w:color="auto" w:fill="auto"/>
            <w:noWrap/>
            <w:vAlign w:val="center"/>
            <w:hideMark/>
          </w:tcPr>
          <w:p w14:paraId="7453FE00" w14:textId="77777777" w:rsidR="009C21E5" w:rsidRPr="00AB315F" w:rsidRDefault="009C21E5" w:rsidP="009C21E5">
            <w:pPr>
              <w:jc w:val="center"/>
              <w:rPr>
                <w:rFonts w:ascii="Calibri" w:hAnsi="Calibri"/>
                <w:sz w:val="22"/>
                <w:szCs w:val="22"/>
              </w:rPr>
            </w:pPr>
            <w:r w:rsidRPr="00AB315F">
              <w:rPr>
                <w:rFonts w:ascii="Calibri" w:hAnsi="Calibri"/>
                <w:sz w:val="22"/>
                <w:szCs w:val="22"/>
              </w:rPr>
              <w:t>1,446</w:t>
            </w:r>
          </w:p>
        </w:tc>
        <w:tc>
          <w:tcPr>
            <w:tcW w:w="1154" w:type="dxa"/>
            <w:tcBorders>
              <w:top w:val="nil"/>
              <w:left w:val="nil"/>
              <w:bottom w:val="single" w:sz="4" w:space="0" w:color="auto"/>
              <w:right w:val="nil"/>
            </w:tcBorders>
            <w:shd w:val="clear" w:color="auto" w:fill="auto"/>
            <w:noWrap/>
            <w:vAlign w:val="center"/>
            <w:hideMark/>
          </w:tcPr>
          <w:p w14:paraId="5544357E" w14:textId="77777777" w:rsidR="009C21E5" w:rsidRPr="00AB315F" w:rsidRDefault="009C21E5" w:rsidP="009C21E5">
            <w:pPr>
              <w:jc w:val="center"/>
              <w:rPr>
                <w:rFonts w:ascii="Calibri" w:hAnsi="Calibri"/>
                <w:sz w:val="22"/>
                <w:szCs w:val="22"/>
              </w:rPr>
            </w:pPr>
            <w:r w:rsidRPr="00AB315F">
              <w:rPr>
                <w:rFonts w:ascii="Calibri" w:hAnsi="Calibri"/>
                <w:sz w:val="22"/>
                <w:szCs w:val="22"/>
              </w:rPr>
              <w:t>1,446</w:t>
            </w:r>
          </w:p>
        </w:tc>
      </w:tr>
      <w:tr w:rsidR="005D5DC8" w:rsidRPr="00AB315F" w14:paraId="757A2D83" w14:textId="77777777" w:rsidTr="005D5DC8">
        <w:trPr>
          <w:trHeight w:val="290"/>
          <w:jc w:val="center"/>
        </w:trPr>
        <w:tc>
          <w:tcPr>
            <w:tcW w:w="818" w:type="dxa"/>
            <w:tcBorders>
              <w:top w:val="single" w:sz="4" w:space="0" w:color="auto"/>
              <w:left w:val="nil"/>
              <w:bottom w:val="single" w:sz="4" w:space="0" w:color="auto"/>
            </w:tcBorders>
            <w:shd w:val="clear" w:color="auto" w:fill="auto"/>
            <w:noWrap/>
            <w:vAlign w:val="center"/>
          </w:tcPr>
          <w:p w14:paraId="7A384F7A" w14:textId="525A9F57" w:rsidR="005D5DC8" w:rsidRPr="00AB315F" w:rsidRDefault="005D5DC8" w:rsidP="009C21E5">
            <w:pPr>
              <w:jc w:val="center"/>
              <w:rPr>
                <w:rFonts w:ascii="Calibri" w:hAnsi="Calibri"/>
                <w:sz w:val="22"/>
                <w:szCs w:val="22"/>
              </w:rPr>
            </w:pPr>
          </w:p>
        </w:tc>
        <w:tc>
          <w:tcPr>
            <w:tcW w:w="1123" w:type="dxa"/>
            <w:tcBorders>
              <w:top w:val="single" w:sz="4" w:space="0" w:color="auto"/>
              <w:bottom w:val="single" w:sz="4" w:space="0" w:color="auto"/>
            </w:tcBorders>
            <w:shd w:val="clear" w:color="auto" w:fill="auto"/>
            <w:noWrap/>
            <w:vAlign w:val="center"/>
          </w:tcPr>
          <w:p w14:paraId="5D4DFCF2" w14:textId="77777777" w:rsidR="005D5DC8" w:rsidRPr="00AB315F" w:rsidRDefault="005D5DC8" w:rsidP="009C21E5">
            <w:pPr>
              <w:jc w:val="center"/>
              <w:rPr>
                <w:rFonts w:ascii="Calibri" w:hAnsi="Calibri"/>
                <w:sz w:val="22"/>
                <w:szCs w:val="22"/>
              </w:rPr>
            </w:pPr>
          </w:p>
        </w:tc>
        <w:tc>
          <w:tcPr>
            <w:tcW w:w="1074" w:type="dxa"/>
            <w:tcBorders>
              <w:top w:val="single" w:sz="4" w:space="0" w:color="auto"/>
              <w:bottom w:val="single" w:sz="4" w:space="0" w:color="auto"/>
            </w:tcBorders>
            <w:shd w:val="clear" w:color="auto" w:fill="auto"/>
            <w:noWrap/>
            <w:vAlign w:val="center"/>
          </w:tcPr>
          <w:p w14:paraId="13EDB30C" w14:textId="77777777" w:rsidR="005D5DC8" w:rsidRPr="00AB315F" w:rsidRDefault="005D5DC8" w:rsidP="009C21E5">
            <w:pPr>
              <w:jc w:val="center"/>
              <w:rPr>
                <w:rFonts w:ascii="Calibri" w:hAnsi="Calibri"/>
                <w:sz w:val="22"/>
                <w:szCs w:val="22"/>
              </w:rPr>
            </w:pPr>
          </w:p>
        </w:tc>
        <w:tc>
          <w:tcPr>
            <w:tcW w:w="1410" w:type="dxa"/>
            <w:tcBorders>
              <w:top w:val="single" w:sz="4" w:space="0" w:color="auto"/>
              <w:bottom w:val="single" w:sz="4" w:space="0" w:color="auto"/>
            </w:tcBorders>
            <w:shd w:val="clear" w:color="auto" w:fill="auto"/>
            <w:noWrap/>
            <w:vAlign w:val="center"/>
          </w:tcPr>
          <w:p w14:paraId="20FA92C0" w14:textId="77777777" w:rsidR="005D5DC8" w:rsidRPr="00AB315F" w:rsidRDefault="005D5DC8" w:rsidP="009C21E5">
            <w:pPr>
              <w:jc w:val="center"/>
              <w:rPr>
                <w:rFonts w:ascii="Calibri" w:hAnsi="Calibri"/>
                <w:sz w:val="22"/>
                <w:szCs w:val="22"/>
              </w:rPr>
            </w:pPr>
          </w:p>
        </w:tc>
        <w:tc>
          <w:tcPr>
            <w:tcW w:w="1154" w:type="dxa"/>
            <w:tcBorders>
              <w:top w:val="single" w:sz="4" w:space="0" w:color="auto"/>
              <w:bottom w:val="single" w:sz="4" w:space="0" w:color="auto"/>
              <w:right w:val="nil"/>
            </w:tcBorders>
            <w:shd w:val="clear" w:color="auto" w:fill="auto"/>
            <w:noWrap/>
            <w:vAlign w:val="center"/>
          </w:tcPr>
          <w:p w14:paraId="47DC9CDA" w14:textId="77777777" w:rsidR="005D5DC8" w:rsidRPr="00AB315F" w:rsidRDefault="005D5DC8" w:rsidP="009C21E5">
            <w:pPr>
              <w:jc w:val="center"/>
              <w:rPr>
                <w:rFonts w:ascii="Calibri" w:hAnsi="Calibri"/>
                <w:sz w:val="22"/>
                <w:szCs w:val="22"/>
              </w:rPr>
            </w:pPr>
          </w:p>
        </w:tc>
      </w:tr>
      <w:tr w:rsidR="005D5DC8" w:rsidRPr="00AB315F" w14:paraId="758C59D1"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05B9D217" w14:textId="77777777" w:rsidR="005D5DC8" w:rsidRPr="00AB315F" w:rsidRDefault="005D5DC8" w:rsidP="005D5DC8">
            <w:pPr>
              <w:jc w:val="center"/>
              <w:rPr>
                <w:rFonts w:ascii="Calibri" w:hAnsi="Calibri"/>
                <w:sz w:val="22"/>
                <w:szCs w:val="22"/>
              </w:rPr>
            </w:pPr>
          </w:p>
        </w:tc>
        <w:tc>
          <w:tcPr>
            <w:tcW w:w="1123" w:type="dxa"/>
            <w:tcBorders>
              <w:top w:val="single" w:sz="4" w:space="0" w:color="auto"/>
              <w:left w:val="nil"/>
              <w:bottom w:val="single" w:sz="4" w:space="0" w:color="auto"/>
              <w:right w:val="nil"/>
            </w:tcBorders>
            <w:shd w:val="clear" w:color="auto" w:fill="auto"/>
            <w:noWrap/>
            <w:vAlign w:val="center"/>
            <w:hideMark/>
          </w:tcPr>
          <w:p w14:paraId="44BD5D66" w14:textId="0442F71F" w:rsidR="005D5DC8" w:rsidRPr="00AB315F" w:rsidRDefault="005D5DC8" w:rsidP="005D5DC8">
            <w:pPr>
              <w:jc w:val="center"/>
              <w:rPr>
                <w:rFonts w:ascii="Calibri" w:hAnsi="Calibri"/>
                <w:sz w:val="22"/>
                <w:szCs w:val="22"/>
              </w:rPr>
            </w:pPr>
            <w:r>
              <w:rPr>
                <w:rFonts w:ascii="Calibri" w:hAnsi="Calibri"/>
                <w:sz w:val="22"/>
                <w:szCs w:val="22"/>
              </w:rPr>
              <w:t>Variável</w:t>
            </w:r>
          </w:p>
        </w:tc>
        <w:tc>
          <w:tcPr>
            <w:tcW w:w="10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B4EFDE" w14:textId="157DAAF2" w:rsidR="005D5DC8" w:rsidRPr="00AB315F" w:rsidRDefault="005D5DC8" w:rsidP="005D5DC8">
            <w:pPr>
              <w:jc w:val="center"/>
              <w:rPr>
                <w:rFonts w:ascii="Calibri" w:hAnsi="Calibri"/>
                <w:sz w:val="22"/>
                <w:szCs w:val="22"/>
              </w:rPr>
            </w:pPr>
            <w:r>
              <w:rPr>
                <w:rFonts w:ascii="Calibri" w:hAnsi="Calibri"/>
                <w:sz w:val="22"/>
                <w:szCs w:val="22"/>
              </w:rPr>
              <w:t>Fa</w:t>
            </w:r>
            <w:r w:rsidRPr="00AB315F">
              <w:rPr>
                <w:rFonts w:ascii="Calibri" w:hAnsi="Calibri"/>
                <w:sz w:val="22"/>
                <w:szCs w:val="22"/>
              </w:rPr>
              <w:t>tor1</w:t>
            </w:r>
          </w:p>
        </w:tc>
        <w:tc>
          <w:tcPr>
            <w:tcW w:w="1410" w:type="dxa"/>
            <w:tcBorders>
              <w:top w:val="single" w:sz="4" w:space="0" w:color="auto"/>
              <w:left w:val="nil"/>
              <w:bottom w:val="single" w:sz="4" w:space="0" w:color="auto"/>
              <w:right w:val="nil"/>
            </w:tcBorders>
            <w:shd w:val="clear" w:color="auto" w:fill="auto"/>
            <w:noWrap/>
            <w:vAlign w:val="center"/>
            <w:hideMark/>
          </w:tcPr>
          <w:p w14:paraId="4B62DB02" w14:textId="409036E6" w:rsidR="005D5DC8" w:rsidRPr="00AB315F" w:rsidRDefault="005D5DC8" w:rsidP="005D5DC8">
            <w:pPr>
              <w:jc w:val="center"/>
              <w:rPr>
                <w:rFonts w:ascii="Calibri" w:hAnsi="Calibri"/>
                <w:sz w:val="22"/>
                <w:szCs w:val="22"/>
              </w:rPr>
            </w:pPr>
            <w:r>
              <w:rPr>
                <w:rFonts w:ascii="Calibri" w:hAnsi="Calibri"/>
                <w:sz w:val="22"/>
                <w:szCs w:val="22"/>
              </w:rPr>
              <w:t>Especificidade</w:t>
            </w:r>
          </w:p>
        </w:tc>
        <w:tc>
          <w:tcPr>
            <w:tcW w:w="1154" w:type="dxa"/>
            <w:tcBorders>
              <w:top w:val="nil"/>
              <w:left w:val="nil"/>
              <w:bottom w:val="nil"/>
              <w:right w:val="nil"/>
            </w:tcBorders>
            <w:shd w:val="clear" w:color="auto" w:fill="auto"/>
            <w:noWrap/>
            <w:vAlign w:val="center"/>
            <w:hideMark/>
          </w:tcPr>
          <w:p w14:paraId="2A78C0E2" w14:textId="77777777" w:rsidR="005D5DC8" w:rsidRPr="00AB315F" w:rsidRDefault="005D5DC8" w:rsidP="005D5DC8">
            <w:pPr>
              <w:jc w:val="center"/>
              <w:rPr>
                <w:rFonts w:ascii="Calibri" w:hAnsi="Calibri"/>
                <w:sz w:val="22"/>
                <w:szCs w:val="22"/>
              </w:rPr>
            </w:pPr>
          </w:p>
        </w:tc>
      </w:tr>
      <w:tr w:rsidR="009C21E5" w:rsidRPr="00AB315F" w14:paraId="5D9DD0B0"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245E9E37" w14:textId="77777777" w:rsidR="009C21E5" w:rsidRPr="00AB315F" w:rsidRDefault="009C21E5" w:rsidP="009C21E5">
            <w:pPr>
              <w:jc w:val="center"/>
              <w:rPr>
                <w:sz w:val="20"/>
                <w:szCs w:val="20"/>
              </w:rPr>
            </w:pPr>
          </w:p>
        </w:tc>
        <w:tc>
          <w:tcPr>
            <w:tcW w:w="1123" w:type="dxa"/>
            <w:tcBorders>
              <w:top w:val="single" w:sz="4" w:space="0" w:color="auto"/>
              <w:left w:val="nil"/>
              <w:bottom w:val="nil"/>
              <w:right w:val="nil"/>
            </w:tcBorders>
            <w:shd w:val="clear" w:color="auto" w:fill="auto"/>
            <w:noWrap/>
            <w:vAlign w:val="center"/>
            <w:hideMark/>
          </w:tcPr>
          <w:p w14:paraId="5CE85E0C" w14:textId="77777777" w:rsidR="009C21E5" w:rsidRPr="00AB315F" w:rsidRDefault="009C21E5" w:rsidP="009C21E5">
            <w:pPr>
              <w:jc w:val="center"/>
              <w:rPr>
                <w:rFonts w:ascii="Calibri" w:hAnsi="Calibri"/>
                <w:sz w:val="22"/>
                <w:szCs w:val="22"/>
              </w:rPr>
            </w:pPr>
            <w:r w:rsidRPr="00AB315F">
              <w:rPr>
                <w:rFonts w:ascii="Calibri" w:hAnsi="Calibri"/>
                <w:sz w:val="22"/>
                <w:szCs w:val="22"/>
              </w:rPr>
              <w:t>Impostos</w:t>
            </w:r>
          </w:p>
        </w:tc>
        <w:tc>
          <w:tcPr>
            <w:tcW w:w="1074" w:type="dxa"/>
            <w:tcBorders>
              <w:top w:val="single" w:sz="4" w:space="0" w:color="auto"/>
              <w:left w:val="single" w:sz="4" w:space="0" w:color="auto"/>
              <w:bottom w:val="nil"/>
              <w:right w:val="single" w:sz="4" w:space="0" w:color="auto"/>
            </w:tcBorders>
            <w:shd w:val="clear" w:color="auto" w:fill="auto"/>
            <w:noWrap/>
            <w:vAlign w:val="center"/>
            <w:hideMark/>
          </w:tcPr>
          <w:p w14:paraId="596CE9CB" w14:textId="77777777" w:rsidR="009C21E5" w:rsidRPr="00AB315F" w:rsidRDefault="009C21E5" w:rsidP="009C21E5">
            <w:pPr>
              <w:jc w:val="center"/>
              <w:rPr>
                <w:rFonts w:ascii="Calibri" w:hAnsi="Calibri"/>
                <w:sz w:val="22"/>
                <w:szCs w:val="22"/>
              </w:rPr>
            </w:pPr>
            <w:r w:rsidRPr="00AB315F">
              <w:rPr>
                <w:rFonts w:ascii="Calibri" w:hAnsi="Calibri"/>
                <w:sz w:val="22"/>
                <w:szCs w:val="22"/>
              </w:rPr>
              <w:t>0,5714</w:t>
            </w:r>
          </w:p>
        </w:tc>
        <w:tc>
          <w:tcPr>
            <w:tcW w:w="1410" w:type="dxa"/>
            <w:tcBorders>
              <w:top w:val="single" w:sz="4" w:space="0" w:color="auto"/>
              <w:left w:val="nil"/>
              <w:bottom w:val="nil"/>
              <w:right w:val="nil"/>
            </w:tcBorders>
            <w:shd w:val="clear" w:color="auto" w:fill="auto"/>
            <w:noWrap/>
            <w:vAlign w:val="center"/>
            <w:hideMark/>
          </w:tcPr>
          <w:p w14:paraId="4251FF1E" w14:textId="77777777" w:rsidR="009C21E5" w:rsidRPr="00AB315F" w:rsidRDefault="009C21E5" w:rsidP="009C21E5">
            <w:pPr>
              <w:jc w:val="center"/>
              <w:rPr>
                <w:rFonts w:ascii="Calibri" w:hAnsi="Calibri"/>
                <w:sz w:val="22"/>
                <w:szCs w:val="22"/>
              </w:rPr>
            </w:pPr>
            <w:r w:rsidRPr="00AB315F">
              <w:rPr>
                <w:rFonts w:ascii="Calibri" w:hAnsi="Calibri"/>
                <w:sz w:val="22"/>
                <w:szCs w:val="22"/>
              </w:rPr>
              <w:t>0,6735</w:t>
            </w:r>
          </w:p>
        </w:tc>
        <w:tc>
          <w:tcPr>
            <w:tcW w:w="1154" w:type="dxa"/>
            <w:tcBorders>
              <w:top w:val="nil"/>
              <w:left w:val="nil"/>
              <w:bottom w:val="nil"/>
              <w:right w:val="nil"/>
            </w:tcBorders>
            <w:shd w:val="clear" w:color="auto" w:fill="auto"/>
            <w:noWrap/>
            <w:vAlign w:val="center"/>
            <w:hideMark/>
          </w:tcPr>
          <w:p w14:paraId="5EB4EABA" w14:textId="77777777" w:rsidR="009C21E5" w:rsidRPr="00AB315F" w:rsidRDefault="009C21E5" w:rsidP="009C21E5">
            <w:pPr>
              <w:jc w:val="center"/>
              <w:rPr>
                <w:rFonts w:ascii="Calibri" w:hAnsi="Calibri"/>
                <w:sz w:val="22"/>
                <w:szCs w:val="22"/>
              </w:rPr>
            </w:pPr>
            <w:r w:rsidRPr="00AB315F">
              <w:rPr>
                <w:rFonts w:ascii="Calibri" w:hAnsi="Calibri"/>
                <w:sz w:val="22"/>
                <w:szCs w:val="22"/>
              </w:rPr>
              <w:t xml:space="preserve"> </w:t>
            </w:r>
          </w:p>
        </w:tc>
      </w:tr>
      <w:tr w:rsidR="009C21E5" w:rsidRPr="00AB315F" w14:paraId="0ECF5D53"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0A5BD817" w14:textId="77777777" w:rsidR="009C21E5" w:rsidRPr="00AB315F" w:rsidRDefault="009C21E5" w:rsidP="009C21E5">
            <w:pPr>
              <w:jc w:val="center"/>
              <w:rPr>
                <w:rFonts w:ascii="Calibri" w:hAnsi="Calibri"/>
                <w:sz w:val="22"/>
                <w:szCs w:val="22"/>
              </w:rPr>
            </w:pPr>
          </w:p>
        </w:tc>
        <w:tc>
          <w:tcPr>
            <w:tcW w:w="1123" w:type="dxa"/>
            <w:tcBorders>
              <w:top w:val="nil"/>
              <w:left w:val="nil"/>
              <w:bottom w:val="nil"/>
              <w:right w:val="nil"/>
            </w:tcBorders>
            <w:shd w:val="clear" w:color="auto" w:fill="auto"/>
            <w:noWrap/>
            <w:vAlign w:val="center"/>
            <w:hideMark/>
          </w:tcPr>
          <w:p w14:paraId="007DB045" w14:textId="77777777" w:rsidR="009C21E5" w:rsidRPr="00AB315F" w:rsidRDefault="009C21E5" w:rsidP="009C21E5">
            <w:pPr>
              <w:jc w:val="center"/>
              <w:rPr>
                <w:rFonts w:ascii="Calibri" w:hAnsi="Calibri"/>
                <w:sz w:val="22"/>
                <w:szCs w:val="22"/>
              </w:rPr>
            </w:pPr>
            <w:r w:rsidRPr="00AB315F">
              <w:rPr>
                <w:rFonts w:ascii="Calibri" w:hAnsi="Calibri"/>
                <w:sz w:val="22"/>
                <w:szCs w:val="22"/>
              </w:rPr>
              <w:t>Propina</w:t>
            </w:r>
          </w:p>
        </w:tc>
        <w:tc>
          <w:tcPr>
            <w:tcW w:w="1074" w:type="dxa"/>
            <w:tcBorders>
              <w:top w:val="nil"/>
              <w:left w:val="single" w:sz="4" w:space="0" w:color="auto"/>
              <w:bottom w:val="nil"/>
              <w:right w:val="single" w:sz="4" w:space="0" w:color="auto"/>
            </w:tcBorders>
            <w:shd w:val="clear" w:color="auto" w:fill="auto"/>
            <w:noWrap/>
            <w:vAlign w:val="center"/>
            <w:hideMark/>
          </w:tcPr>
          <w:p w14:paraId="70DFE63C" w14:textId="77777777" w:rsidR="009C21E5" w:rsidRPr="00AB315F" w:rsidRDefault="009C21E5" w:rsidP="009C21E5">
            <w:pPr>
              <w:jc w:val="center"/>
              <w:rPr>
                <w:rFonts w:ascii="Calibri" w:hAnsi="Calibri"/>
                <w:sz w:val="22"/>
                <w:szCs w:val="22"/>
              </w:rPr>
            </w:pPr>
            <w:r w:rsidRPr="00AB315F">
              <w:rPr>
                <w:rFonts w:ascii="Calibri" w:hAnsi="Calibri"/>
                <w:sz w:val="22"/>
                <w:szCs w:val="22"/>
              </w:rPr>
              <w:t>0,5445</w:t>
            </w:r>
          </w:p>
        </w:tc>
        <w:tc>
          <w:tcPr>
            <w:tcW w:w="1410" w:type="dxa"/>
            <w:tcBorders>
              <w:top w:val="nil"/>
              <w:left w:val="nil"/>
              <w:bottom w:val="nil"/>
              <w:right w:val="nil"/>
            </w:tcBorders>
            <w:shd w:val="clear" w:color="auto" w:fill="auto"/>
            <w:noWrap/>
            <w:vAlign w:val="center"/>
            <w:hideMark/>
          </w:tcPr>
          <w:p w14:paraId="58907B37" w14:textId="77777777" w:rsidR="009C21E5" w:rsidRPr="00AB315F" w:rsidRDefault="009C21E5" w:rsidP="009C21E5">
            <w:pPr>
              <w:jc w:val="center"/>
              <w:rPr>
                <w:rFonts w:ascii="Calibri" w:hAnsi="Calibri"/>
                <w:sz w:val="22"/>
                <w:szCs w:val="22"/>
              </w:rPr>
            </w:pPr>
            <w:r w:rsidRPr="00AB315F">
              <w:rPr>
                <w:rFonts w:ascii="Calibri" w:hAnsi="Calibri"/>
                <w:sz w:val="22"/>
                <w:szCs w:val="22"/>
              </w:rPr>
              <w:t>0,7035</w:t>
            </w:r>
          </w:p>
        </w:tc>
        <w:tc>
          <w:tcPr>
            <w:tcW w:w="1154" w:type="dxa"/>
            <w:tcBorders>
              <w:top w:val="nil"/>
              <w:left w:val="nil"/>
              <w:bottom w:val="nil"/>
              <w:right w:val="nil"/>
            </w:tcBorders>
            <w:shd w:val="clear" w:color="auto" w:fill="auto"/>
            <w:noWrap/>
            <w:vAlign w:val="center"/>
            <w:hideMark/>
          </w:tcPr>
          <w:p w14:paraId="39D3D641" w14:textId="77777777" w:rsidR="009C21E5" w:rsidRPr="00AB315F" w:rsidRDefault="009C21E5" w:rsidP="009C21E5">
            <w:pPr>
              <w:rPr>
                <w:rFonts w:ascii="Calibri" w:hAnsi="Calibri"/>
                <w:sz w:val="22"/>
                <w:szCs w:val="22"/>
              </w:rPr>
            </w:pPr>
            <w:r w:rsidRPr="00AB315F">
              <w:rPr>
                <w:rFonts w:ascii="Calibri" w:hAnsi="Calibri"/>
                <w:sz w:val="22"/>
                <w:szCs w:val="22"/>
              </w:rPr>
              <w:t xml:space="preserve"> </w:t>
            </w:r>
          </w:p>
        </w:tc>
      </w:tr>
      <w:tr w:rsidR="009C21E5" w:rsidRPr="00AB315F" w14:paraId="644770CA"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443BE73C" w14:textId="77777777" w:rsidR="009C21E5" w:rsidRPr="00AB315F" w:rsidRDefault="009C21E5" w:rsidP="009C21E5">
            <w:pPr>
              <w:rPr>
                <w:rFonts w:ascii="Calibri" w:hAnsi="Calibri"/>
                <w:sz w:val="22"/>
                <w:szCs w:val="22"/>
              </w:rPr>
            </w:pPr>
          </w:p>
        </w:tc>
        <w:tc>
          <w:tcPr>
            <w:tcW w:w="1123" w:type="dxa"/>
            <w:tcBorders>
              <w:top w:val="nil"/>
              <w:left w:val="nil"/>
              <w:bottom w:val="nil"/>
              <w:right w:val="nil"/>
            </w:tcBorders>
            <w:shd w:val="clear" w:color="auto" w:fill="auto"/>
            <w:noWrap/>
            <w:vAlign w:val="center"/>
            <w:hideMark/>
          </w:tcPr>
          <w:p w14:paraId="4922B779" w14:textId="77777777" w:rsidR="009C21E5" w:rsidRPr="00AB315F" w:rsidRDefault="009C21E5" w:rsidP="009C21E5">
            <w:pPr>
              <w:jc w:val="center"/>
              <w:rPr>
                <w:rFonts w:ascii="Calibri" w:hAnsi="Calibri"/>
                <w:sz w:val="22"/>
                <w:szCs w:val="22"/>
              </w:rPr>
            </w:pPr>
            <w:r w:rsidRPr="00AB315F">
              <w:rPr>
                <w:rFonts w:ascii="Calibri" w:hAnsi="Calibri"/>
                <w:sz w:val="22"/>
                <w:szCs w:val="22"/>
              </w:rPr>
              <w:t>Transporte</w:t>
            </w:r>
          </w:p>
        </w:tc>
        <w:tc>
          <w:tcPr>
            <w:tcW w:w="1074" w:type="dxa"/>
            <w:tcBorders>
              <w:top w:val="nil"/>
              <w:left w:val="single" w:sz="4" w:space="0" w:color="auto"/>
              <w:bottom w:val="nil"/>
              <w:right w:val="single" w:sz="4" w:space="0" w:color="auto"/>
            </w:tcBorders>
            <w:shd w:val="clear" w:color="auto" w:fill="auto"/>
            <w:noWrap/>
            <w:vAlign w:val="center"/>
            <w:hideMark/>
          </w:tcPr>
          <w:p w14:paraId="53E56C28" w14:textId="77777777" w:rsidR="009C21E5" w:rsidRPr="00AB315F" w:rsidRDefault="009C21E5" w:rsidP="009C21E5">
            <w:pPr>
              <w:jc w:val="center"/>
              <w:rPr>
                <w:rFonts w:ascii="Calibri" w:hAnsi="Calibri"/>
                <w:sz w:val="22"/>
                <w:szCs w:val="22"/>
              </w:rPr>
            </w:pPr>
            <w:r w:rsidRPr="00AB315F">
              <w:rPr>
                <w:rFonts w:ascii="Calibri" w:hAnsi="Calibri"/>
                <w:sz w:val="22"/>
                <w:szCs w:val="22"/>
              </w:rPr>
              <w:t>0,5797</w:t>
            </w:r>
          </w:p>
        </w:tc>
        <w:tc>
          <w:tcPr>
            <w:tcW w:w="1410" w:type="dxa"/>
            <w:tcBorders>
              <w:top w:val="nil"/>
              <w:left w:val="nil"/>
              <w:bottom w:val="nil"/>
              <w:right w:val="nil"/>
            </w:tcBorders>
            <w:shd w:val="clear" w:color="auto" w:fill="auto"/>
            <w:noWrap/>
            <w:vAlign w:val="center"/>
            <w:hideMark/>
          </w:tcPr>
          <w:p w14:paraId="23731426" w14:textId="77777777" w:rsidR="009C21E5" w:rsidRPr="00AB315F" w:rsidRDefault="009C21E5" w:rsidP="009C21E5">
            <w:pPr>
              <w:jc w:val="center"/>
              <w:rPr>
                <w:rFonts w:ascii="Calibri" w:hAnsi="Calibri"/>
                <w:sz w:val="22"/>
                <w:szCs w:val="22"/>
              </w:rPr>
            </w:pPr>
            <w:r w:rsidRPr="00AB315F">
              <w:rPr>
                <w:rFonts w:ascii="Calibri" w:hAnsi="Calibri"/>
                <w:sz w:val="22"/>
                <w:szCs w:val="22"/>
              </w:rPr>
              <w:t>0,6639</w:t>
            </w:r>
          </w:p>
        </w:tc>
        <w:tc>
          <w:tcPr>
            <w:tcW w:w="1154" w:type="dxa"/>
            <w:tcBorders>
              <w:top w:val="nil"/>
              <w:left w:val="nil"/>
              <w:bottom w:val="nil"/>
              <w:right w:val="nil"/>
            </w:tcBorders>
            <w:shd w:val="clear" w:color="auto" w:fill="auto"/>
            <w:noWrap/>
            <w:vAlign w:val="center"/>
            <w:hideMark/>
          </w:tcPr>
          <w:p w14:paraId="10D8B293" w14:textId="77777777" w:rsidR="009C21E5" w:rsidRPr="00AB315F" w:rsidRDefault="009C21E5" w:rsidP="009C21E5">
            <w:pPr>
              <w:jc w:val="center"/>
              <w:rPr>
                <w:rFonts w:ascii="Calibri" w:hAnsi="Calibri"/>
                <w:sz w:val="22"/>
                <w:szCs w:val="22"/>
              </w:rPr>
            </w:pPr>
            <w:r w:rsidRPr="00AB315F">
              <w:rPr>
                <w:rFonts w:ascii="Calibri" w:hAnsi="Calibri"/>
                <w:sz w:val="22"/>
                <w:szCs w:val="22"/>
              </w:rPr>
              <w:t xml:space="preserve"> </w:t>
            </w:r>
          </w:p>
        </w:tc>
      </w:tr>
      <w:tr w:rsidR="009C21E5" w:rsidRPr="00AB315F" w14:paraId="0DD174D2"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23BEE8D9" w14:textId="77777777" w:rsidR="009C21E5" w:rsidRPr="00AB315F" w:rsidRDefault="009C21E5" w:rsidP="009C21E5">
            <w:pPr>
              <w:jc w:val="center"/>
              <w:rPr>
                <w:rFonts w:ascii="Calibri" w:hAnsi="Calibri"/>
                <w:sz w:val="22"/>
                <w:szCs w:val="22"/>
              </w:rPr>
            </w:pPr>
          </w:p>
        </w:tc>
        <w:tc>
          <w:tcPr>
            <w:tcW w:w="1123" w:type="dxa"/>
            <w:tcBorders>
              <w:top w:val="nil"/>
              <w:left w:val="nil"/>
              <w:bottom w:val="nil"/>
              <w:right w:val="nil"/>
            </w:tcBorders>
            <w:shd w:val="clear" w:color="auto" w:fill="auto"/>
            <w:noWrap/>
            <w:vAlign w:val="center"/>
            <w:hideMark/>
          </w:tcPr>
          <w:p w14:paraId="6DF7A326" w14:textId="77777777" w:rsidR="009C21E5" w:rsidRPr="00AB315F" w:rsidRDefault="009C21E5" w:rsidP="009C21E5">
            <w:pPr>
              <w:jc w:val="center"/>
              <w:rPr>
                <w:rFonts w:ascii="Calibri" w:hAnsi="Calibri"/>
                <w:sz w:val="22"/>
                <w:szCs w:val="22"/>
              </w:rPr>
            </w:pPr>
            <w:r w:rsidRPr="00AB315F">
              <w:rPr>
                <w:rFonts w:ascii="Calibri" w:hAnsi="Calibri"/>
                <w:sz w:val="22"/>
                <w:szCs w:val="22"/>
              </w:rPr>
              <w:t>Benefícios</w:t>
            </w:r>
          </w:p>
        </w:tc>
        <w:tc>
          <w:tcPr>
            <w:tcW w:w="1074" w:type="dxa"/>
            <w:tcBorders>
              <w:top w:val="nil"/>
              <w:left w:val="single" w:sz="4" w:space="0" w:color="auto"/>
              <w:bottom w:val="single" w:sz="4" w:space="0" w:color="auto"/>
              <w:right w:val="single" w:sz="4" w:space="0" w:color="auto"/>
            </w:tcBorders>
            <w:shd w:val="clear" w:color="auto" w:fill="auto"/>
            <w:noWrap/>
            <w:vAlign w:val="center"/>
            <w:hideMark/>
          </w:tcPr>
          <w:p w14:paraId="503ACC3C" w14:textId="77777777" w:rsidR="009C21E5" w:rsidRPr="00AB315F" w:rsidRDefault="009C21E5" w:rsidP="009C21E5">
            <w:pPr>
              <w:jc w:val="center"/>
              <w:rPr>
                <w:rFonts w:ascii="Calibri" w:hAnsi="Calibri"/>
                <w:sz w:val="22"/>
                <w:szCs w:val="22"/>
              </w:rPr>
            </w:pPr>
            <w:r w:rsidRPr="00AB315F">
              <w:rPr>
                <w:rFonts w:ascii="Calibri" w:hAnsi="Calibri"/>
                <w:sz w:val="22"/>
                <w:szCs w:val="22"/>
              </w:rPr>
              <w:t>0,5518</w:t>
            </w:r>
          </w:p>
        </w:tc>
        <w:tc>
          <w:tcPr>
            <w:tcW w:w="1410" w:type="dxa"/>
            <w:tcBorders>
              <w:top w:val="nil"/>
              <w:left w:val="nil"/>
              <w:bottom w:val="nil"/>
              <w:right w:val="nil"/>
            </w:tcBorders>
            <w:shd w:val="clear" w:color="auto" w:fill="auto"/>
            <w:noWrap/>
            <w:vAlign w:val="center"/>
            <w:hideMark/>
          </w:tcPr>
          <w:p w14:paraId="7AB9F522" w14:textId="77777777" w:rsidR="009C21E5" w:rsidRPr="00AB315F" w:rsidRDefault="009C21E5" w:rsidP="009C21E5">
            <w:pPr>
              <w:jc w:val="center"/>
              <w:rPr>
                <w:rFonts w:ascii="Calibri" w:hAnsi="Calibri"/>
                <w:sz w:val="22"/>
                <w:szCs w:val="22"/>
              </w:rPr>
            </w:pPr>
            <w:r w:rsidRPr="00AB315F">
              <w:rPr>
                <w:rFonts w:ascii="Calibri" w:hAnsi="Calibri"/>
                <w:sz w:val="22"/>
                <w:szCs w:val="22"/>
              </w:rPr>
              <w:t>0,6955</w:t>
            </w:r>
          </w:p>
        </w:tc>
        <w:tc>
          <w:tcPr>
            <w:tcW w:w="1154" w:type="dxa"/>
            <w:tcBorders>
              <w:top w:val="nil"/>
              <w:left w:val="nil"/>
              <w:bottom w:val="nil"/>
              <w:right w:val="nil"/>
            </w:tcBorders>
            <w:shd w:val="clear" w:color="auto" w:fill="auto"/>
            <w:noWrap/>
            <w:vAlign w:val="center"/>
            <w:hideMark/>
          </w:tcPr>
          <w:p w14:paraId="4AFE034D" w14:textId="77777777" w:rsidR="009C21E5" w:rsidRPr="00AB315F" w:rsidRDefault="009C21E5" w:rsidP="009C21E5">
            <w:pPr>
              <w:jc w:val="center"/>
              <w:rPr>
                <w:rFonts w:ascii="Calibri" w:hAnsi="Calibri"/>
                <w:sz w:val="22"/>
                <w:szCs w:val="22"/>
              </w:rPr>
            </w:pPr>
            <w:r w:rsidRPr="00AB315F">
              <w:rPr>
                <w:rFonts w:ascii="Calibri" w:hAnsi="Calibri"/>
                <w:sz w:val="22"/>
                <w:szCs w:val="22"/>
              </w:rPr>
              <w:t xml:space="preserve"> </w:t>
            </w:r>
          </w:p>
        </w:tc>
      </w:tr>
      <w:tr w:rsidR="009C21E5" w:rsidRPr="00AB315F" w14:paraId="607FF4FD" w14:textId="77777777" w:rsidTr="005D5DC8">
        <w:trPr>
          <w:trHeight w:val="290"/>
          <w:jc w:val="center"/>
        </w:trPr>
        <w:tc>
          <w:tcPr>
            <w:tcW w:w="818" w:type="dxa"/>
            <w:tcBorders>
              <w:top w:val="nil"/>
              <w:left w:val="nil"/>
              <w:bottom w:val="nil"/>
              <w:right w:val="nil"/>
            </w:tcBorders>
            <w:shd w:val="clear" w:color="auto" w:fill="auto"/>
            <w:noWrap/>
            <w:vAlign w:val="center"/>
            <w:hideMark/>
          </w:tcPr>
          <w:p w14:paraId="377B5995" w14:textId="77777777" w:rsidR="009C21E5" w:rsidRPr="00AB315F" w:rsidRDefault="009C21E5" w:rsidP="009C21E5">
            <w:pPr>
              <w:jc w:val="center"/>
              <w:rPr>
                <w:rFonts w:ascii="Calibri" w:hAnsi="Calibri"/>
                <w:sz w:val="22"/>
                <w:szCs w:val="22"/>
              </w:rPr>
            </w:pPr>
          </w:p>
        </w:tc>
        <w:tc>
          <w:tcPr>
            <w:tcW w:w="3607" w:type="dxa"/>
            <w:gridSpan w:val="3"/>
            <w:tcBorders>
              <w:top w:val="single" w:sz="4" w:space="0" w:color="auto"/>
              <w:left w:val="nil"/>
              <w:bottom w:val="single" w:sz="4" w:space="0" w:color="auto"/>
              <w:right w:val="nil"/>
            </w:tcBorders>
            <w:shd w:val="clear" w:color="auto" w:fill="auto"/>
            <w:noWrap/>
            <w:vAlign w:val="center"/>
            <w:hideMark/>
          </w:tcPr>
          <w:p w14:paraId="122872F0" w14:textId="77777777" w:rsidR="009C21E5" w:rsidRPr="00AB315F" w:rsidRDefault="009C21E5" w:rsidP="009C21E5">
            <w:pPr>
              <w:jc w:val="center"/>
              <w:rPr>
                <w:rFonts w:ascii="Calibri" w:hAnsi="Calibri"/>
                <w:b/>
                <w:bCs/>
                <w:sz w:val="22"/>
                <w:szCs w:val="22"/>
              </w:rPr>
            </w:pPr>
            <w:r w:rsidRPr="00AB315F">
              <w:rPr>
                <w:rFonts w:ascii="Calibri" w:hAnsi="Calibri"/>
                <w:b/>
                <w:bCs/>
                <w:sz w:val="22"/>
                <w:szCs w:val="22"/>
              </w:rPr>
              <w:t>KMO               =     0.733</w:t>
            </w:r>
          </w:p>
        </w:tc>
        <w:tc>
          <w:tcPr>
            <w:tcW w:w="1154" w:type="dxa"/>
            <w:tcBorders>
              <w:top w:val="nil"/>
              <w:left w:val="nil"/>
              <w:bottom w:val="nil"/>
              <w:right w:val="nil"/>
            </w:tcBorders>
            <w:shd w:val="clear" w:color="auto" w:fill="auto"/>
            <w:noWrap/>
            <w:vAlign w:val="center"/>
            <w:hideMark/>
          </w:tcPr>
          <w:p w14:paraId="34CE1171" w14:textId="77777777" w:rsidR="009C21E5" w:rsidRPr="00AB315F" w:rsidRDefault="009C21E5" w:rsidP="009C21E5">
            <w:pPr>
              <w:jc w:val="center"/>
              <w:rPr>
                <w:rFonts w:ascii="Calibri" w:hAnsi="Calibri"/>
                <w:b/>
                <w:bCs/>
                <w:sz w:val="22"/>
                <w:szCs w:val="22"/>
              </w:rPr>
            </w:pPr>
          </w:p>
        </w:tc>
      </w:tr>
    </w:tbl>
    <w:p w14:paraId="4E1735C3" w14:textId="77777777" w:rsidR="001F728A" w:rsidRPr="001F728A" w:rsidRDefault="001F728A" w:rsidP="001F728A">
      <w:pPr>
        <w:spacing w:line="360" w:lineRule="auto"/>
        <w:jc w:val="center"/>
        <w:rPr>
          <w:rFonts w:ascii="Calibri" w:hAnsi="Calibri"/>
          <w:sz w:val="20"/>
          <w:szCs w:val="22"/>
        </w:rPr>
      </w:pPr>
      <w:r w:rsidRPr="001F728A">
        <w:rPr>
          <w:rFonts w:ascii="Calibri" w:hAnsi="Calibri"/>
          <w:sz w:val="20"/>
          <w:szCs w:val="22"/>
        </w:rPr>
        <w:t>Fonte</w:t>
      </w:r>
      <w:r>
        <w:rPr>
          <w:rFonts w:ascii="Calibri" w:hAnsi="Calibri"/>
          <w:sz w:val="20"/>
          <w:szCs w:val="22"/>
        </w:rPr>
        <w:t>: elaboração própria</w:t>
      </w:r>
    </w:p>
    <w:p w14:paraId="5BCEAC69" w14:textId="1D656EB2" w:rsidR="007C7B02" w:rsidRDefault="007C7B02" w:rsidP="005A7075">
      <w:pPr>
        <w:spacing w:after="240" w:line="360" w:lineRule="auto"/>
        <w:ind w:firstLine="708"/>
        <w:jc w:val="both"/>
        <w:rPr>
          <w:rFonts w:asciiTheme="minorHAnsi" w:hAnsiTheme="minorHAnsi"/>
        </w:rPr>
      </w:pPr>
      <w:r w:rsidRPr="00AB315F">
        <w:rPr>
          <w:rFonts w:asciiTheme="minorHAnsi" w:hAnsiTheme="minorHAnsi"/>
        </w:rPr>
        <w:t xml:space="preserve">O coeficiente Alpha de Crombach também evidencia uma relativa distância do indicador “Propina” à escala de correlação entre os demais indicadores. </w:t>
      </w:r>
    </w:p>
    <w:p w14:paraId="5F7143F2" w14:textId="5CC3C4B3" w:rsidR="00E15C4B" w:rsidRPr="00E15C4B" w:rsidRDefault="00ED2DAB" w:rsidP="00E15C4B">
      <w:pPr>
        <w:spacing w:after="240" w:line="360" w:lineRule="auto"/>
        <w:jc w:val="center"/>
        <w:rPr>
          <w:rFonts w:asciiTheme="minorHAnsi" w:hAnsiTheme="minorHAnsi"/>
          <w:b/>
        </w:rPr>
      </w:pPr>
      <w:r>
        <w:rPr>
          <w:rFonts w:asciiTheme="minorHAnsi" w:hAnsiTheme="minorHAnsi"/>
          <w:b/>
        </w:rPr>
        <w:t>Tabela 13</w:t>
      </w:r>
      <w:r w:rsidR="00E15C4B" w:rsidRPr="00E15C4B">
        <w:rPr>
          <w:rFonts w:asciiTheme="minorHAnsi" w:hAnsiTheme="minorHAnsi"/>
          <w:b/>
        </w:rPr>
        <w:t>.  Alpha de cronbach dos indicadores de aceitação da corrupção – WVS 2006 e 2014</w:t>
      </w:r>
    </w:p>
    <w:tbl>
      <w:tblPr>
        <w:tblW w:w="7505" w:type="dxa"/>
        <w:jc w:val="center"/>
        <w:tblCellMar>
          <w:left w:w="70" w:type="dxa"/>
          <w:right w:w="70" w:type="dxa"/>
        </w:tblCellMar>
        <w:tblLook w:val="04A0" w:firstRow="1" w:lastRow="0" w:firstColumn="1" w:lastColumn="0" w:noHBand="0" w:noVBand="1"/>
      </w:tblPr>
      <w:tblGrid>
        <w:gridCol w:w="1225"/>
        <w:gridCol w:w="1306"/>
        <w:gridCol w:w="579"/>
        <w:gridCol w:w="1226"/>
        <w:gridCol w:w="1226"/>
        <w:gridCol w:w="1203"/>
        <w:gridCol w:w="778"/>
      </w:tblGrid>
      <w:tr w:rsidR="007C7B02" w:rsidRPr="00AB315F" w14:paraId="375E42B6" w14:textId="77777777" w:rsidTr="005D5DC8">
        <w:trPr>
          <w:trHeight w:val="290"/>
          <w:jc w:val="center"/>
        </w:trPr>
        <w:tc>
          <w:tcPr>
            <w:tcW w:w="7505" w:type="dxa"/>
            <w:gridSpan w:val="7"/>
            <w:tcBorders>
              <w:top w:val="single" w:sz="4" w:space="0" w:color="auto"/>
              <w:left w:val="nil"/>
              <w:bottom w:val="single" w:sz="4" w:space="0" w:color="auto"/>
              <w:right w:val="nil"/>
            </w:tcBorders>
            <w:shd w:val="clear" w:color="auto" w:fill="auto"/>
            <w:noWrap/>
            <w:vAlign w:val="bottom"/>
            <w:hideMark/>
          </w:tcPr>
          <w:p w14:paraId="1AFB57A6" w14:textId="77777777" w:rsidR="007C7B02" w:rsidRPr="00AB315F" w:rsidRDefault="007C7B02" w:rsidP="007C7B02">
            <w:pPr>
              <w:jc w:val="center"/>
              <w:rPr>
                <w:rFonts w:ascii="Calibri" w:hAnsi="Calibri"/>
                <w:b/>
                <w:bCs/>
                <w:sz w:val="22"/>
                <w:szCs w:val="22"/>
              </w:rPr>
            </w:pPr>
            <w:r w:rsidRPr="00AB315F">
              <w:rPr>
                <w:rFonts w:ascii="Calibri" w:hAnsi="Calibri"/>
                <w:b/>
                <w:bCs/>
                <w:sz w:val="22"/>
                <w:szCs w:val="22"/>
              </w:rPr>
              <w:t>2006</w:t>
            </w:r>
          </w:p>
        </w:tc>
      </w:tr>
      <w:tr w:rsidR="005D5DC8" w:rsidRPr="00AB315F" w14:paraId="03CDB66F" w14:textId="77777777" w:rsidTr="005D5DC8">
        <w:trPr>
          <w:trHeight w:val="290"/>
          <w:jc w:val="center"/>
        </w:trPr>
        <w:tc>
          <w:tcPr>
            <w:tcW w:w="1225" w:type="dxa"/>
            <w:tcBorders>
              <w:top w:val="nil"/>
              <w:left w:val="nil"/>
              <w:bottom w:val="single" w:sz="4" w:space="0" w:color="auto"/>
              <w:right w:val="nil"/>
            </w:tcBorders>
            <w:shd w:val="clear" w:color="auto" w:fill="auto"/>
            <w:noWrap/>
            <w:vAlign w:val="center"/>
            <w:hideMark/>
          </w:tcPr>
          <w:p w14:paraId="36321DEE" w14:textId="77777777" w:rsidR="005D5DC8" w:rsidRPr="005D5DC8" w:rsidRDefault="005D5DC8" w:rsidP="005D5DC8">
            <w:pPr>
              <w:jc w:val="center"/>
              <w:rPr>
                <w:rFonts w:ascii="Calibri" w:hAnsi="Calibri"/>
                <w:b/>
                <w:sz w:val="22"/>
                <w:szCs w:val="22"/>
              </w:rPr>
            </w:pPr>
            <w:r w:rsidRPr="005D5DC8">
              <w:rPr>
                <w:rFonts w:ascii="Calibri" w:hAnsi="Calibri"/>
                <w:b/>
                <w:sz w:val="22"/>
                <w:szCs w:val="22"/>
              </w:rPr>
              <w:t>Item</w:t>
            </w:r>
          </w:p>
        </w:tc>
        <w:tc>
          <w:tcPr>
            <w:tcW w:w="1283" w:type="dxa"/>
            <w:tcBorders>
              <w:top w:val="nil"/>
              <w:left w:val="single" w:sz="4" w:space="0" w:color="auto"/>
              <w:bottom w:val="single" w:sz="4" w:space="0" w:color="auto"/>
              <w:right w:val="single" w:sz="4" w:space="0" w:color="auto"/>
            </w:tcBorders>
            <w:shd w:val="clear" w:color="auto" w:fill="auto"/>
            <w:noWrap/>
            <w:vAlign w:val="center"/>
            <w:hideMark/>
          </w:tcPr>
          <w:p w14:paraId="3BB2F6D2" w14:textId="61C62C45" w:rsidR="005D5DC8" w:rsidRPr="005D5DC8" w:rsidRDefault="005D5DC8" w:rsidP="005D5DC8">
            <w:pPr>
              <w:jc w:val="center"/>
              <w:rPr>
                <w:rFonts w:ascii="Calibri" w:hAnsi="Calibri"/>
                <w:b/>
                <w:sz w:val="22"/>
                <w:szCs w:val="22"/>
              </w:rPr>
            </w:pPr>
            <w:r w:rsidRPr="005D5DC8">
              <w:rPr>
                <w:rFonts w:ascii="Calibri" w:hAnsi="Calibri"/>
                <w:b/>
                <w:sz w:val="22"/>
                <w:szCs w:val="22"/>
              </w:rPr>
              <w:t>Observações</w:t>
            </w:r>
          </w:p>
        </w:tc>
        <w:tc>
          <w:tcPr>
            <w:tcW w:w="564" w:type="dxa"/>
            <w:tcBorders>
              <w:top w:val="nil"/>
              <w:left w:val="nil"/>
              <w:bottom w:val="single" w:sz="4" w:space="0" w:color="auto"/>
              <w:right w:val="single" w:sz="4" w:space="0" w:color="auto"/>
            </w:tcBorders>
            <w:shd w:val="clear" w:color="auto" w:fill="auto"/>
            <w:noWrap/>
            <w:vAlign w:val="center"/>
            <w:hideMark/>
          </w:tcPr>
          <w:p w14:paraId="5BB3BB71" w14:textId="2D0E2E88" w:rsidR="005D5DC8" w:rsidRPr="005D5DC8" w:rsidRDefault="005D5DC8" w:rsidP="005D5DC8">
            <w:pPr>
              <w:jc w:val="center"/>
              <w:rPr>
                <w:rFonts w:ascii="Calibri" w:hAnsi="Calibri"/>
                <w:b/>
                <w:sz w:val="22"/>
                <w:szCs w:val="22"/>
              </w:rPr>
            </w:pPr>
            <w:r w:rsidRPr="005D5DC8">
              <w:rPr>
                <w:rFonts w:ascii="Calibri" w:hAnsi="Calibri"/>
                <w:b/>
                <w:sz w:val="22"/>
                <w:szCs w:val="22"/>
              </w:rPr>
              <w:t>Sinal</w:t>
            </w:r>
          </w:p>
        </w:tc>
        <w:tc>
          <w:tcPr>
            <w:tcW w:w="1226" w:type="dxa"/>
            <w:tcBorders>
              <w:top w:val="nil"/>
              <w:left w:val="nil"/>
              <w:bottom w:val="single" w:sz="4" w:space="0" w:color="auto"/>
              <w:right w:val="single" w:sz="4" w:space="0" w:color="auto"/>
            </w:tcBorders>
            <w:shd w:val="clear" w:color="auto" w:fill="auto"/>
            <w:noWrap/>
            <w:vAlign w:val="center"/>
            <w:hideMark/>
          </w:tcPr>
          <w:p w14:paraId="192AC022" w14:textId="7B39E56F" w:rsidR="005D5DC8" w:rsidRPr="005D5DC8" w:rsidRDefault="005D5DC8" w:rsidP="005D5DC8">
            <w:pPr>
              <w:jc w:val="center"/>
              <w:rPr>
                <w:rFonts w:ascii="Calibri" w:hAnsi="Calibri"/>
                <w:b/>
                <w:sz w:val="22"/>
                <w:szCs w:val="22"/>
              </w:rPr>
            </w:pPr>
            <w:r w:rsidRPr="005D5DC8">
              <w:rPr>
                <w:rFonts w:ascii="Calibri" w:hAnsi="Calibri"/>
                <w:b/>
                <w:sz w:val="22"/>
                <w:szCs w:val="22"/>
              </w:rPr>
              <w:t>Correlação Item-teste</w:t>
            </w:r>
          </w:p>
        </w:tc>
        <w:tc>
          <w:tcPr>
            <w:tcW w:w="1226" w:type="dxa"/>
            <w:tcBorders>
              <w:top w:val="nil"/>
              <w:left w:val="nil"/>
              <w:bottom w:val="single" w:sz="4" w:space="0" w:color="auto"/>
              <w:right w:val="single" w:sz="4" w:space="0" w:color="auto"/>
            </w:tcBorders>
            <w:shd w:val="clear" w:color="auto" w:fill="auto"/>
            <w:noWrap/>
            <w:vAlign w:val="center"/>
            <w:hideMark/>
          </w:tcPr>
          <w:p w14:paraId="1819A947" w14:textId="31D6120E" w:rsidR="005D5DC8" w:rsidRPr="005D5DC8" w:rsidRDefault="005D5DC8" w:rsidP="005D5DC8">
            <w:pPr>
              <w:jc w:val="center"/>
              <w:rPr>
                <w:rFonts w:ascii="Calibri" w:hAnsi="Calibri"/>
                <w:b/>
                <w:sz w:val="22"/>
                <w:szCs w:val="22"/>
              </w:rPr>
            </w:pPr>
            <w:r w:rsidRPr="005D5DC8">
              <w:rPr>
                <w:rFonts w:ascii="Calibri" w:hAnsi="Calibri"/>
                <w:b/>
                <w:sz w:val="22"/>
                <w:szCs w:val="22"/>
              </w:rPr>
              <w:t>Correlação Item-resto</w:t>
            </w:r>
          </w:p>
        </w:tc>
        <w:tc>
          <w:tcPr>
            <w:tcW w:w="1203" w:type="dxa"/>
            <w:tcBorders>
              <w:top w:val="nil"/>
              <w:left w:val="nil"/>
              <w:bottom w:val="single" w:sz="4" w:space="0" w:color="auto"/>
              <w:right w:val="single" w:sz="4" w:space="0" w:color="auto"/>
            </w:tcBorders>
            <w:shd w:val="clear" w:color="auto" w:fill="auto"/>
            <w:noWrap/>
            <w:vAlign w:val="center"/>
            <w:hideMark/>
          </w:tcPr>
          <w:p w14:paraId="2B7FC2DD" w14:textId="3DEECF8D" w:rsidR="005D5DC8" w:rsidRPr="005D5DC8" w:rsidRDefault="005D5DC8" w:rsidP="005D5DC8">
            <w:pPr>
              <w:jc w:val="center"/>
              <w:rPr>
                <w:rFonts w:ascii="Calibri" w:hAnsi="Calibri"/>
                <w:b/>
                <w:sz w:val="22"/>
                <w:szCs w:val="22"/>
              </w:rPr>
            </w:pPr>
            <w:r w:rsidRPr="005D5DC8">
              <w:rPr>
                <w:rFonts w:ascii="Calibri" w:hAnsi="Calibri"/>
                <w:b/>
                <w:sz w:val="22"/>
                <w:szCs w:val="22"/>
              </w:rPr>
              <w:t>Covariança Interitem</w:t>
            </w:r>
          </w:p>
        </w:tc>
        <w:tc>
          <w:tcPr>
            <w:tcW w:w="778" w:type="dxa"/>
            <w:tcBorders>
              <w:top w:val="nil"/>
              <w:left w:val="nil"/>
              <w:bottom w:val="single" w:sz="4" w:space="0" w:color="auto"/>
              <w:right w:val="nil"/>
            </w:tcBorders>
            <w:shd w:val="clear" w:color="auto" w:fill="auto"/>
            <w:noWrap/>
            <w:vAlign w:val="center"/>
            <w:hideMark/>
          </w:tcPr>
          <w:p w14:paraId="5F63695B" w14:textId="6213EC73" w:rsidR="005D5DC8" w:rsidRPr="005D5DC8" w:rsidRDefault="005D5DC8" w:rsidP="005D5DC8">
            <w:pPr>
              <w:jc w:val="center"/>
              <w:rPr>
                <w:rFonts w:ascii="Calibri" w:hAnsi="Calibri"/>
                <w:b/>
                <w:sz w:val="22"/>
                <w:szCs w:val="22"/>
              </w:rPr>
            </w:pPr>
            <w:r w:rsidRPr="005D5DC8">
              <w:rPr>
                <w:rFonts w:ascii="Calibri" w:hAnsi="Calibri"/>
                <w:b/>
                <w:sz w:val="22"/>
                <w:szCs w:val="22"/>
              </w:rPr>
              <w:t>Alpha</w:t>
            </w:r>
          </w:p>
        </w:tc>
      </w:tr>
      <w:tr w:rsidR="007C7B02" w:rsidRPr="00AB315F" w14:paraId="169D496B" w14:textId="77777777" w:rsidTr="005D5DC8">
        <w:trPr>
          <w:trHeight w:val="290"/>
          <w:jc w:val="center"/>
        </w:trPr>
        <w:tc>
          <w:tcPr>
            <w:tcW w:w="1225" w:type="dxa"/>
            <w:tcBorders>
              <w:top w:val="nil"/>
              <w:left w:val="nil"/>
              <w:bottom w:val="nil"/>
              <w:right w:val="nil"/>
            </w:tcBorders>
            <w:shd w:val="clear" w:color="auto" w:fill="auto"/>
            <w:noWrap/>
            <w:vAlign w:val="center"/>
            <w:hideMark/>
          </w:tcPr>
          <w:p w14:paraId="05DC62CC" w14:textId="77777777" w:rsidR="007C7B02" w:rsidRPr="00AB315F" w:rsidRDefault="007C7B02" w:rsidP="007C7B02">
            <w:pPr>
              <w:jc w:val="center"/>
              <w:rPr>
                <w:rFonts w:ascii="Calibri" w:hAnsi="Calibri"/>
                <w:sz w:val="22"/>
                <w:szCs w:val="22"/>
              </w:rPr>
            </w:pPr>
            <w:r w:rsidRPr="00AB315F">
              <w:rPr>
                <w:rFonts w:ascii="Calibri" w:hAnsi="Calibri"/>
                <w:sz w:val="22"/>
                <w:szCs w:val="22"/>
              </w:rPr>
              <w:t>Impostos</w:t>
            </w:r>
          </w:p>
        </w:tc>
        <w:tc>
          <w:tcPr>
            <w:tcW w:w="1283" w:type="dxa"/>
            <w:tcBorders>
              <w:top w:val="nil"/>
              <w:left w:val="single" w:sz="4" w:space="0" w:color="auto"/>
              <w:bottom w:val="nil"/>
              <w:right w:val="single" w:sz="4" w:space="0" w:color="auto"/>
            </w:tcBorders>
            <w:shd w:val="clear" w:color="auto" w:fill="auto"/>
            <w:noWrap/>
            <w:vAlign w:val="center"/>
            <w:hideMark/>
          </w:tcPr>
          <w:p w14:paraId="72C6CE80" w14:textId="77777777" w:rsidR="007C7B02" w:rsidRPr="00AB315F" w:rsidRDefault="007C7B02" w:rsidP="007C7B02">
            <w:pPr>
              <w:jc w:val="center"/>
              <w:rPr>
                <w:rFonts w:ascii="Calibri" w:hAnsi="Calibri"/>
                <w:sz w:val="22"/>
                <w:szCs w:val="22"/>
              </w:rPr>
            </w:pPr>
            <w:r w:rsidRPr="00AB315F">
              <w:rPr>
                <w:rFonts w:ascii="Calibri" w:hAnsi="Calibri"/>
                <w:sz w:val="22"/>
                <w:szCs w:val="22"/>
              </w:rPr>
              <w:t>1482</w:t>
            </w:r>
          </w:p>
        </w:tc>
        <w:tc>
          <w:tcPr>
            <w:tcW w:w="564" w:type="dxa"/>
            <w:tcBorders>
              <w:top w:val="nil"/>
              <w:left w:val="nil"/>
              <w:bottom w:val="nil"/>
              <w:right w:val="single" w:sz="4" w:space="0" w:color="auto"/>
            </w:tcBorders>
            <w:shd w:val="clear" w:color="auto" w:fill="auto"/>
            <w:noWrap/>
            <w:vAlign w:val="center"/>
            <w:hideMark/>
          </w:tcPr>
          <w:p w14:paraId="4FECECA6" w14:textId="77777777" w:rsidR="007C7B02" w:rsidRPr="00AB315F" w:rsidRDefault="007C7B02" w:rsidP="007C7B02">
            <w:pPr>
              <w:jc w:val="center"/>
              <w:rPr>
                <w:rFonts w:ascii="Calibri" w:hAnsi="Calibri"/>
                <w:sz w:val="22"/>
                <w:szCs w:val="22"/>
              </w:rPr>
            </w:pPr>
            <w:r w:rsidRPr="00AB315F">
              <w:rPr>
                <w:rFonts w:ascii="Calibri" w:hAnsi="Calibri"/>
                <w:sz w:val="22"/>
                <w:szCs w:val="22"/>
              </w:rPr>
              <w:t>+</w:t>
            </w:r>
          </w:p>
        </w:tc>
        <w:tc>
          <w:tcPr>
            <w:tcW w:w="1226" w:type="dxa"/>
            <w:tcBorders>
              <w:top w:val="nil"/>
              <w:left w:val="nil"/>
              <w:bottom w:val="nil"/>
              <w:right w:val="single" w:sz="4" w:space="0" w:color="auto"/>
            </w:tcBorders>
            <w:shd w:val="clear" w:color="auto" w:fill="auto"/>
            <w:noWrap/>
            <w:vAlign w:val="center"/>
            <w:hideMark/>
          </w:tcPr>
          <w:p w14:paraId="4F3F88BA" w14:textId="77777777" w:rsidR="007C7B02" w:rsidRPr="00AB315F" w:rsidRDefault="007C7B02" w:rsidP="007C7B02">
            <w:pPr>
              <w:jc w:val="center"/>
              <w:rPr>
                <w:rFonts w:ascii="Calibri" w:hAnsi="Calibri"/>
                <w:sz w:val="22"/>
                <w:szCs w:val="22"/>
              </w:rPr>
            </w:pPr>
            <w:r w:rsidRPr="00AB315F">
              <w:rPr>
                <w:rFonts w:ascii="Calibri" w:hAnsi="Calibri"/>
                <w:sz w:val="22"/>
                <w:szCs w:val="22"/>
              </w:rPr>
              <w:t>0,7537</w:t>
            </w:r>
          </w:p>
        </w:tc>
        <w:tc>
          <w:tcPr>
            <w:tcW w:w="1226" w:type="dxa"/>
            <w:tcBorders>
              <w:top w:val="nil"/>
              <w:left w:val="nil"/>
              <w:bottom w:val="nil"/>
              <w:right w:val="single" w:sz="4" w:space="0" w:color="auto"/>
            </w:tcBorders>
            <w:shd w:val="clear" w:color="auto" w:fill="auto"/>
            <w:noWrap/>
            <w:vAlign w:val="center"/>
            <w:hideMark/>
          </w:tcPr>
          <w:p w14:paraId="536D1B0A" w14:textId="77777777" w:rsidR="007C7B02" w:rsidRPr="00AB315F" w:rsidRDefault="007C7B02" w:rsidP="007C7B02">
            <w:pPr>
              <w:jc w:val="center"/>
              <w:rPr>
                <w:rFonts w:ascii="Calibri" w:hAnsi="Calibri"/>
                <w:sz w:val="22"/>
                <w:szCs w:val="22"/>
              </w:rPr>
            </w:pPr>
            <w:r w:rsidRPr="00AB315F">
              <w:rPr>
                <w:rFonts w:ascii="Calibri" w:hAnsi="Calibri"/>
                <w:sz w:val="22"/>
                <w:szCs w:val="22"/>
              </w:rPr>
              <w:t>0,4535</w:t>
            </w:r>
          </w:p>
        </w:tc>
        <w:tc>
          <w:tcPr>
            <w:tcW w:w="1203" w:type="dxa"/>
            <w:tcBorders>
              <w:top w:val="nil"/>
              <w:left w:val="nil"/>
              <w:bottom w:val="nil"/>
              <w:right w:val="single" w:sz="4" w:space="0" w:color="auto"/>
            </w:tcBorders>
            <w:shd w:val="clear" w:color="auto" w:fill="auto"/>
            <w:noWrap/>
            <w:vAlign w:val="center"/>
            <w:hideMark/>
          </w:tcPr>
          <w:p w14:paraId="1BB335D0" w14:textId="77777777" w:rsidR="007C7B02" w:rsidRPr="00AB315F" w:rsidRDefault="007C7B02" w:rsidP="007C7B02">
            <w:pPr>
              <w:jc w:val="center"/>
              <w:rPr>
                <w:rFonts w:ascii="Calibri" w:hAnsi="Calibri"/>
                <w:sz w:val="22"/>
                <w:szCs w:val="22"/>
              </w:rPr>
            </w:pPr>
            <w:r w:rsidRPr="00AB315F">
              <w:rPr>
                <w:rFonts w:ascii="Calibri" w:hAnsi="Calibri"/>
                <w:sz w:val="22"/>
                <w:szCs w:val="22"/>
              </w:rPr>
              <w:t>2</w:t>
            </w:r>
          </w:p>
        </w:tc>
        <w:tc>
          <w:tcPr>
            <w:tcW w:w="778" w:type="dxa"/>
            <w:tcBorders>
              <w:top w:val="nil"/>
              <w:left w:val="nil"/>
              <w:bottom w:val="nil"/>
              <w:right w:val="nil"/>
            </w:tcBorders>
            <w:shd w:val="clear" w:color="auto" w:fill="auto"/>
            <w:noWrap/>
            <w:vAlign w:val="center"/>
            <w:hideMark/>
          </w:tcPr>
          <w:p w14:paraId="4524249C" w14:textId="77777777" w:rsidR="007C7B02" w:rsidRPr="00AB315F" w:rsidRDefault="007C7B02" w:rsidP="007C7B02">
            <w:pPr>
              <w:jc w:val="center"/>
              <w:rPr>
                <w:rFonts w:ascii="Calibri" w:hAnsi="Calibri"/>
                <w:sz w:val="22"/>
                <w:szCs w:val="22"/>
              </w:rPr>
            </w:pPr>
            <w:r w:rsidRPr="00AB315F">
              <w:rPr>
                <w:rFonts w:ascii="Calibri" w:hAnsi="Calibri"/>
                <w:sz w:val="22"/>
                <w:szCs w:val="22"/>
              </w:rPr>
              <w:t>0,5329</w:t>
            </w:r>
          </w:p>
        </w:tc>
      </w:tr>
      <w:tr w:rsidR="007C7B02" w:rsidRPr="00AB315F" w14:paraId="6DA27656" w14:textId="77777777" w:rsidTr="005D5DC8">
        <w:trPr>
          <w:trHeight w:val="290"/>
          <w:jc w:val="center"/>
        </w:trPr>
        <w:tc>
          <w:tcPr>
            <w:tcW w:w="1225" w:type="dxa"/>
            <w:tcBorders>
              <w:top w:val="nil"/>
              <w:left w:val="nil"/>
              <w:bottom w:val="nil"/>
              <w:right w:val="nil"/>
            </w:tcBorders>
            <w:shd w:val="clear" w:color="auto" w:fill="auto"/>
            <w:noWrap/>
            <w:vAlign w:val="center"/>
            <w:hideMark/>
          </w:tcPr>
          <w:p w14:paraId="2B16520F" w14:textId="77777777" w:rsidR="007C7B02" w:rsidRPr="00AB315F" w:rsidRDefault="007C7B02" w:rsidP="007C7B02">
            <w:pPr>
              <w:jc w:val="center"/>
              <w:rPr>
                <w:rFonts w:ascii="Calibri" w:hAnsi="Calibri"/>
                <w:sz w:val="22"/>
                <w:szCs w:val="22"/>
              </w:rPr>
            </w:pPr>
            <w:r w:rsidRPr="00AB315F">
              <w:rPr>
                <w:rFonts w:ascii="Calibri" w:hAnsi="Calibri"/>
                <w:sz w:val="22"/>
                <w:szCs w:val="22"/>
              </w:rPr>
              <w:t>Propina</w:t>
            </w:r>
          </w:p>
        </w:tc>
        <w:tc>
          <w:tcPr>
            <w:tcW w:w="1283" w:type="dxa"/>
            <w:tcBorders>
              <w:top w:val="nil"/>
              <w:left w:val="single" w:sz="4" w:space="0" w:color="auto"/>
              <w:bottom w:val="nil"/>
              <w:right w:val="single" w:sz="4" w:space="0" w:color="auto"/>
            </w:tcBorders>
            <w:shd w:val="clear" w:color="auto" w:fill="auto"/>
            <w:noWrap/>
            <w:vAlign w:val="center"/>
            <w:hideMark/>
          </w:tcPr>
          <w:p w14:paraId="1256C82B" w14:textId="77777777" w:rsidR="007C7B02" w:rsidRPr="00AB315F" w:rsidRDefault="007C7B02" w:rsidP="007C7B02">
            <w:pPr>
              <w:jc w:val="center"/>
              <w:rPr>
                <w:rFonts w:ascii="Calibri" w:hAnsi="Calibri"/>
                <w:sz w:val="22"/>
                <w:szCs w:val="22"/>
              </w:rPr>
            </w:pPr>
            <w:r w:rsidRPr="00AB315F">
              <w:rPr>
                <w:rFonts w:ascii="Calibri" w:hAnsi="Calibri"/>
                <w:sz w:val="22"/>
                <w:szCs w:val="22"/>
              </w:rPr>
              <w:t>1476</w:t>
            </w:r>
          </w:p>
        </w:tc>
        <w:tc>
          <w:tcPr>
            <w:tcW w:w="564" w:type="dxa"/>
            <w:tcBorders>
              <w:top w:val="nil"/>
              <w:left w:val="nil"/>
              <w:bottom w:val="nil"/>
              <w:right w:val="single" w:sz="4" w:space="0" w:color="auto"/>
            </w:tcBorders>
            <w:shd w:val="clear" w:color="auto" w:fill="auto"/>
            <w:noWrap/>
            <w:vAlign w:val="center"/>
            <w:hideMark/>
          </w:tcPr>
          <w:p w14:paraId="2649CE5F" w14:textId="77777777" w:rsidR="007C7B02" w:rsidRPr="00AB315F" w:rsidRDefault="007C7B02" w:rsidP="007C7B02">
            <w:pPr>
              <w:jc w:val="center"/>
              <w:rPr>
                <w:rFonts w:ascii="Calibri" w:hAnsi="Calibri"/>
                <w:sz w:val="22"/>
                <w:szCs w:val="22"/>
              </w:rPr>
            </w:pPr>
            <w:r w:rsidRPr="00AB315F">
              <w:rPr>
                <w:rFonts w:ascii="Calibri" w:hAnsi="Calibri"/>
                <w:sz w:val="22"/>
                <w:szCs w:val="22"/>
              </w:rPr>
              <w:t>+</w:t>
            </w:r>
          </w:p>
        </w:tc>
        <w:tc>
          <w:tcPr>
            <w:tcW w:w="1226" w:type="dxa"/>
            <w:tcBorders>
              <w:top w:val="nil"/>
              <w:left w:val="nil"/>
              <w:bottom w:val="nil"/>
              <w:right w:val="single" w:sz="4" w:space="0" w:color="auto"/>
            </w:tcBorders>
            <w:shd w:val="clear" w:color="auto" w:fill="auto"/>
            <w:noWrap/>
            <w:vAlign w:val="center"/>
            <w:hideMark/>
          </w:tcPr>
          <w:p w14:paraId="787EE78D" w14:textId="77777777" w:rsidR="007C7B02" w:rsidRPr="00AB315F" w:rsidRDefault="007C7B02" w:rsidP="007C7B02">
            <w:pPr>
              <w:jc w:val="center"/>
              <w:rPr>
                <w:rFonts w:ascii="Calibri" w:hAnsi="Calibri"/>
                <w:sz w:val="22"/>
                <w:szCs w:val="22"/>
              </w:rPr>
            </w:pPr>
            <w:r w:rsidRPr="00AB315F">
              <w:rPr>
                <w:rFonts w:ascii="Calibri" w:hAnsi="Calibri"/>
                <w:sz w:val="22"/>
                <w:szCs w:val="22"/>
              </w:rPr>
              <w:t>0,5767</w:t>
            </w:r>
          </w:p>
        </w:tc>
        <w:tc>
          <w:tcPr>
            <w:tcW w:w="1226" w:type="dxa"/>
            <w:tcBorders>
              <w:top w:val="nil"/>
              <w:left w:val="nil"/>
              <w:bottom w:val="nil"/>
              <w:right w:val="single" w:sz="4" w:space="0" w:color="auto"/>
            </w:tcBorders>
            <w:shd w:val="clear" w:color="auto" w:fill="auto"/>
            <w:noWrap/>
            <w:vAlign w:val="center"/>
            <w:hideMark/>
          </w:tcPr>
          <w:p w14:paraId="378612A5" w14:textId="77777777" w:rsidR="007C7B02" w:rsidRPr="00AB315F" w:rsidRDefault="007C7B02" w:rsidP="007C7B02">
            <w:pPr>
              <w:jc w:val="center"/>
              <w:rPr>
                <w:rFonts w:ascii="Calibri" w:hAnsi="Calibri"/>
                <w:sz w:val="22"/>
                <w:szCs w:val="22"/>
              </w:rPr>
            </w:pPr>
            <w:r w:rsidRPr="00AB315F">
              <w:rPr>
                <w:rFonts w:ascii="Calibri" w:hAnsi="Calibri"/>
                <w:sz w:val="22"/>
                <w:szCs w:val="22"/>
              </w:rPr>
              <w:t>0,3669</w:t>
            </w:r>
          </w:p>
        </w:tc>
        <w:tc>
          <w:tcPr>
            <w:tcW w:w="1203" w:type="dxa"/>
            <w:tcBorders>
              <w:top w:val="nil"/>
              <w:left w:val="nil"/>
              <w:bottom w:val="nil"/>
              <w:right w:val="single" w:sz="4" w:space="0" w:color="auto"/>
            </w:tcBorders>
            <w:shd w:val="clear" w:color="auto" w:fill="auto"/>
            <w:noWrap/>
            <w:vAlign w:val="center"/>
            <w:hideMark/>
          </w:tcPr>
          <w:p w14:paraId="2D8618B0" w14:textId="77777777" w:rsidR="007C7B02" w:rsidRPr="00AB315F" w:rsidRDefault="007C7B02" w:rsidP="007C7B02">
            <w:pPr>
              <w:jc w:val="center"/>
              <w:rPr>
                <w:rFonts w:ascii="Calibri" w:hAnsi="Calibri"/>
                <w:sz w:val="22"/>
                <w:szCs w:val="22"/>
              </w:rPr>
            </w:pPr>
            <w:r w:rsidRPr="00AB315F">
              <w:rPr>
                <w:rFonts w:ascii="Calibri" w:hAnsi="Calibri"/>
                <w:sz w:val="22"/>
                <w:szCs w:val="22"/>
              </w:rPr>
              <w:t>3</w:t>
            </w:r>
          </w:p>
        </w:tc>
        <w:tc>
          <w:tcPr>
            <w:tcW w:w="778" w:type="dxa"/>
            <w:tcBorders>
              <w:top w:val="nil"/>
              <w:left w:val="nil"/>
              <w:bottom w:val="nil"/>
              <w:right w:val="nil"/>
            </w:tcBorders>
            <w:shd w:val="clear" w:color="auto" w:fill="auto"/>
            <w:noWrap/>
            <w:vAlign w:val="center"/>
            <w:hideMark/>
          </w:tcPr>
          <w:p w14:paraId="0C6DDC20" w14:textId="77777777" w:rsidR="007C7B02" w:rsidRPr="00AB315F" w:rsidRDefault="007C7B02" w:rsidP="007C7B02">
            <w:pPr>
              <w:jc w:val="center"/>
              <w:rPr>
                <w:rFonts w:ascii="Calibri" w:hAnsi="Calibri"/>
                <w:sz w:val="22"/>
                <w:szCs w:val="22"/>
              </w:rPr>
            </w:pPr>
            <w:r w:rsidRPr="00AB315F">
              <w:rPr>
                <w:rFonts w:ascii="Calibri" w:hAnsi="Calibri"/>
                <w:sz w:val="22"/>
                <w:szCs w:val="22"/>
              </w:rPr>
              <w:t>0,6065</w:t>
            </w:r>
          </w:p>
        </w:tc>
      </w:tr>
      <w:tr w:rsidR="007C7B02" w:rsidRPr="00AB315F" w14:paraId="14099553" w14:textId="77777777" w:rsidTr="005D5DC8">
        <w:trPr>
          <w:trHeight w:val="290"/>
          <w:jc w:val="center"/>
        </w:trPr>
        <w:tc>
          <w:tcPr>
            <w:tcW w:w="1225" w:type="dxa"/>
            <w:tcBorders>
              <w:top w:val="nil"/>
              <w:left w:val="nil"/>
              <w:bottom w:val="nil"/>
              <w:right w:val="nil"/>
            </w:tcBorders>
            <w:shd w:val="clear" w:color="auto" w:fill="auto"/>
            <w:noWrap/>
            <w:vAlign w:val="center"/>
            <w:hideMark/>
          </w:tcPr>
          <w:p w14:paraId="0CA2C2B9" w14:textId="77777777" w:rsidR="007C7B02" w:rsidRPr="00AB315F" w:rsidRDefault="007C7B02" w:rsidP="007C7B02">
            <w:pPr>
              <w:jc w:val="center"/>
              <w:rPr>
                <w:rFonts w:ascii="Calibri" w:hAnsi="Calibri"/>
                <w:sz w:val="22"/>
                <w:szCs w:val="22"/>
              </w:rPr>
            </w:pPr>
            <w:r w:rsidRPr="00AB315F">
              <w:rPr>
                <w:rFonts w:ascii="Calibri" w:hAnsi="Calibri"/>
                <w:sz w:val="22"/>
                <w:szCs w:val="22"/>
              </w:rPr>
              <w:t>Transporte</w:t>
            </w:r>
          </w:p>
        </w:tc>
        <w:tc>
          <w:tcPr>
            <w:tcW w:w="1283" w:type="dxa"/>
            <w:tcBorders>
              <w:top w:val="nil"/>
              <w:left w:val="single" w:sz="4" w:space="0" w:color="auto"/>
              <w:bottom w:val="nil"/>
              <w:right w:val="single" w:sz="4" w:space="0" w:color="auto"/>
            </w:tcBorders>
            <w:shd w:val="clear" w:color="auto" w:fill="auto"/>
            <w:noWrap/>
            <w:vAlign w:val="center"/>
            <w:hideMark/>
          </w:tcPr>
          <w:p w14:paraId="5B14E1E3" w14:textId="77777777" w:rsidR="007C7B02" w:rsidRPr="00AB315F" w:rsidRDefault="007C7B02" w:rsidP="007C7B02">
            <w:pPr>
              <w:jc w:val="center"/>
              <w:rPr>
                <w:rFonts w:ascii="Calibri" w:hAnsi="Calibri"/>
                <w:sz w:val="22"/>
                <w:szCs w:val="22"/>
              </w:rPr>
            </w:pPr>
            <w:r w:rsidRPr="00AB315F">
              <w:rPr>
                <w:rFonts w:ascii="Calibri" w:hAnsi="Calibri"/>
                <w:sz w:val="22"/>
                <w:szCs w:val="22"/>
              </w:rPr>
              <w:t>1482</w:t>
            </w:r>
          </w:p>
        </w:tc>
        <w:tc>
          <w:tcPr>
            <w:tcW w:w="564" w:type="dxa"/>
            <w:tcBorders>
              <w:top w:val="nil"/>
              <w:left w:val="nil"/>
              <w:bottom w:val="nil"/>
              <w:right w:val="single" w:sz="4" w:space="0" w:color="auto"/>
            </w:tcBorders>
            <w:shd w:val="clear" w:color="auto" w:fill="auto"/>
            <w:noWrap/>
            <w:vAlign w:val="center"/>
            <w:hideMark/>
          </w:tcPr>
          <w:p w14:paraId="4B2AA186" w14:textId="77777777" w:rsidR="007C7B02" w:rsidRPr="00AB315F" w:rsidRDefault="007C7B02" w:rsidP="007C7B02">
            <w:pPr>
              <w:jc w:val="center"/>
              <w:rPr>
                <w:rFonts w:ascii="Calibri" w:hAnsi="Calibri"/>
                <w:sz w:val="22"/>
                <w:szCs w:val="22"/>
              </w:rPr>
            </w:pPr>
            <w:r w:rsidRPr="00AB315F">
              <w:rPr>
                <w:rFonts w:ascii="Calibri" w:hAnsi="Calibri"/>
                <w:sz w:val="22"/>
                <w:szCs w:val="22"/>
              </w:rPr>
              <w:t>+</w:t>
            </w:r>
          </w:p>
        </w:tc>
        <w:tc>
          <w:tcPr>
            <w:tcW w:w="1226" w:type="dxa"/>
            <w:tcBorders>
              <w:top w:val="nil"/>
              <w:left w:val="nil"/>
              <w:bottom w:val="nil"/>
              <w:right w:val="single" w:sz="4" w:space="0" w:color="auto"/>
            </w:tcBorders>
            <w:shd w:val="clear" w:color="auto" w:fill="auto"/>
            <w:noWrap/>
            <w:vAlign w:val="center"/>
            <w:hideMark/>
          </w:tcPr>
          <w:p w14:paraId="3D836646" w14:textId="77777777" w:rsidR="007C7B02" w:rsidRPr="00AB315F" w:rsidRDefault="007C7B02" w:rsidP="007C7B02">
            <w:pPr>
              <w:jc w:val="center"/>
              <w:rPr>
                <w:rFonts w:ascii="Calibri" w:hAnsi="Calibri"/>
                <w:sz w:val="22"/>
                <w:szCs w:val="22"/>
              </w:rPr>
            </w:pPr>
            <w:r w:rsidRPr="00AB315F">
              <w:rPr>
                <w:rFonts w:ascii="Calibri" w:hAnsi="Calibri"/>
                <w:sz w:val="22"/>
                <w:szCs w:val="22"/>
              </w:rPr>
              <w:t>0,7415</w:t>
            </w:r>
          </w:p>
        </w:tc>
        <w:tc>
          <w:tcPr>
            <w:tcW w:w="1226" w:type="dxa"/>
            <w:tcBorders>
              <w:top w:val="nil"/>
              <w:left w:val="nil"/>
              <w:bottom w:val="nil"/>
              <w:right w:val="single" w:sz="4" w:space="0" w:color="auto"/>
            </w:tcBorders>
            <w:shd w:val="clear" w:color="auto" w:fill="auto"/>
            <w:noWrap/>
            <w:vAlign w:val="center"/>
            <w:hideMark/>
          </w:tcPr>
          <w:p w14:paraId="74F7680A" w14:textId="77777777" w:rsidR="007C7B02" w:rsidRPr="00AB315F" w:rsidRDefault="007C7B02" w:rsidP="007C7B02">
            <w:pPr>
              <w:jc w:val="center"/>
              <w:rPr>
                <w:rFonts w:ascii="Calibri" w:hAnsi="Calibri"/>
                <w:sz w:val="22"/>
                <w:szCs w:val="22"/>
              </w:rPr>
            </w:pPr>
            <w:r w:rsidRPr="00AB315F">
              <w:rPr>
                <w:rFonts w:ascii="Calibri" w:hAnsi="Calibri"/>
                <w:sz w:val="22"/>
                <w:szCs w:val="22"/>
              </w:rPr>
              <w:t>0,421</w:t>
            </w:r>
          </w:p>
        </w:tc>
        <w:tc>
          <w:tcPr>
            <w:tcW w:w="1203" w:type="dxa"/>
            <w:tcBorders>
              <w:top w:val="nil"/>
              <w:left w:val="nil"/>
              <w:bottom w:val="nil"/>
              <w:right w:val="single" w:sz="4" w:space="0" w:color="auto"/>
            </w:tcBorders>
            <w:shd w:val="clear" w:color="auto" w:fill="auto"/>
            <w:noWrap/>
            <w:vAlign w:val="center"/>
            <w:hideMark/>
          </w:tcPr>
          <w:p w14:paraId="525F34F4" w14:textId="77777777" w:rsidR="007C7B02" w:rsidRPr="00AB315F" w:rsidRDefault="007C7B02" w:rsidP="007C7B02">
            <w:pPr>
              <w:jc w:val="center"/>
              <w:rPr>
                <w:rFonts w:ascii="Calibri" w:hAnsi="Calibri"/>
                <w:sz w:val="22"/>
                <w:szCs w:val="22"/>
              </w:rPr>
            </w:pPr>
            <w:r w:rsidRPr="00AB315F">
              <w:rPr>
                <w:rFonts w:ascii="Calibri" w:hAnsi="Calibri"/>
                <w:sz w:val="22"/>
                <w:szCs w:val="22"/>
              </w:rPr>
              <w:t>2</w:t>
            </w:r>
          </w:p>
        </w:tc>
        <w:tc>
          <w:tcPr>
            <w:tcW w:w="778" w:type="dxa"/>
            <w:tcBorders>
              <w:top w:val="nil"/>
              <w:left w:val="nil"/>
              <w:bottom w:val="nil"/>
              <w:right w:val="nil"/>
            </w:tcBorders>
            <w:shd w:val="clear" w:color="auto" w:fill="auto"/>
            <w:noWrap/>
            <w:vAlign w:val="center"/>
            <w:hideMark/>
          </w:tcPr>
          <w:p w14:paraId="297F4F15" w14:textId="77777777" w:rsidR="007C7B02" w:rsidRPr="00AB315F" w:rsidRDefault="007C7B02" w:rsidP="007C7B02">
            <w:pPr>
              <w:jc w:val="center"/>
              <w:rPr>
                <w:rFonts w:ascii="Calibri" w:hAnsi="Calibri"/>
                <w:sz w:val="22"/>
                <w:szCs w:val="22"/>
              </w:rPr>
            </w:pPr>
            <w:r w:rsidRPr="00AB315F">
              <w:rPr>
                <w:rFonts w:ascii="Calibri" w:hAnsi="Calibri"/>
                <w:sz w:val="22"/>
                <w:szCs w:val="22"/>
              </w:rPr>
              <w:t>0,5648</w:t>
            </w:r>
          </w:p>
        </w:tc>
      </w:tr>
      <w:tr w:rsidR="007C7B02" w:rsidRPr="00AB315F" w14:paraId="4548128A" w14:textId="77777777" w:rsidTr="005D5DC8">
        <w:trPr>
          <w:trHeight w:val="290"/>
          <w:jc w:val="center"/>
        </w:trPr>
        <w:tc>
          <w:tcPr>
            <w:tcW w:w="1225" w:type="dxa"/>
            <w:tcBorders>
              <w:top w:val="nil"/>
              <w:left w:val="nil"/>
              <w:bottom w:val="nil"/>
              <w:right w:val="nil"/>
            </w:tcBorders>
            <w:shd w:val="clear" w:color="auto" w:fill="auto"/>
            <w:noWrap/>
            <w:vAlign w:val="center"/>
            <w:hideMark/>
          </w:tcPr>
          <w:p w14:paraId="4EB24993" w14:textId="77777777" w:rsidR="007C7B02" w:rsidRPr="00AB315F" w:rsidRDefault="007C7B02" w:rsidP="007C7B02">
            <w:pPr>
              <w:jc w:val="center"/>
              <w:rPr>
                <w:rFonts w:ascii="Calibri" w:hAnsi="Calibri"/>
                <w:sz w:val="22"/>
                <w:szCs w:val="22"/>
              </w:rPr>
            </w:pPr>
            <w:r w:rsidRPr="00AB315F">
              <w:rPr>
                <w:rFonts w:ascii="Calibri" w:hAnsi="Calibri"/>
                <w:sz w:val="22"/>
                <w:szCs w:val="22"/>
              </w:rPr>
              <w:t>Benefícios</w:t>
            </w:r>
          </w:p>
        </w:tc>
        <w:tc>
          <w:tcPr>
            <w:tcW w:w="1283" w:type="dxa"/>
            <w:tcBorders>
              <w:top w:val="nil"/>
              <w:left w:val="single" w:sz="4" w:space="0" w:color="auto"/>
              <w:bottom w:val="single" w:sz="4" w:space="0" w:color="auto"/>
              <w:right w:val="single" w:sz="4" w:space="0" w:color="auto"/>
            </w:tcBorders>
            <w:shd w:val="clear" w:color="auto" w:fill="auto"/>
            <w:noWrap/>
            <w:vAlign w:val="center"/>
            <w:hideMark/>
          </w:tcPr>
          <w:p w14:paraId="28BD5DA0" w14:textId="77777777" w:rsidR="007C7B02" w:rsidRPr="00AB315F" w:rsidRDefault="007C7B02" w:rsidP="007C7B02">
            <w:pPr>
              <w:jc w:val="center"/>
              <w:rPr>
                <w:rFonts w:ascii="Calibri" w:hAnsi="Calibri"/>
                <w:sz w:val="22"/>
                <w:szCs w:val="22"/>
              </w:rPr>
            </w:pPr>
            <w:r w:rsidRPr="00AB315F">
              <w:rPr>
                <w:rFonts w:ascii="Calibri" w:hAnsi="Calibri"/>
                <w:sz w:val="22"/>
                <w:szCs w:val="22"/>
              </w:rPr>
              <w:t>1484</w:t>
            </w:r>
          </w:p>
        </w:tc>
        <w:tc>
          <w:tcPr>
            <w:tcW w:w="564" w:type="dxa"/>
            <w:tcBorders>
              <w:top w:val="nil"/>
              <w:left w:val="nil"/>
              <w:bottom w:val="single" w:sz="4" w:space="0" w:color="auto"/>
              <w:right w:val="single" w:sz="4" w:space="0" w:color="auto"/>
            </w:tcBorders>
            <w:shd w:val="clear" w:color="auto" w:fill="auto"/>
            <w:noWrap/>
            <w:vAlign w:val="center"/>
            <w:hideMark/>
          </w:tcPr>
          <w:p w14:paraId="03BD9912" w14:textId="77777777" w:rsidR="007C7B02" w:rsidRPr="00AB315F" w:rsidRDefault="007C7B02" w:rsidP="007C7B02">
            <w:pPr>
              <w:jc w:val="center"/>
              <w:rPr>
                <w:rFonts w:ascii="Calibri" w:hAnsi="Calibri"/>
                <w:sz w:val="22"/>
                <w:szCs w:val="22"/>
              </w:rPr>
            </w:pPr>
            <w:r w:rsidRPr="00AB315F">
              <w:rPr>
                <w:rFonts w:ascii="Calibri" w:hAnsi="Calibri"/>
                <w:sz w:val="22"/>
                <w:szCs w:val="22"/>
              </w:rPr>
              <w:t>+</w:t>
            </w:r>
          </w:p>
        </w:tc>
        <w:tc>
          <w:tcPr>
            <w:tcW w:w="1226" w:type="dxa"/>
            <w:tcBorders>
              <w:top w:val="nil"/>
              <w:left w:val="nil"/>
              <w:bottom w:val="single" w:sz="4" w:space="0" w:color="auto"/>
              <w:right w:val="single" w:sz="4" w:space="0" w:color="auto"/>
            </w:tcBorders>
            <w:shd w:val="clear" w:color="auto" w:fill="auto"/>
            <w:noWrap/>
            <w:vAlign w:val="center"/>
            <w:hideMark/>
          </w:tcPr>
          <w:p w14:paraId="1BA60821" w14:textId="77777777" w:rsidR="007C7B02" w:rsidRPr="00AB315F" w:rsidRDefault="007C7B02" w:rsidP="007C7B02">
            <w:pPr>
              <w:jc w:val="center"/>
              <w:rPr>
                <w:rFonts w:ascii="Calibri" w:hAnsi="Calibri"/>
                <w:sz w:val="22"/>
                <w:szCs w:val="22"/>
              </w:rPr>
            </w:pPr>
            <w:r w:rsidRPr="00AB315F">
              <w:rPr>
                <w:rFonts w:ascii="Calibri" w:hAnsi="Calibri"/>
                <w:sz w:val="22"/>
                <w:szCs w:val="22"/>
              </w:rPr>
              <w:t>0,6945</w:t>
            </w:r>
          </w:p>
        </w:tc>
        <w:tc>
          <w:tcPr>
            <w:tcW w:w="1226" w:type="dxa"/>
            <w:tcBorders>
              <w:top w:val="nil"/>
              <w:left w:val="nil"/>
              <w:bottom w:val="single" w:sz="4" w:space="0" w:color="auto"/>
              <w:right w:val="single" w:sz="4" w:space="0" w:color="auto"/>
            </w:tcBorders>
            <w:shd w:val="clear" w:color="auto" w:fill="auto"/>
            <w:noWrap/>
            <w:vAlign w:val="center"/>
            <w:hideMark/>
          </w:tcPr>
          <w:p w14:paraId="4B92A37E" w14:textId="77777777" w:rsidR="007C7B02" w:rsidRPr="00AB315F" w:rsidRDefault="007C7B02" w:rsidP="007C7B02">
            <w:pPr>
              <w:jc w:val="center"/>
              <w:rPr>
                <w:rFonts w:ascii="Calibri" w:hAnsi="Calibri"/>
                <w:sz w:val="22"/>
                <w:szCs w:val="22"/>
              </w:rPr>
            </w:pPr>
            <w:r w:rsidRPr="00AB315F">
              <w:rPr>
                <w:rFonts w:ascii="Calibri" w:hAnsi="Calibri"/>
                <w:sz w:val="22"/>
                <w:szCs w:val="22"/>
              </w:rPr>
              <w:t>0,4432</w:t>
            </w:r>
          </w:p>
        </w:tc>
        <w:tc>
          <w:tcPr>
            <w:tcW w:w="1203" w:type="dxa"/>
            <w:tcBorders>
              <w:top w:val="nil"/>
              <w:left w:val="nil"/>
              <w:bottom w:val="single" w:sz="4" w:space="0" w:color="auto"/>
              <w:right w:val="single" w:sz="4" w:space="0" w:color="auto"/>
            </w:tcBorders>
            <w:shd w:val="clear" w:color="auto" w:fill="auto"/>
            <w:noWrap/>
            <w:vAlign w:val="center"/>
            <w:hideMark/>
          </w:tcPr>
          <w:p w14:paraId="5396F9E1" w14:textId="77777777" w:rsidR="007C7B02" w:rsidRPr="00AB315F" w:rsidRDefault="007C7B02" w:rsidP="007C7B02">
            <w:pPr>
              <w:jc w:val="center"/>
              <w:rPr>
                <w:rFonts w:ascii="Calibri" w:hAnsi="Calibri"/>
                <w:sz w:val="22"/>
                <w:szCs w:val="22"/>
              </w:rPr>
            </w:pPr>
            <w:r w:rsidRPr="00AB315F">
              <w:rPr>
                <w:rFonts w:ascii="Calibri" w:hAnsi="Calibri"/>
                <w:sz w:val="22"/>
                <w:szCs w:val="22"/>
              </w:rPr>
              <w:t>2</w:t>
            </w:r>
          </w:p>
        </w:tc>
        <w:tc>
          <w:tcPr>
            <w:tcW w:w="778" w:type="dxa"/>
            <w:tcBorders>
              <w:top w:val="nil"/>
              <w:left w:val="nil"/>
              <w:bottom w:val="nil"/>
              <w:right w:val="nil"/>
            </w:tcBorders>
            <w:shd w:val="clear" w:color="auto" w:fill="auto"/>
            <w:noWrap/>
            <w:vAlign w:val="center"/>
            <w:hideMark/>
          </w:tcPr>
          <w:p w14:paraId="61FD1629" w14:textId="77777777" w:rsidR="007C7B02" w:rsidRPr="00AB315F" w:rsidRDefault="007C7B02" w:rsidP="007C7B02">
            <w:pPr>
              <w:jc w:val="center"/>
              <w:rPr>
                <w:rFonts w:ascii="Calibri" w:hAnsi="Calibri"/>
                <w:sz w:val="22"/>
                <w:szCs w:val="22"/>
              </w:rPr>
            </w:pPr>
            <w:r w:rsidRPr="00AB315F">
              <w:rPr>
                <w:rFonts w:ascii="Calibri" w:hAnsi="Calibri"/>
                <w:sz w:val="22"/>
                <w:szCs w:val="22"/>
              </w:rPr>
              <w:t>0,5433</w:t>
            </w:r>
          </w:p>
        </w:tc>
      </w:tr>
      <w:tr w:rsidR="007C7B02" w:rsidRPr="00AB315F" w14:paraId="17256533" w14:textId="77777777" w:rsidTr="005D5DC8">
        <w:trPr>
          <w:trHeight w:val="290"/>
          <w:jc w:val="center"/>
        </w:trPr>
        <w:tc>
          <w:tcPr>
            <w:tcW w:w="1225" w:type="dxa"/>
            <w:tcBorders>
              <w:top w:val="single" w:sz="4" w:space="0" w:color="auto"/>
              <w:left w:val="nil"/>
              <w:bottom w:val="single" w:sz="4" w:space="0" w:color="auto"/>
              <w:right w:val="nil"/>
            </w:tcBorders>
            <w:shd w:val="clear" w:color="auto" w:fill="auto"/>
            <w:noWrap/>
            <w:vAlign w:val="center"/>
            <w:hideMark/>
          </w:tcPr>
          <w:p w14:paraId="78FC0455" w14:textId="77777777" w:rsidR="007C7B02" w:rsidRPr="00AB315F" w:rsidRDefault="007C7B02" w:rsidP="007C7B02">
            <w:pPr>
              <w:jc w:val="center"/>
              <w:rPr>
                <w:rFonts w:ascii="Calibri" w:hAnsi="Calibri"/>
                <w:sz w:val="22"/>
                <w:szCs w:val="22"/>
              </w:rPr>
            </w:pPr>
            <w:r w:rsidRPr="00AB315F">
              <w:rPr>
                <w:rFonts w:ascii="Calibri" w:hAnsi="Calibri"/>
                <w:sz w:val="22"/>
                <w:szCs w:val="22"/>
              </w:rPr>
              <w:t>Test scale</w:t>
            </w:r>
          </w:p>
        </w:tc>
        <w:tc>
          <w:tcPr>
            <w:tcW w:w="1283" w:type="dxa"/>
            <w:tcBorders>
              <w:top w:val="nil"/>
              <w:left w:val="nil"/>
              <w:bottom w:val="single" w:sz="4" w:space="0" w:color="auto"/>
              <w:right w:val="nil"/>
            </w:tcBorders>
            <w:shd w:val="clear" w:color="auto" w:fill="auto"/>
            <w:noWrap/>
            <w:vAlign w:val="center"/>
            <w:hideMark/>
          </w:tcPr>
          <w:p w14:paraId="773F26AA" w14:textId="77777777" w:rsidR="007C7B02" w:rsidRPr="00AB315F" w:rsidRDefault="007C7B02" w:rsidP="007C7B02">
            <w:pPr>
              <w:jc w:val="center"/>
              <w:rPr>
                <w:rFonts w:ascii="Calibri" w:hAnsi="Calibri"/>
                <w:sz w:val="22"/>
                <w:szCs w:val="22"/>
              </w:rPr>
            </w:pPr>
            <w:r w:rsidRPr="00AB315F">
              <w:rPr>
                <w:rFonts w:ascii="Calibri" w:hAnsi="Calibri"/>
                <w:sz w:val="22"/>
                <w:szCs w:val="22"/>
              </w:rPr>
              <w:t> </w:t>
            </w:r>
          </w:p>
        </w:tc>
        <w:tc>
          <w:tcPr>
            <w:tcW w:w="564" w:type="dxa"/>
            <w:tcBorders>
              <w:top w:val="nil"/>
              <w:left w:val="nil"/>
              <w:bottom w:val="single" w:sz="4" w:space="0" w:color="auto"/>
              <w:right w:val="nil"/>
            </w:tcBorders>
            <w:shd w:val="clear" w:color="auto" w:fill="auto"/>
            <w:noWrap/>
            <w:vAlign w:val="center"/>
            <w:hideMark/>
          </w:tcPr>
          <w:p w14:paraId="4CBB3647" w14:textId="77777777" w:rsidR="007C7B02" w:rsidRPr="00AB315F" w:rsidRDefault="007C7B02" w:rsidP="007C7B02">
            <w:pPr>
              <w:jc w:val="center"/>
              <w:rPr>
                <w:rFonts w:ascii="Calibri" w:hAnsi="Calibri"/>
                <w:sz w:val="22"/>
                <w:szCs w:val="22"/>
              </w:rPr>
            </w:pPr>
            <w:r w:rsidRPr="00AB315F">
              <w:rPr>
                <w:rFonts w:ascii="Calibri" w:hAnsi="Calibri"/>
                <w:sz w:val="22"/>
                <w:szCs w:val="22"/>
              </w:rPr>
              <w:t> </w:t>
            </w:r>
          </w:p>
        </w:tc>
        <w:tc>
          <w:tcPr>
            <w:tcW w:w="1226" w:type="dxa"/>
            <w:tcBorders>
              <w:top w:val="nil"/>
              <w:left w:val="nil"/>
              <w:bottom w:val="single" w:sz="4" w:space="0" w:color="auto"/>
              <w:right w:val="nil"/>
            </w:tcBorders>
            <w:shd w:val="clear" w:color="auto" w:fill="auto"/>
            <w:noWrap/>
            <w:vAlign w:val="center"/>
            <w:hideMark/>
          </w:tcPr>
          <w:p w14:paraId="451E18A3" w14:textId="77777777" w:rsidR="007C7B02" w:rsidRPr="00AB315F" w:rsidRDefault="007C7B02" w:rsidP="007C7B02">
            <w:pPr>
              <w:jc w:val="center"/>
              <w:rPr>
                <w:rFonts w:ascii="Calibri" w:hAnsi="Calibri"/>
                <w:sz w:val="22"/>
                <w:szCs w:val="22"/>
              </w:rPr>
            </w:pPr>
            <w:r w:rsidRPr="00AB315F">
              <w:rPr>
                <w:rFonts w:ascii="Calibri" w:hAnsi="Calibri"/>
                <w:sz w:val="22"/>
                <w:szCs w:val="22"/>
              </w:rPr>
              <w:t> </w:t>
            </w:r>
          </w:p>
        </w:tc>
        <w:tc>
          <w:tcPr>
            <w:tcW w:w="1226" w:type="dxa"/>
            <w:tcBorders>
              <w:top w:val="nil"/>
              <w:left w:val="nil"/>
              <w:bottom w:val="single" w:sz="4" w:space="0" w:color="auto"/>
              <w:right w:val="nil"/>
            </w:tcBorders>
            <w:shd w:val="clear" w:color="auto" w:fill="auto"/>
            <w:noWrap/>
            <w:vAlign w:val="center"/>
            <w:hideMark/>
          </w:tcPr>
          <w:p w14:paraId="2EA3ECB3" w14:textId="77777777" w:rsidR="007C7B02" w:rsidRPr="00AB315F" w:rsidRDefault="007C7B02" w:rsidP="007C7B02">
            <w:pPr>
              <w:jc w:val="center"/>
              <w:rPr>
                <w:rFonts w:ascii="Calibri" w:hAnsi="Calibri"/>
                <w:sz w:val="22"/>
                <w:szCs w:val="22"/>
              </w:rPr>
            </w:pPr>
            <w:r w:rsidRPr="00AB315F">
              <w:rPr>
                <w:rFonts w:ascii="Calibri" w:hAnsi="Calibri"/>
                <w:sz w:val="22"/>
                <w:szCs w:val="22"/>
              </w:rPr>
              <w:t> </w:t>
            </w:r>
          </w:p>
        </w:tc>
        <w:tc>
          <w:tcPr>
            <w:tcW w:w="1203" w:type="dxa"/>
            <w:tcBorders>
              <w:top w:val="nil"/>
              <w:left w:val="nil"/>
              <w:bottom w:val="single" w:sz="4" w:space="0" w:color="auto"/>
              <w:right w:val="nil"/>
            </w:tcBorders>
            <w:shd w:val="clear" w:color="auto" w:fill="auto"/>
            <w:noWrap/>
            <w:vAlign w:val="center"/>
            <w:hideMark/>
          </w:tcPr>
          <w:p w14:paraId="61BC4D71" w14:textId="77777777" w:rsidR="007C7B02" w:rsidRPr="00AB315F" w:rsidRDefault="007C7B02" w:rsidP="007C7B02">
            <w:pPr>
              <w:jc w:val="center"/>
              <w:rPr>
                <w:rFonts w:ascii="Calibri" w:hAnsi="Calibri"/>
                <w:sz w:val="22"/>
                <w:szCs w:val="22"/>
              </w:rPr>
            </w:pPr>
            <w:r w:rsidRPr="00AB315F">
              <w:rPr>
                <w:rFonts w:ascii="Calibri" w:hAnsi="Calibri"/>
                <w:sz w:val="22"/>
                <w:szCs w:val="22"/>
              </w:rPr>
              <w:t>2,109251</w:t>
            </w:r>
          </w:p>
        </w:tc>
        <w:tc>
          <w:tcPr>
            <w:tcW w:w="778" w:type="dxa"/>
            <w:tcBorders>
              <w:top w:val="single" w:sz="4" w:space="0" w:color="auto"/>
              <w:left w:val="nil"/>
              <w:bottom w:val="single" w:sz="4" w:space="0" w:color="auto"/>
              <w:right w:val="nil"/>
            </w:tcBorders>
            <w:shd w:val="clear" w:color="auto" w:fill="auto"/>
            <w:noWrap/>
            <w:vAlign w:val="center"/>
            <w:hideMark/>
          </w:tcPr>
          <w:p w14:paraId="0FF3CDA8" w14:textId="77777777" w:rsidR="007C7B02" w:rsidRPr="00AB315F" w:rsidRDefault="007C7B02" w:rsidP="007C7B02">
            <w:pPr>
              <w:jc w:val="center"/>
              <w:rPr>
                <w:rFonts w:ascii="Calibri" w:hAnsi="Calibri"/>
                <w:sz w:val="22"/>
                <w:szCs w:val="22"/>
              </w:rPr>
            </w:pPr>
            <w:r w:rsidRPr="00AB315F">
              <w:rPr>
                <w:rFonts w:ascii="Calibri" w:hAnsi="Calibri"/>
                <w:sz w:val="22"/>
                <w:szCs w:val="22"/>
              </w:rPr>
              <w:t>0,6341</w:t>
            </w:r>
          </w:p>
        </w:tc>
      </w:tr>
    </w:tbl>
    <w:p w14:paraId="57546AD2" w14:textId="77777777" w:rsidR="007C7B02" w:rsidRPr="00AB315F" w:rsidRDefault="007C7B02" w:rsidP="009C21E5">
      <w:pPr>
        <w:spacing w:line="360" w:lineRule="auto"/>
        <w:ind w:firstLine="708"/>
        <w:jc w:val="both"/>
        <w:rPr>
          <w:rFonts w:asciiTheme="minorHAnsi" w:hAnsiTheme="minorHAnsi"/>
        </w:rPr>
      </w:pPr>
    </w:p>
    <w:tbl>
      <w:tblPr>
        <w:tblW w:w="6756" w:type="dxa"/>
        <w:jc w:val="center"/>
        <w:tblCellMar>
          <w:left w:w="70" w:type="dxa"/>
          <w:right w:w="70" w:type="dxa"/>
        </w:tblCellMar>
        <w:tblLook w:val="04A0" w:firstRow="1" w:lastRow="0" w:firstColumn="1" w:lastColumn="0" w:noHBand="0" w:noVBand="1"/>
      </w:tblPr>
      <w:tblGrid>
        <w:gridCol w:w="1225"/>
        <w:gridCol w:w="1306"/>
        <w:gridCol w:w="579"/>
        <w:gridCol w:w="1226"/>
        <w:gridCol w:w="1226"/>
        <w:gridCol w:w="1203"/>
        <w:gridCol w:w="778"/>
      </w:tblGrid>
      <w:tr w:rsidR="007C7B02" w:rsidRPr="00AB315F" w14:paraId="7E3C913F" w14:textId="77777777" w:rsidTr="001F728A">
        <w:trPr>
          <w:trHeight w:val="290"/>
          <w:jc w:val="center"/>
        </w:trPr>
        <w:tc>
          <w:tcPr>
            <w:tcW w:w="6756" w:type="dxa"/>
            <w:gridSpan w:val="7"/>
            <w:tcBorders>
              <w:top w:val="single" w:sz="4" w:space="0" w:color="auto"/>
              <w:left w:val="nil"/>
              <w:bottom w:val="single" w:sz="4" w:space="0" w:color="auto"/>
              <w:right w:val="nil"/>
            </w:tcBorders>
            <w:shd w:val="clear" w:color="auto" w:fill="auto"/>
            <w:noWrap/>
            <w:vAlign w:val="bottom"/>
            <w:hideMark/>
          </w:tcPr>
          <w:p w14:paraId="07C3D12E" w14:textId="77777777" w:rsidR="007C7B02" w:rsidRPr="00AB315F" w:rsidRDefault="007C7B02" w:rsidP="007C7B02">
            <w:pPr>
              <w:jc w:val="center"/>
              <w:rPr>
                <w:rFonts w:ascii="Calibri" w:hAnsi="Calibri"/>
                <w:b/>
                <w:bCs/>
                <w:sz w:val="22"/>
                <w:szCs w:val="22"/>
              </w:rPr>
            </w:pPr>
            <w:r w:rsidRPr="00AB315F">
              <w:rPr>
                <w:rFonts w:ascii="Calibri" w:hAnsi="Calibri"/>
                <w:b/>
                <w:bCs/>
                <w:sz w:val="22"/>
                <w:szCs w:val="22"/>
              </w:rPr>
              <w:t>2014</w:t>
            </w:r>
          </w:p>
        </w:tc>
      </w:tr>
      <w:tr w:rsidR="005D5DC8" w:rsidRPr="00AB315F" w14:paraId="16129020" w14:textId="77777777" w:rsidTr="001F728A">
        <w:trPr>
          <w:trHeight w:val="290"/>
          <w:jc w:val="center"/>
        </w:trPr>
        <w:tc>
          <w:tcPr>
            <w:tcW w:w="1225" w:type="dxa"/>
            <w:tcBorders>
              <w:top w:val="nil"/>
              <w:left w:val="nil"/>
              <w:bottom w:val="single" w:sz="4" w:space="0" w:color="auto"/>
              <w:right w:val="nil"/>
            </w:tcBorders>
            <w:shd w:val="clear" w:color="auto" w:fill="auto"/>
            <w:noWrap/>
            <w:vAlign w:val="center"/>
            <w:hideMark/>
          </w:tcPr>
          <w:p w14:paraId="749D1F49" w14:textId="57652D4B" w:rsidR="005D5DC8" w:rsidRPr="00AB315F" w:rsidRDefault="005D5DC8" w:rsidP="005D5DC8">
            <w:pPr>
              <w:jc w:val="center"/>
              <w:rPr>
                <w:rFonts w:ascii="Calibri" w:hAnsi="Calibri"/>
                <w:sz w:val="22"/>
                <w:szCs w:val="22"/>
              </w:rPr>
            </w:pPr>
            <w:r w:rsidRPr="005D5DC8">
              <w:rPr>
                <w:rFonts w:ascii="Calibri" w:hAnsi="Calibri"/>
                <w:b/>
                <w:sz w:val="22"/>
                <w:szCs w:val="22"/>
              </w:rPr>
              <w:t>Item</w:t>
            </w:r>
          </w:p>
        </w:tc>
        <w:tc>
          <w:tcPr>
            <w:tcW w:w="587" w:type="dxa"/>
            <w:tcBorders>
              <w:top w:val="nil"/>
              <w:left w:val="single" w:sz="4" w:space="0" w:color="auto"/>
              <w:bottom w:val="single" w:sz="4" w:space="0" w:color="auto"/>
              <w:right w:val="single" w:sz="4" w:space="0" w:color="auto"/>
            </w:tcBorders>
            <w:shd w:val="clear" w:color="auto" w:fill="auto"/>
            <w:noWrap/>
            <w:vAlign w:val="center"/>
            <w:hideMark/>
          </w:tcPr>
          <w:p w14:paraId="4AC62808" w14:textId="6D02E9B6" w:rsidR="005D5DC8" w:rsidRPr="00AB315F" w:rsidRDefault="005D5DC8" w:rsidP="005D5DC8">
            <w:pPr>
              <w:jc w:val="center"/>
              <w:rPr>
                <w:rFonts w:ascii="Calibri" w:hAnsi="Calibri"/>
                <w:sz w:val="22"/>
                <w:szCs w:val="22"/>
              </w:rPr>
            </w:pPr>
            <w:r w:rsidRPr="005D5DC8">
              <w:rPr>
                <w:rFonts w:ascii="Calibri" w:hAnsi="Calibri"/>
                <w:b/>
                <w:sz w:val="22"/>
                <w:szCs w:val="22"/>
              </w:rPr>
              <w:t>Observações</w:t>
            </w:r>
          </w:p>
        </w:tc>
        <w:tc>
          <w:tcPr>
            <w:tcW w:w="511" w:type="dxa"/>
            <w:tcBorders>
              <w:top w:val="nil"/>
              <w:left w:val="nil"/>
              <w:bottom w:val="single" w:sz="4" w:space="0" w:color="auto"/>
              <w:right w:val="nil"/>
            </w:tcBorders>
            <w:shd w:val="clear" w:color="auto" w:fill="auto"/>
            <w:noWrap/>
            <w:vAlign w:val="center"/>
            <w:hideMark/>
          </w:tcPr>
          <w:p w14:paraId="2EFAA621" w14:textId="0264B47A" w:rsidR="005D5DC8" w:rsidRPr="00AB315F" w:rsidRDefault="005D5DC8" w:rsidP="005D5DC8">
            <w:pPr>
              <w:jc w:val="center"/>
              <w:rPr>
                <w:rFonts w:ascii="Calibri" w:hAnsi="Calibri"/>
                <w:sz w:val="22"/>
                <w:szCs w:val="22"/>
              </w:rPr>
            </w:pPr>
            <w:r w:rsidRPr="005D5DC8">
              <w:rPr>
                <w:rFonts w:ascii="Calibri" w:hAnsi="Calibri"/>
                <w:b/>
                <w:sz w:val="22"/>
                <w:szCs w:val="22"/>
              </w:rPr>
              <w:t>Sinal</w:t>
            </w:r>
          </w:p>
        </w:tc>
        <w:tc>
          <w:tcPr>
            <w:tcW w:w="1226" w:type="dxa"/>
            <w:tcBorders>
              <w:top w:val="nil"/>
              <w:left w:val="single" w:sz="4" w:space="0" w:color="auto"/>
              <w:bottom w:val="single" w:sz="4" w:space="0" w:color="auto"/>
              <w:right w:val="single" w:sz="4" w:space="0" w:color="auto"/>
            </w:tcBorders>
            <w:shd w:val="clear" w:color="auto" w:fill="auto"/>
            <w:noWrap/>
            <w:vAlign w:val="center"/>
            <w:hideMark/>
          </w:tcPr>
          <w:p w14:paraId="60C4170E" w14:textId="1655F342" w:rsidR="005D5DC8" w:rsidRPr="00AB315F" w:rsidRDefault="005D5DC8" w:rsidP="005D5DC8">
            <w:pPr>
              <w:jc w:val="center"/>
              <w:rPr>
                <w:rFonts w:ascii="Calibri" w:hAnsi="Calibri"/>
                <w:sz w:val="22"/>
                <w:szCs w:val="22"/>
              </w:rPr>
            </w:pPr>
            <w:r w:rsidRPr="005D5DC8">
              <w:rPr>
                <w:rFonts w:ascii="Calibri" w:hAnsi="Calibri"/>
                <w:b/>
                <w:sz w:val="22"/>
                <w:szCs w:val="22"/>
              </w:rPr>
              <w:t>Correlação Item-teste</w:t>
            </w:r>
          </w:p>
        </w:tc>
        <w:tc>
          <w:tcPr>
            <w:tcW w:w="1226" w:type="dxa"/>
            <w:tcBorders>
              <w:top w:val="nil"/>
              <w:left w:val="nil"/>
              <w:bottom w:val="single" w:sz="4" w:space="0" w:color="auto"/>
              <w:right w:val="nil"/>
            </w:tcBorders>
            <w:shd w:val="clear" w:color="auto" w:fill="auto"/>
            <w:noWrap/>
            <w:vAlign w:val="center"/>
            <w:hideMark/>
          </w:tcPr>
          <w:p w14:paraId="5DB55079" w14:textId="19BC4180" w:rsidR="005D5DC8" w:rsidRPr="00AB315F" w:rsidRDefault="005D5DC8" w:rsidP="005D5DC8">
            <w:pPr>
              <w:jc w:val="center"/>
              <w:rPr>
                <w:rFonts w:ascii="Calibri" w:hAnsi="Calibri"/>
                <w:sz w:val="22"/>
                <w:szCs w:val="22"/>
              </w:rPr>
            </w:pPr>
            <w:r w:rsidRPr="005D5DC8">
              <w:rPr>
                <w:rFonts w:ascii="Calibri" w:hAnsi="Calibri"/>
                <w:b/>
                <w:sz w:val="22"/>
                <w:szCs w:val="22"/>
              </w:rPr>
              <w:t>Correlação Item-resto</w:t>
            </w:r>
          </w:p>
        </w:tc>
        <w:tc>
          <w:tcPr>
            <w:tcW w:w="1203" w:type="dxa"/>
            <w:tcBorders>
              <w:top w:val="nil"/>
              <w:left w:val="single" w:sz="4" w:space="0" w:color="auto"/>
              <w:bottom w:val="single" w:sz="4" w:space="0" w:color="auto"/>
              <w:right w:val="single" w:sz="4" w:space="0" w:color="auto"/>
            </w:tcBorders>
            <w:shd w:val="clear" w:color="auto" w:fill="auto"/>
            <w:noWrap/>
            <w:vAlign w:val="center"/>
            <w:hideMark/>
          </w:tcPr>
          <w:p w14:paraId="0FDD0A60" w14:textId="658DD9BA" w:rsidR="005D5DC8" w:rsidRPr="00AB315F" w:rsidRDefault="005D5DC8" w:rsidP="005D5DC8">
            <w:pPr>
              <w:jc w:val="center"/>
              <w:rPr>
                <w:rFonts w:ascii="Calibri" w:hAnsi="Calibri"/>
                <w:sz w:val="22"/>
                <w:szCs w:val="22"/>
              </w:rPr>
            </w:pPr>
            <w:r w:rsidRPr="005D5DC8">
              <w:rPr>
                <w:rFonts w:ascii="Calibri" w:hAnsi="Calibri"/>
                <w:b/>
                <w:sz w:val="22"/>
                <w:szCs w:val="22"/>
              </w:rPr>
              <w:t>Covariança Interitem</w:t>
            </w:r>
          </w:p>
        </w:tc>
        <w:tc>
          <w:tcPr>
            <w:tcW w:w="778" w:type="dxa"/>
            <w:tcBorders>
              <w:top w:val="nil"/>
              <w:left w:val="nil"/>
              <w:bottom w:val="single" w:sz="4" w:space="0" w:color="auto"/>
              <w:right w:val="nil"/>
            </w:tcBorders>
            <w:shd w:val="clear" w:color="auto" w:fill="auto"/>
            <w:noWrap/>
            <w:vAlign w:val="center"/>
            <w:hideMark/>
          </w:tcPr>
          <w:p w14:paraId="2DE3C53D" w14:textId="61DDD936" w:rsidR="005D5DC8" w:rsidRPr="00AB315F" w:rsidRDefault="005D5DC8" w:rsidP="005D5DC8">
            <w:pPr>
              <w:jc w:val="center"/>
              <w:rPr>
                <w:rFonts w:ascii="Calibri" w:hAnsi="Calibri"/>
                <w:sz w:val="22"/>
                <w:szCs w:val="22"/>
              </w:rPr>
            </w:pPr>
            <w:r w:rsidRPr="005D5DC8">
              <w:rPr>
                <w:rFonts w:ascii="Calibri" w:hAnsi="Calibri"/>
                <w:b/>
                <w:sz w:val="22"/>
                <w:szCs w:val="22"/>
              </w:rPr>
              <w:t>Alpha</w:t>
            </w:r>
          </w:p>
        </w:tc>
      </w:tr>
      <w:tr w:rsidR="007C7B02" w:rsidRPr="00AB315F" w14:paraId="1CD02A65" w14:textId="77777777" w:rsidTr="001F728A">
        <w:trPr>
          <w:trHeight w:val="290"/>
          <w:jc w:val="center"/>
        </w:trPr>
        <w:tc>
          <w:tcPr>
            <w:tcW w:w="1225" w:type="dxa"/>
            <w:tcBorders>
              <w:top w:val="nil"/>
              <w:left w:val="nil"/>
              <w:bottom w:val="nil"/>
              <w:right w:val="nil"/>
            </w:tcBorders>
            <w:shd w:val="clear" w:color="auto" w:fill="auto"/>
            <w:noWrap/>
            <w:vAlign w:val="center"/>
            <w:hideMark/>
          </w:tcPr>
          <w:p w14:paraId="612FE2BB" w14:textId="77777777" w:rsidR="007C7B02" w:rsidRPr="00AB315F" w:rsidRDefault="007C7B02" w:rsidP="007C7B02">
            <w:pPr>
              <w:jc w:val="center"/>
              <w:rPr>
                <w:rFonts w:ascii="Calibri" w:hAnsi="Calibri"/>
                <w:sz w:val="22"/>
                <w:szCs w:val="22"/>
              </w:rPr>
            </w:pPr>
            <w:r w:rsidRPr="00AB315F">
              <w:rPr>
                <w:rFonts w:ascii="Calibri" w:hAnsi="Calibri"/>
                <w:sz w:val="22"/>
                <w:szCs w:val="22"/>
              </w:rPr>
              <w:t>Impostos</w:t>
            </w:r>
          </w:p>
        </w:tc>
        <w:tc>
          <w:tcPr>
            <w:tcW w:w="587" w:type="dxa"/>
            <w:tcBorders>
              <w:top w:val="nil"/>
              <w:left w:val="single" w:sz="4" w:space="0" w:color="auto"/>
              <w:bottom w:val="nil"/>
              <w:right w:val="single" w:sz="4" w:space="0" w:color="auto"/>
            </w:tcBorders>
            <w:shd w:val="clear" w:color="auto" w:fill="auto"/>
            <w:noWrap/>
            <w:vAlign w:val="center"/>
            <w:hideMark/>
          </w:tcPr>
          <w:p w14:paraId="051A083D" w14:textId="77777777" w:rsidR="007C7B02" w:rsidRPr="00AB315F" w:rsidRDefault="007C7B02" w:rsidP="007C7B02">
            <w:pPr>
              <w:jc w:val="center"/>
              <w:rPr>
                <w:rFonts w:ascii="Calibri" w:hAnsi="Calibri"/>
                <w:sz w:val="22"/>
                <w:szCs w:val="22"/>
              </w:rPr>
            </w:pPr>
            <w:r w:rsidRPr="00AB315F">
              <w:rPr>
                <w:rFonts w:ascii="Calibri" w:hAnsi="Calibri"/>
                <w:sz w:val="22"/>
                <w:szCs w:val="22"/>
              </w:rPr>
              <w:t>1464</w:t>
            </w:r>
          </w:p>
        </w:tc>
        <w:tc>
          <w:tcPr>
            <w:tcW w:w="511" w:type="dxa"/>
            <w:tcBorders>
              <w:top w:val="nil"/>
              <w:left w:val="nil"/>
              <w:bottom w:val="nil"/>
              <w:right w:val="nil"/>
            </w:tcBorders>
            <w:shd w:val="clear" w:color="auto" w:fill="auto"/>
            <w:noWrap/>
            <w:vAlign w:val="center"/>
            <w:hideMark/>
          </w:tcPr>
          <w:p w14:paraId="52BAB9A4" w14:textId="77777777" w:rsidR="007C7B02" w:rsidRPr="00AB315F" w:rsidRDefault="007C7B02" w:rsidP="007C7B02">
            <w:pPr>
              <w:jc w:val="center"/>
              <w:rPr>
                <w:rFonts w:ascii="Calibri" w:hAnsi="Calibri"/>
                <w:sz w:val="22"/>
                <w:szCs w:val="22"/>
              </w:rPr>
            </w:pPr>
            <w:r w:rsidRPr="00AB315F">
              <w:rPr>
                <w:rFonts w:ascii="Calibri" w:hAnsi="Calibri"/>
                <w:sz w:val="22"/>
                <w:szCs w:val="22"/>
              </w:rPr>
              <w:t>+</w:t>
            </w:r>
          </w:p>
        </w:tc>
        <w:tc>
          <w:tcPr>
            <w:tcW w:w="1226" w:type="dxa"/>
            <w:tcBorders>
              <w:top w:val="nil"/>
              <w:left w:val="single" w:sz="4" w:space="0" w:color="auto"/>
              <w:bottom w:val="nil"/>
              <w:right w:val="single" w:sz="4" w:space="0" w:color="auto"/>
            </w:tcBorders>
            <w:shd w:val="clear" w:color="auto" w:fill="auto"/>
            <w:noWrap/>
            <w:vAlign w:val="center"/>
            <w:hideMark/>
          </w:tcPr>
          <w:p w14:paraId="6070AC3B" w14:textId="77777777" w:rsidR="007C7B02" w:rsidRPr="00AB315F" w:rsidRDefault="007C7B02" w:rsidP="007C7B02">
            <w:pPr>
              <w:jc w:val="center"/>
              <w:rPr>
                <w:rFonts w:ascii="Calibri" w:hAnsi="Calibri"/>
                <w:sz w:val="22"/>
                <w:szCs w:val="22"/>
              </w:rPr>
            </w:pPr>
            <w:r w:rsidRPr="00AB315F">
              <w:rPr>
                <w:rFonts w:ascii="Calibri" w:hAnsi="Calibri"/>
                <w:sz w:val="22"/>
                <w:szCs w:val="22"/>
              </w:rPr>
              <w:t>0,7382</w:t>
            </w:r>
          </w:p>
        </w:tc>
        <w:tc>
          <w:tcPr>
            <w:tcW w:w="1226" w:type="dxa"/>
            <w:tcBorders>
              <w:top w:val="nil"/>
              <w:left w:val="nil"/>
              <w:bottom w:val="nil"/>
              <w:right w:val="nil"/>
            </w:tcBorders>
            <w:shd w:val="clear" w:color="auto" w:fill="auto"/>
            <w:noWrap/>
            <w:vAlign w:val="center"/>
            <w:hideMark/>
          </w:tcPr>
          <w:p w14:paraId="5D8C439A" w14:textId="77777777" w:rsidR="007C7B02" w:rsidRPr="00AB315F" w:rsidRDefault="007C7B02" w:rsidP="007C7B02">
            <w:pPr>
              <w:jc w:val="center"/>
              <w:rPr>
                <w:rFonts w:ascii="Calibri" w:hAnsi="Calibri"/>
                <w:sz w:val="22"/>
                <w:szCs w:val="22"/>
              </w:rPr>
            </w:pPr>
            <w:r w:rsidRPr="00AB315F">
              <w:rPr>
                <w:rFonts w:ascii="Calibri" w:hAnsi="Calibri"/>
                <w:sz w:val="22"/>
                <w:szCs w:val="22"/>
              </w:rPr>
              <w:t>0,469</w:t>
            </w:r>
          </w:p>
        </w:tc>
        <w:tc>
          <w:tcPr>
            <w:tcW w:w="1203" w:type="dxa"/>
            <w:tcBorders>
              <w:top w:val="nil"/>
              <w:left w:val="single" w:sz="4" w:space="0" w:color="auto"/>
              <w:bottom w:val="nil"/>
              <w:right w:val="single" w:sz="4" w:space="0" w:color="auto"/>
            </w:tcBorders>
            <w:shd w:val="clear" w:color="auto" w:fill="auto"/>
            <w:noWrap/>
            <w:vAlign w:val="center"/>
            <w:hideMark/>
          </w:tcPr>
          <w:p w14:paraId="690A418F" w14:textId="77777777" w:rsidR="007C7B02" w:rsidRPr="00AB315F" w:rsidRDefault="007C7B02" w:rsidP="007C7B02">
            <w:pPr>
              <w:jc w:val="center"/>
              <w:rPr>
                <w:rFonts w:ascii="Calibri" w:hAnsi="Calibri"/>
                <w:sz w:val="22"/>
                <w:szCs w:val="22"/>
              </w:rPr>
            </w:pPr>
            <w:r w:rsidRPr="00AB315F">
              <w:rPr>
                <w:rFonts w:ascii="Calibri" w:hAnsi="Calibri"/>
                <w:sz w:val="22"/>
                <w:szCs w:val="22"/>
              </w:rPr>
              <w:t>2</w:t>
            </w:r>
          </w:p>
        </w:tc>
        <w:tc>
          <w:tcPr>
            <w:tcW w:w="778" w:type="dxa"/>
            <w:tcBorders>
              <w:top w:val="nil"/>
              <w:left w:val="nil"/>
              <w:bottom w:val="nil"/>
              <w:right w:val="nil"/>
            </w:tcBorders>
            <w:shd w:val="clear" w:color="auto" w:fill="auto"/>
            <w:noWrap/>
            <w:vAlign w:val="center"/>
            <w:hideMark/>
          </w:tcPr>
          <w:p w14:paraId="49820A41" w14:textId="77777777" w:rsidR="007C7B02" w:rsidRPr="00AB315F" w:rsidRDefault="007C7B02" w:rsidP="007C7B02">
            <w:pPr>
              <w:jc w:val="center"/>
              <w:rPr>
                <w:rFonts w:ascii="Calibri" w:hAnsi="Calibri"/>
                <w:sz w:val="22"/>
                <w:szCs w:val="22"/>
              </w:rPr>
            </w:pPr>
            <w:r w:rsidRPr="00AB315F">
              <w:rPr>
                <w:rFonts w:ascii="Calibri" w:hAnsi="Calibri"/>
                <w:sz w:val="22"/>
                <w:szCs w:val="22"/>
              </w:rPr>
              <w:t>0,5744</w:t>
            </w:r>
          </w:p>
        </w:tc>
      </w:tr>
      <w:tr w:rsidR="007C7B02" w:rsidRPr="00AB315F" w14:paraId="23959534" w14:textId="77777777" w:rsidTr="001F728A">
        <w:trPr>
          <w:trHeight w:val="290"/>
          <w:jc w:val="center"/>
        </w:trPr>
        <w:tc>
          <w:tcPr>
            <w:tcW w:w="1225" w:type="dxa"/>
            <w:tcBorders>
              <w:top w:val="nil"/>
              <w:left w:val="nil"/>
              <w:bottom w:val="nil"/>
              <w:right w:val="nil"/>
            </w:tcBorders>
            <w:shd w:val="clear" w:color="auto" w:fill="auto"/>
            <w:noWrap/>
            <w:vAlign w:val="center"/>
            <w:hideMark/>
          </w:tcPr>
          <w:p w14:paraId="78F722CE" w14:textId="77777777" w:rsidR="007C7B02" w:rsidRPr="00AB315F" w:rsidRDefault="007C7B02" w:rsidP="007C7B02">
            <w:pPr>
              <w:jc w:val="center"/>
              <w:rPr>
                <w:rFonts w:ascii="Calibri" w:hAnsi="Calibri"/>
                <w:sz w:val="22"/>
                <w:szCs w:val="22"/>
              </w:rPr>
            </w:pPr>
            <w:r w:rsidRPr="00AB315F">
              <w:rPr>
                <w:rFonts w:ascii="Calibri" w:hAnsi="Calibri"/>
                <w:sz w:val="22"/>
                <w:szCs w:val="22"/>
              </w:rPr>
              <w:t>Propina</w:t>
            </w:r>
          </w:p>
        </w:tc>
        <w:tc>
          <w:tcPr>
            <w:tcW w:w="587" w:type="dxa"/>
            <w:tcBorders>
              <w:top w:val="nil"/>
              <w:left w:val="single" w:sz="4" w:space="0" w:color="auto"/>
              <w:bottom w:val="nil"/>
              <w:right w:val="single" w:sz="4" w:space="0" w:color="auto"/>
            </w:tcBorders>
            <w:shd w:val="clear" w:color="auto" w:fill="auto"/>
            <w:noWrap/>
            <w:vAlign w:val="center"/>
            <w:hideMark/>
          </w:tcPr>
          <w:p w14:paraId="3BFF28EE" w14:textId="77777777" w:rsidR="007C7B02" w:rsidRPr="00AB315F" w:rsidRDefault="007C7B02" w:rsidP="007C7B02">
            <w:pPr>
              <w:jc w:val="center"/>
              <w:rPr>
                <w:rFonts w:ascii="Calibri" w:hAnsi="Calibri"/>
                <w:sz w:val="22"/>
                <w:szCs w:val="22"/>
              </w:rPr>
            </w:pPr>
            <w:r w:rsidRPr="00AB315F">
              <w:rPr>
                <w:rFonts w:ascii="Calibri" w:hAnsi="Calibri"/>
                <w:sz w:val="22"/>
                <w:szCs w:val="22"/>
              </w:rPr>
              <w:t>1477</w:t>
            </w:r>
          </w:p>
        </w:tc>
        <w:tc>
          <w:tcPr>
            <w:tcW w:w="511" w:type="dxa"/>
            <w:tcBorders>
              <w:top w:val="nil"/>
              <w:left w:val="nil"/>
              <w:bottom w:val="nil"/>
              <w:right w:val="nil"/>
            </w:tcBorders>
            <w:shd w:val="clear" w:color="auto" w:fill="auto"/>
            <w:noWrap/>
            <w:vAlign w:val="center"/>
            <w:hideMark/>
          </w:tcPr>
          <w:p w14:paraId="46D2021C" w14:textId="77777777" w:rsidR="007C7B02" w:rsidRPr="00AB315F" w:rsidRDefault="007C7B02" w:rsidP="007C7B02">
            <w:pPr>
              <w:jc w:val="center"/>
              <w:rPr>
                <w:rFonts w:ascii="Calibri" w:hAnsi="Calibri"/>
                <w:sz w:val="22"/>
                <w:szCs w:val="22"/>
              </w:rPr>
            </w:pPr>
            <w:r w:rsidRPr="00AB315F">
              <w:rPr>
                <w:rFonts w:ascii="Calibri" w:hAnsi="Calibri"/>
                <w:sz w:val="22"/>
                <w:szCs w:val="22"/>
              </w:rPr>
              <w:t>+</w:t>
            </w:r>
          </w:p>
        </w:tc>
        <w:tc>
          <w:tcPr>
            <w:tcW w:w="1226" w:type="dxa"/>
            <w:tcBorders>
              <w:top w:val="nil"/>
              <w:left w:val="single" w:sz="4" w:space="0" w:color="auto"/>
              <w:bottom w:val="nil"/>
              <w:right w:val="single" w:sz="4" w:space="0" w:color="auto"/>
            </w:tcBorders>
            <w:shd w:val="clear" w:color="auto" w:fill="auto"/>
            <w:noWrap/>
            <w:vAlign w:val="center"/>
            <w:hideMark/>
          </w:tcPr>
          <w:p w14:paraId="01A7C93D" w14:textId="77777777" w:rsidR="007C7B02" w:rsidRPr="00AB315F" w:rsidRDefault="007C7B02" w:rsidP="007C7B02">
            <w:pPr>
              <w:jc w:val="center"/>
              <w:rPr>
                <w:rFonts w:ascii="Calibri" w:hAnsi="Calibri"/>
                <w:sz w:val="22"/>
                <w:szCs w:val="22"/>
              </w:rPr>
            </w:pPr>
            <w:r w:rsidRPr="00AB315F">
              <w:rPr>
                <w:rFonts w:ascii="Calibri" w:hAnsi="Calibri"/>
                <w:sz w:val="22"/>
                <w:szCs w:val="22"/>
              </w:rPr>
              <w:t>0,6182</w:t>
            </w:r>
          </w:p>
        </w:tc>
        <w:tc>
          <w:tcPr>
            <w:tcW w:w="1226" w:type="dxa"/>
            <w:tcBorders>
              <w:top w:val="nil"/>
              <w:left w:val="nil"/>
              <w:bottom w:val="nil"/>
              <w:right w:val="nil"/>
            </w:tcBorders>
            <w:shd w:val="clear" w:color="auto" w:fill="auto"/>
            <w:noWrap/>
            <w:vAlign w:val="center"/>
            <w:hideMark/>
          </w:tcPr>
          <w:p w14:paraId="1CDFCD34" w14:textId="77777777" w:rsidR="007C7B02" w:rsidRPr="00AB315F" w:rsidRDefault="007C7B02" w:rsidP="007C7B02">
            <w:pPr>
              <w:jc w:val="center"/>
              <w:rPr>
                <w:rFonts w:ascii="Calibri" w:hAnsi="Calibri"/>
                <w:sz w:val="22"/>
                <w:szCs w:val="22"/>
              </w:rPr>
            </w:pPr>
            <w:r w:rsidRPr="00AB315F">
              <w:rPr>
                <w:rFonts w:ascii="Calibri" w:hAnsi="Calibri"/>
                <w:sz w:val="22"/>
                <w:szCs w:val="22"/>
              </w:rPr>
              <w:t>0,4432</w:t>
            </w:r>
          </w:p>
        </w:tc>
        <w:tc>
          <w:tcPr>
            <w:tcW w:w="1203" w:type="dxa"/>
            <w:tcBorders>
              <w:top w:val="nil"/>
              <w:left w:val="single" w:sz="4" w:space="0" w:color="auto"/>
              <w:bottom w:val="nil"/>
              <w:right w:val="single" w:sz="4" w:space="0" w:color="auto"/>
            </w:tcBorders>
            <w:shd w:val="clear" w:color="auto" w:fill="auto"/>
            <w:noWrap/>
            <w:vAlign w:val="center"/>
            <w:hideMark/>
          </w:tcPr>
          <w:p w14:paraId="50D00587" w14:textId="77777777" w:rsidR="007C7B02" w:rsidRPr="00AB315F" w:rsidRDefault="007C7B02" w:rsidP="007C7B02">
            <w:pPr>
              <w:jc w:val="center"/>
              <w:rPr>
                <w:rFonts w:ascii="Calibri" w:hAnsi="Calibri"/>
                <w:sz w:val="22"/>
                <w:szCs w:val="22"/>
              </w:rPr>
            </w:pPr>
            <w:r w:rsidRPr="00AB315F">
              <w:rPr>
                <w:rFonts w:ascii="Calibri" w:hAnsi="Calibri"/>
                <w:sz w:val="22"/>
                <w:szCs w:val="22"/>
              </w:rPr>
              <w:t>3</w:t>
            </w:r>
          </w:p>
        </w:tc>
        <w:tc>
          <w:tcPr>
            <w:tcW w:w="778" w:type="dxa"/>
            <w:tcBorders>
              <w:top w:val="nil"/>
              <w:left w:val="nil"/>
              <w:bottom w:val="nil"/>
              <w:right w:val="nil"/>
            </w:tcBorders>
            <w:shd w:val="clear" w:color="auto" w:fill="auto"/>
            <w:noWrap/>
            <w:vAlign w:val="center"/>
            <w:hideMark/>
          </w:tcPr>
          <w:p w14:paraId="5770F5E1" w14:textId="77777777" w:rsidR="007C7B02" w:rsidRPr="00AB315F" w:rsidRDefault="007C7B02" w:rsidP="007C7B02">
            <w:pPr>
              <w:jc w:val="center"/>
              <w:rPr>
                <w:rFonts w:ascii="Calibri" w:hAnsi="Calibri"/>
                <w:sz w:val="22"/>
                <w:szCs w:val="22"/>
              </w:rPr>
            </w:pPr>
            <w:r w:rsidRPr="00AB315F">
              <w:rPr>
                <w:rFonts w:ascii="Calibri" w:hAnsi="Calibri"/>
                <w:sz w:val="22"/>
                <w:szCs w:val="22"/>
              </w:rPr>
              <w:t>0,6199</w:t>
            </w:r>
          </w:p>
        </w:tc>
      </w:tr>
      <w:tr w:rsidR="007C7B02" w:rsidRPr="00AB315F" w14:paraId="38F03E6D" w14:textId="77777777" w:rsidTr="001F728A">
        <w:trPr>
          <w:trHeight w:val="290"/>
          <w:jc w:val="center"/>
        </w:trPr>
        <w:tc>
          <w:tcPr>
            <w:tcW w:w="1225" w:type="dxa"/>
            <w:tcBorders>
              <w:top w:val="nil"/>
              <w:left w:val="nil"/>
              <w:bottom w:val="nil"/>
              <w:right w:val="nil"/>
            </w:tcBorders>
            <w:shd w:val="clear" w:color="auto" w:fill="auto"/>
            <w:noWrap/>
            <w:vAlign w:val="center"/>
            <w:hideMark/>
          </w:tcPr>
          <w:p w14:paraId="3C89A4E9" w14:textId="77777777" w:rsidR="007C7B02" w:rsidRPr="00AB315F" w:rsidRDefault="007C7B02" w:rsidP="007C7B02">
            <w:pPr>
              <w:jc w:val="center"/>
              <w:rPr>
                <w:rFonts w:ascii="Calibri" w:hAnsi="Calibri"/>
                <w:sz w:val="22"/>
                <w:szCs w:val="22"/>
              </w:rPr>
            </w:pPr>
            <w:r w:rsidRPr="00AB315F">
              <w:rPr>
                <w:rFonts w:ascii="Calibri" w:hAnsi="Calibri"/>
                <w:sz w:val="22"/>
                <w:szCs w:val="22"/>
              </w:rPr>
              <w:t>Transporte</w:t>
            </w:r>
          </w:p>
        </w:tc>
        <w:tc>
          <w:tcPr>
            <w:tcW w:w="587" w:type="dxa"/>
            <w:tcBorders>
              <w:top w:val="nil"/>
              <w:left w:val="single" w:sz="4" w:space="0" w:color="auto"/>
              <w:bottom w:val="nil"/>
              <w:right w:val="single" w:sz="4" w:space="0" w:color="auto"/>
            </w:tcBorders>
            <w:shd w:val="clear" w:color="auto" w:fill="auto"/>
            <w:noWrap/>
            <w:vAlign w:val="center"/>
            <w:hideMark/>
          </w:tcPr>
          <w:p w14:paraId="07886141" w14:textId="77777777" w:rsidR="007C7B02" w:rsidRPr="00AB315F" w:rsidRDefault="007C7B02" w:rsidP="007C7B02">
            <w:pPr>
              <w:jc w:val="center"/>
              <w:rPr>
                <w:rFonts w:ascii="Calibri" w:hAnsi="Calibri"/>
                <w:sz w:val="22"/>
                <w:szCs w:val="22"/>
              </w:rPr>
            </w:pPr>
            <w:r w:rsidRPr="00AB315F">
              <w:rPr>
                <w:rFonts w:ascii="Calibri" w:hAnsi="Calibri"/>
                <w:sz w:val="22"/>
                <w:szCs w:val="22"/>
              </w:rPr>
              <w:t>1465</w:t>
            </w:r>
          </w:p>
        </w:tc>
        <w:tc>
          <w:tcPr>
            <w:tcW w:w="511" w:type="dxa"/>
            <w:tcBorders>
              <w:top w:val="nil"/>
              <w:left w:val="nil"/>
              <w:bottom w:val="nil"/>
              <w:right w:val="nil"/>
            </w:tcBorders>
            <w:shd w:val="clear" w:color="auto" w:fill="auto"/>
            <w:noWrap/>
            <w:vAlign w:val="center"/>
            <w:hideMark/>
          </w:tcPr>
          <w:p w14:paraId="1607AF97" w14:textId="77777777" w:rsidR="007C7B02" w:rsidRPr="00AB315F" w:rsidRDefault="007C7B02" w:rsidP="007C7B02">
            <w:pPr>
              <w:jc w:val="center"/>
              <w:rPr>
                <w:rFonts w:ascii="Calibri" w:hAnsi="Calibri"/>
                <w:sz w:val="22"/>
                <w:szCs w:val="22"/>
              </w:rPr>
            </w:pPr>
            <w:r w:rsidRPr="00AB315F">
              <w:rPr>
                <w:rFonts w:ascii="Calibri" w:hAnsi="Calibri"/>
                <w:sz w:val="22"/>
                <w:szCs w:val="22"/>
              </w:rPr>
              <w:t>+</w:t>
            </w:r>
          </w:p>
        </w:tc>
        <w:tc>
          <w:tcPr>
            <w:tcW w:w="1226" w:type="dxa"/>
            <w:tcBorders>
              <w:top w:val="nil"/>
              <w:left w:val="single" w:sz="4" w:space="0" w:color="auto"/>
              <w:bottom w:val="nil"/>
              <w:right w:val="single" w:sz="4" w:space="0" w:color="auto"/>
            </w:tcBorders>
            <w:shd w:val="clear" w:color="auto" w:fill="auto"/>
            <w:noWrap/>
            <w:vAlign w:val="center"/>
            <w:hideMark/>
          </w:tcPr>
          <w:p w14:paraId="3FE7F771" w14:textId="77777777" w:rsidR="007C7B02" w:rsidRPr="00AB315F" w:rsidRDefault="007C7B02" w:rsidP="007C7B02">
            <w:pPr>
              <w:jc w:val="center"/>
              <w:rPr>
                <w:rFonts w:ascii="Calibri" w:hAnsi="Calibri"/>
                <w:sz w:val="22"/>
                <w:szCs w:val="22"/>
              </w:rPr>
            </w:pPr>
            <w:r w:rsidRPr="00AB315F">
              <w:rPr>
                <w:rFonts w:ascii="Calibri" w:hAnsi="Calibri"/>
                <w:sz w:val="22"/>
                <w:szCs w:val="22"/>
              </w:rPr>
              <w:t>0,7824</w:t>
            </w:r>
          </w:p>
        </w:tc>
        <w:tc>
          <w:tcPr>
            <w:tcW w:w="1226" w:type="dxa"/>
            <w:tcBorders>
              <w:top w:val="nil"/>
              <w:left w:val="nil"/>
              <w:bottom w:val="nil"/>
              <w:right w:val="nil"/>
            </w:tcBorders>
            <w:shd w:val="clear" w:color="auto" w:fill="auto"/>
            <w:noWrap/>
            <w:vAlign w:val="center"/>
            <w:hideMark/>
          </w:tcPr>
          <w:p w14:paraId="410C7DBF" w14:textId="77777777" w:rsidR="007C7B02" w:rsidRPr="00AB315F" w:rsidRDefault="007C7B02" w:rsidP="007C7B02">
            <w:pPr>
              <w:jc w:val="center"/>
              <w:rPr>
                <w:rFonts w:ascii="Calibri" w:hAnsi="Calibri"/>
                <w:sz w:val="22"/>
                <w:szCs w:val="22"/>
              </w:rPr>
            </w:pPr>
            <w:r w:rsidRPr="00AB315F">
              <w:rPr>
                <w:rFonts w:ascii="Calibri" w:hAnsi="Calibri"/>
                <w:sz w:val="22"/>
                <w:szCs w:val="22"/>
              </w:rPr>
              <w:t>0,4764</w:t>
            </w:r>
          </w:p>
        </w:tc>
        <w:tc>
          <w:tcPr>
            <w:tcW w:w="1203" w:type="dxa"/>
            <w:tcBorders>
              <w:top w:val="nil"/>
              <w:left w:val="single" w:sz="4" w:space="0" w:color="auto"/>
              <w:bottom w:val="nil"/>
              <w:right w:val="single" w:sz="4" w:space="0" w:color="auto"/>
            </w:tcBorders>
            <w:shd w:val="clear" w:color="auto" w:fill="auto"/>
            <w:noWrap/>
            <w:vAlign w:val="center"/>
            <w:hideMark/>
          </w:tcPr>
          <w:p w14:paraId="1740DE1C" w14:textId="77777777" w:rsidR="007C7B02" w:rsidRPr="00AB315F" w:rsidRDefault="007C7B02" w:rsidP="007C7B02">
            <w:pPr>
              <w:jc w:val="center"/>
              <w:rPr>
                <w:rFonts w:ascii="Calibri" w:hAnsi="Calibri"/>
                <w:sz w:val="22"/>
                <w:szCs w:val="22"/>
              </w:rPr>
            </w:pPr>
            <w:r w:rsidRPr="00AB315F">
              <w:rPr>
                <w:rFonts w:ascii="Calibri" w:hAnsi="Calibri"/>
                <w:sz w:val="22"/>
                <w:szCs w:val="22"/>
              </w:rPr>
              <w:t>2</w:t>
            </w:r>
          </w:p>
        </w:tc>
        <w:tc>
          <w:tcPr>
            <w:tcW w:w="778" w:type="dxa"/>
            <w:tcBorders>
              <w:top w:val="nil"/>
              <w:left w:val="nil"/>
              <w:bottom w:val="nil"/>
              <w:right w:val="nil"/>
            </w:tcBorders>
            <w:shd w:val="clear" w:color="auto" w:fill="auto"/>
            <w:noWrap/>
            <w:vAlign w:val="center"/>
            <w:hideMark/>
          </w:tcPr>
          <w:p w14:paraId="2E9583DB" w14:textId="77777777" w:rsidR="007C7B02" w:rsidRPr="00AB315F" w:rsidRDefault="007C7B02" w:rsidP="007C7B02">
            <w:pPr>
              <w:jc w:val="center"/>
              <w:rPr>
                <w:rFonts w:ascii="Calibri" w:hAnsi="Calibri"/>
                <w:sz w:val="22"/>
                <w:szCs w:val="22"/>
              </w:rPr>
            </w:pPr>
            <w:r w:rsidRPr="00AB315F">
              <w:rPr>
                <w:rFonts w:ascii="Calibri" w:hAnsi="Calibri"/>
                <w:sz w:val="22"/>
                <w:szCs w:val="22"/>
              </w:rPr>
              <w:t>0,5803</w:t>
            </w:r>
          </w:p>
        </w:tc>
      </w:tr>
      <w:tr w:rsidR="007C7B02" w:rsidRPr="00AB315F" w14:paraId="4E440D95" w14:textId="77777777" w:rsidTr="001F728A">
        <w:trPr>
          <w:trHeight w:val="290"/>
          <w:jc w:val="center"/>
        </w:trPr>
        <w:tc>
          <w:tcPr>
            <w:tcW w:w="1225" w:type="dxa"/>
            <w:tcBorders>
              <w:top w:val="nil"/>
              <w:left w:val="nil"/>
              <w:bottom w:val="nil"/>
              <w:right w:val="nil"/>
            </w:tcBorders>
            <w:shd w:val="clear" w:color="auto" w:fill="auto"/>
            <w:noWrap/>
            <w:vAlign w:val="center"/>
            <w:hideMark/>
          </w:tcPr>
          <w:p w14:paraId="7397BB94" w14:textId="77777777" w:rsidR="007C7B02" w:rsidRPr="00AB315F" w:rsidRDefault="007C7B02" w:rsidP="007C7B02">
            <w:pPr>
              <w:jc w:val="center"/>
              <w:rPr>
                <w:rFonts w:ascii="Calibri" w:hAnsi="Calibri"/>
                <w:sz w:val="22"/>
                <w:szCs w:val="22"/>
              </w:rPr>
            </w:pPr>
            <w:r w:rsidRPr="00AB315F">
              <w:rPr>
                <w:rFonts w:ascii="Calibri" w:hAnsi="Calibri"/>
                <w:sz w:val="22"/>
                <w:szCs w:val="22"/>
              </w:rPr>
              <w:t>Benefícios</w:t>
            </w:r>
          </w:p>
        </w:tc>
        <w:tc>
          <w:tcPr>
            <w:tcW w:w="587" w:type="dxa"/>
            <w:tcBorders>
              <w:top w:val="nil"/>
              <w:left w:val="single" w:sz="4" w:space="0" w:color="auto"/>
              <w:bottom w:val="single" w:sz="4" w:space="0" w:color="auto"/>
              <w:right w:val="single" w:sz="4" w:space="0" w:color="auto"/>
            </w:tcBorders>
            <w:shd w:val="clear" w:color="auto" w:fill="auto"/>
            <w:noWrap/>
            <w:vAlign w:val="center"/>
            <w:hideMark/>
          </w:tcPr>
          <w:p w14:paraId="1F0410C2" w14:textId="77777777" w:rsidR="007C7B02" w:rsidRPr="00AB315F" w:rsidRDefault="007C7B02" w:rsidP="007C7B02">
            <w:pPr>
              <w:jc w:val="center"/>
              <w:rPr>
                <w:rFonts w:ascii="Calibri" w:hAnsi="Calibri"/>
                <w:sz w:val="22"/>
                <w:szCs w:val="22"/>
              </w:rPr>
            </w:pPr>
            <w:r w:rsidRPr="00AB315F">
              <w:rPr>
                <w:rFonts w:ascii="Calibri" w:hAnsi="Calibri"/>
                <w:sz w:val="22"/>
                <w:szCs w:val="22"/>
              </w:rPr>
              <w:t>1472</w:t>
            </w:r>
          </w:p>
        </w:tc>
        <w:tc>
          <w:tcPr>
            <w:tcW w:w="511" w:type="dxa"/>
            <w:tcBorders>
              <w:top w:val="nil"/>
              <w:left w:val="nil"/>
              <w:bottom w:val="nil"/>
              <w:right w:val="nil"/>
            </w:tcBorders>
            <w:shd w:val="clear" w:color="auto" w:fill="auto"/>
            <w:noWrap/>
            <w:vAlign w:val="center"/>
            <w:hideMark/>
          </w:tcPr>
          <w:p w14:paraId="7A039CD8" w14:textId="77777777" w:rsidR="007C7B02" w:rsidRPr="00AB315F" w:rsidRDefault="007C7B02" w:rsidP="007C7B02">
            <w:pPr>
              <w:jc w:val="center"/>
              <w:rPr>
                <w:rFonts w:ascii="Calibri" w:hAnsi="Calibri"/>
                <w:sz w:val="22"/>
                <w:szCs w:val="22"/>
              </w:rPr>
            </w:pPr>
            <w:r w:rsidRPr="00AB315F">
              <w:rPr>
                <w:rFonts w:ascii="Calibri" w:hAnsi="Calibri"/>
                <w:sz w:val="22"/>
                <w:szCs w:val="22"/>
              </w:rPr>
              <w:t>+</w:t>
            </w:r>
          </w:p>
        </w:tc>
        <w:tc>
          <w:tcPr>
            <w:tcW w:w="1226" w:type="dxa"/>
            <w:tcBorders>
              <w:top w:val="nil"/>
              <w:left w:val="single" w:sz="4" w:space="0" w:color="auto"/>
              <w:bottom w:val="single" w:sz="4" w:space="0" w:color="auto"/>
              <w:right w:val="single" w:sz="4" w:space="0" w:color="auto"/>
            </w:tcBorders>
            <w:shd w:val="clear" w:color="auto" w:fill="auto"/>
            <w:noWrap/>
            <w:vAlign w:val="center"/>
            <w:hideMark/>
          </w:tcPr>
          <w:p w14:paraId="77A4F769" w14:textId="77777777" w:rsidR="007C7B02" w:rsidRPr="00AB315F" w:rsidRDefault="007C7B02" w:rsidP="007C7B02">
            <w:pPr>
              <w:jc w:val="center"/>
              <w:rPr>
                <w:rFonts w:ascii="Calibri" w:hAnsi="Calibri"/>
                <w:sz w:val="22"/>
                <w:szCs w:val="22"/>
              </w:rPr>
            </w:pPr>
            <w:r w:rsidRPr="00AB315F">
              <w:rPr>
                <w:rFonts w:ascii="Calibri" w:hAnsi="Calibri"/>
                <w:sz w:val="22"/>
                <w:szCs w:val="22"/>
              </w:rPr>
              <w:t>0,6977</w:t>
            </w:r>
          </w:p>
        </w:tc>
        <w:tc>
          <w:tcPr>
            <w:tcW w:w="1226" w:type="dxa"/>
            <w:tcBorders>
              <w:top w:val="nil"/>
              <w:left w:val="nil"/>
              <w:bottom w:val="nil"/>
              <w:right w:val="nil"/>
            </w:tcBorders>
            <w:shd w:val="clear" w:color="auto" w:fill="auto"/>
            <w:noWrap/>
            <w:vAlign w:val="center"/>
            <w:hideMark/>
          </w:tcPr>
          <w:p w14:paraId="0EB47B8C" w14:textId="77777777" w:rsidR="007C7B02" w:rsidRPr="00AB315F" w:rsidRDefault="007C7B02" w:rsidP="007C7B02">
            <w:pPr>
              <w:jc w:val="center"/>
              <w:rPr>
                <w:rFonts w:ascii="Calibri" w:hAnsi="Calibri"/>
                <w:sz w:val="22"/>
                <w:szCs w:val="22"/>
              </w:rPr>
            </w:pPr>
            <w:r w:rsidRPr="00AB315F">
              <w:rPr>
                <w:rFonts w:ascii="Calibri" w:hAnsi="Calibri"/>
                <w:sz w:val="22"/>
                <w:szCs w:val="22"/>
              </w:rPr>
              <w:t>0,442</w:t>
            </w:r>
          </w:p>
        </w:tc>
        <w:tc>
          <w:tcPr>
            <w:tcW w:w="1203" w:type="dxa"/>
            <w:tcBorders>
              <w:top w:val="nil"/>
              <w:left w:val="single" w:sz="4" w:space="0" w:color="auto"/>
              <w:bottom w:val="single" w:sz="4" w:space="0" w:color="auto"/>
              <w:right w:val="single" w:sz="4" w:space="0" w:color="auto"/>
            </w:tcBorders>
            <w:shd w:val="clear" w:color="auto" w:fill="auto"/>
            <w:noWrap/>
            <w:vAlign w:val="center"/>
            <w:hideMark/>
          </w:tcPr>
          <w:p w14:paraId="3CF45BD6" w14:textId="77777777" w:rsidR="007C7B02" w:rsidRPr="00AB315F" w:rsidRDefault="007C7B02" w:rsidP="007C7B02">
            <w:pPr>
              <w:jc w:val="center"/>
              <w:rPr>
                <w:rFonts w:ascii="Calibri" w:hAnsi="Calibri"/>
                <w:sz w:val="22"/>
                <w:szCs w:val="22"/>
              </w:rPr>
            </w:pPr>
            <w:r w:rsidRPr="00AB315F">
              <w:rPr>
                <w:rFonts w:ascii="Calibri" w:hAnsi="Calibri"/>
                <w:sz w:val="22"/>
                <w:szCs w:val="22"/>
              </w:rPr>
              <w:t>2</w:t>
            </w:r>
          </w:p>
        </w:tc>
        <w:tc>
          <w:tcPr>
            <w:tcW w:w="778" w:type="dxa"/>
            <w:tcBorders>
              <w:top w:val="nil"/>
              <w:left w:val="nil"/>
              <w:bottom w:val="nil"/>
              <w:right w:val="nil"/>
            </w:tcBorders>
            <w:shd w:val="clear" w:color="auto" w:fill="auto"/>
            <w:noWrap/>
            <w:vAlign w:val="center"/>
            <w:hideMark/>
          </w:tcPr>
          <w:p w14:paraId="05740081" w14:textId="77777777" w:rsidR="007C7B02" w:rsidRPr="00AB315F" w:rsidRDefault="007C7B02" w:rsidP="007C7B02">
            <w:pPr>
              <w:jc w:val="center"/>
              <w:rPr>
                <w:rFonts w:ascii="Calibri" w:hAnsi="Calibri"/>
                <w:sz w:val="22"/>
                <w:szCs w:val="22"/>
              </w:rPr>
            </w:pPr>
            <w:r w:rsidRPr="00AB315F">
              <w:rPr>
                <w:rFonts w:ascii="Calibri" w:hAnsi="Calibri"/>
                <w:sz w:val="22"/>
                <w:szCs w:val="22"/>
              </w:rPr>
              <w:t>0,5937</w:t>
            </w:r>
          </w:p>
        </w:tc>
      </w:tr>
      <w:tr w:rsidR="007C7B02" w:rsidRPr="00AB315F" w14:paraId="268340FD" w14:textId="77777777" w:rsidTr="001F728A">
        <w:trPr>
          <w:trHeight w:val="290"/>
          <w:jc w:val="center"/>
        </w:trPr>
        <w:tc>
          <w:tcPr>
            <w:tcW w:w="1225" w:type="dxa"/>
            <w:tcBorders>
              <w:top w:val="single" w:sz="4" w:space="0" w:color="auto"/>
              <w:left w:val="nil"/>
              <w:bottom w:val="single" w:sz="4" w:space="0" w:color="auto"/>
              <w:right w:val="nil"/>
            </w:tcBorders>
            <w:shd w:val="clear" w:color="auto" w:fill="auto"/>
            <w:noWrap/>
            <w:vAlign w:val="center"/>
            <w:hideMark/>
          </w:tcPr>
          <w:p w14:paraId="23C9FA3A" w14:textId="77777777" w:rsidR="007C7B02" w:rsidRPr="00AB315F" w:rsidRDefault="007C7B02" w:rsidP="007C7B02">
            <w:pPr>
              <w:jc w:val="center"/>
              <w:rPr>
                <w:rFonts w:ascii="Calibri" w:hAnsi="Calibri"/>
                <w:sz w:val="22"/>
                <w:szCs w:val="22"/>
              </w:rPr>
            </w:pPr>
            <w:r w:rsidRPr="00AB315F">
              <w:rPr>
                <w:rFonts w:ascii="Calibri" w:hAnsi="Calibri"/>
                <w:sz w:val="22"/>
                <w:szCs w:val="22"/>
              </w:rPr>
              <w:t>Test scale</w:t>
            </w:r>
          </w:p>
        </w:tc>
        <w:tc>
          <w:tcPr>
            <w:tcW w:w="587" w:type="dxa"/>
            <w:tcBorders>
              <w:top w:val="nil"/>
              <w:left w:val="nil"/>
              <w:bottom w:val="single" w:sz="4" w:space="0" w:color="auto"/>
              <w:right w:val="nil"/>
            </w:tcBorders>
            <w:shd w:val="clear" w:color="auto" w:fill="auto"/>
            <w:noWrap/>
            <w:vAlign w:val="center"/>
            <w:hideMark/>
          </w:tcPr>
          <w:p w14:paraId="16914888" w14:textId="77777777" w:rsidR="007C7B02" w:rsidRPr="00AB315F" w:rsidRDefault="007C7B02" w:rsidP="007C7B02">
            <w:pPr>
              <w:jc w:val="center"/>
              <w:rPr>
                <w:rFonts w:ascii="Calibri" w:hAnsi="Calibri"/>
                <w:sz w:val="22"/>
                <w:szCs w:val="22"/>
              </w:rPr>
            </w:pPr>
            <w:r w:rsidRPr="00AB315F">
              <w:rPr>
                <w:rFonts w:ascii="Calibri" w:hAnsi="Calibri"/>
                <w:sz w:val="22"/>
                <w:szCs w:val="22"/>
              </w:rPr>
              <w:t> </w:t>
            </w:r>
          </w:p>
        </w:tc>
        <w:tc>
          <w:tcPr>
            <w:tcW w:w="511" w:type="dxa"/>
            <w:tcBorders>
              <w:top w:val="single" w:sz="4" w:space="0" w:color="auto"/>
              <w:left w:val="nil"/>
              <w:bottom w:val="single" w:sz="4" w:space="0" w:color="auto"/>
              <w:right w:val="nil"/>
            </w:tcBorders>
            <w:shd w:val="clear" w:color="auto" w:fill="auto"/>
            <w:noWrap/>
            <w:vAlign w:val="center"/>
            <w:hideMark/>
          </w:tcPr>
          <w:p w14:paraId="5E984B7E" w14:textId="77777777" w:rsidR="007C7B02" w:rsidRPr="00AB315F" w:rsidRDefault="007C7B02" w:rsidP="007C7B02">
            <w:pPr>
              <w:jc w:val="center"/>
              <w:rPr>
                <w:rFonts w:ascii="Calibri" w:hAnsi="Calibri"/>
                <w:sz w:val="22"/>
                <w:szCs w:val="22"/>
              </w:rPr>
            </w:pPr>
            <w:r w:rsidRPr="00AB315F">
              <w:rPr>
                <w:rFonts w:ascii="Calibri" w:hAnsi="Calibri"/>
                <w:sz w:val="22"/>
                <w:szCs w:val="22"/>
              </w:rPr>
              <w:t> </w:t>
            </w:r>
          </w:p>
        </w:tc>
        <w:tc>
          <w:tcPr>
            <w:tcW w:w="1226" w:type="dxa"/>
            <w:tcBorders>
              <w:top w:val="nil"/>
              <w:left w:val="nil"/>
              <w:bottom w:val="single" w:sz="4" w:space="0" w:color="auto"/>
              <w:right w:val="nil"/>
            </w:tcBorders>
            <w:shd w:val="clear" w:color="auto" w:fill="auto"/>
            <w:noWrap/>
            <w:vAlign w:val="center"/>
            <w:hideMark/>
          </w:tcPr>
          <w:p w14:paraId="1395028F" w14:textId="77777777" w:rsidR="007C7B02" w:rsidRPr="00AB315F" w:rsidRDefault="007C7B02" w:rsidP="007C7B02">
            <w:pPr>
              <w:jc w:val="center"/>
              <w:rPr>
                <w:rFonts w:ascii="Calibri" w:hAnsi="Calibri"/>
                <w:sz w:val="22"/>
                <w:szCs w:val="22"/>
              </w:rPr>
            </w:pPr>
            <w:r w:rsidRPr="00AB315F">
              <w:rPr>
                <w:rFonts w:ascii="Calibri" w:hAnsi="Calibri"/>
                <w:sz w:val="22"/>
                <w:szCs w:val="22"/>
              </w:rPr>
              <w:t> </w:t>
            </w:r>
          </w:p>
        </w:tc>
        <w:tc>
          <w:tcPr>
            <w:tcW w:w="1226" w:type="dxa"/>
            <w:tcBorders>
              <w:top w:val="single" w:sz="4" w:space="0" w:color="auto"/>
              <w:left w:val="nil"/>
              <w:bottom w:val="single" w:sz="4" w:space="0" w:color="auto"/>
              <w:right w:val="nil"/>
            </w:tcBorders>
            <w:shd w:val="clear" w:color="auto" w:fill="auto"/>
            <w:noWrap/>
            <w:vAlign w:val="center"/>
            <w:hideMark/>
          </w:tcPr>
          <w:p w14:paraId="568FDCFF" w14:textId="77777777" w:rsidR="007C7B02" w:rsidRPr="00AB315F" w:rsidRDefault="007C7B02" w:rsidP="007C7B02">
            <w:pPr>
              <w:jc w:val="center"/>
              <w:rPr>
                <w:rFonts w:ascii="Calibri" w:hAnsi="Calibri"/>
                <w:sz w:val="22"/>
                <w:szCs w:val="22"/>
              </w:rPr>
            </w:pPr>
            <w:r w:rsidRPr="00AB315F">
              <w:rPr>
                <w:rFonts w:ascii="Calibri" w:hAnsi="Calibri"/>
                <w:sz w:val="22"/>
                <w:szCs w:val="22"/>
              </w:rPr>
              <w:t> </w:t>
            </w:r>
          </w:p>
        </w:tc>
        <w:tc>
          <w:tcPr>
            <w:tcW w:w="1203" w:type="dxa"/>
            <w:tcBorders>
              <w:top w:val="nil"/>
              <w:left w:val="nil"/>
              <w:bottom w:val="single" w:sz="4" w:space="0" w:color="auto"/>
              <w:right w:val="nil"/>
            </w:tcBorders>
            <w:shd w:val="clear" w:color="auto" w:fill="auto"/>
            <w:noWrap/>
            <w:vAlign w:val="center"/>
            <w:hideMark/>
          </w:tcPr>
          <w:p w14:paraId="681E138D" w14:textId="77777777" w:rsidR="007C7B02" w:rsidRPr="00AB315F" w:rsidRDefault="007C7B02" w:rsidP="007C7B02">
            <w:pPr>
              <w:jc w:val="center"/>
              <w:rPr>
                <w:rFonts w:ascii="Calibri" w:hAnsi="Calibri"/>
                <w:sz w:val="22"/>
                <w:szCs w:val="22"/>
              </w:rPr>
            </w:pPr>
            <w:r w:rsidRPr="00AB315F">
              <w:rPr>
                <w:rFonts w:ascii="Calibri" w:hAnsi="Calibri"/>
                <w:sz w:val="22"/>
                <w:szCs w:val="22"/>
              </w:rPr>
              <w:t>2,135305</w:t>
            </w:r>
          </w:p>
        </w:tc>
        <w:tc>
          <w:tcPr>
            <w:tcW w:w="778" w:type="dxa"/>
            <w:tcBorders>
              <w:top w:val="single" w:sz="4" w:space="0" w:color="auto"/>
              <w:left w:val="nil"/>
              <w:bottom w:val="single" w:sz="4" w:space="0" w:color="auto"/>
              <w:right w:val="nil"/>
            </w:tcBorders>
            <w:shd w:val="clear" w:color="auto" w:fill="auto"/>
            <w:noWrap/>
            <w:vAlign w:val="center"/>
            <w:hideMark/>
          </w:tcPr>
          <w:p w14:paraId="64E0FE28" w14:textId="77777777" w:rsidR="007C7B02" w:rsidRPr="00AB315F" w:rsidRDefault="007C7B02" w:rsidP="007C7B02">
            <w:pPr>
              <w:jc w:val="center"/>
              <w:rPr>
                <w:rFonts w:ascii="Calibri" w:hAnsi="Calibri"/>
                <w:sz w:val="22"/>
                <w:szCs w:val="22"/>
              </w:rPr>
            </w:pPr>
            <w:r w:rsidRPr="00AB315F">
              <w:rPr>
                <w:rFonts w:ascii="Calibri" w:hAnsi="Calibri"/>
                <w:sz w:val="22"/>
                <w:szCs w:val="22"/>
              </w:rPr>
              <w:t>0,6616</w:t>
            </w:r>
          </w:p>
        </w:tc>
      </w:tr>
    </w:tbl>
    <w:p w14:paraId="2A916385" w14:textId="567C3556" w:rsidR="001F728A" w:rsidRPr="001F728A" w:rsidRDefault="001F728A" w:rsidP="00ED2DAB">
      <w:pPr>
        <w:spacing w:line="360" w:lineRule="auto"/>
        <w:ind w:firstLine="708"/>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 </w:t>
      </w:r>
      <w:r>
        <w:rPr>
          <w:rFonts w:ascii="Calibri" w:hAnsi="Calibri"/>
          <w:sz w:val="20"/>
          <w:szCs w:val="22"/>
        </w:rPr>
        <w:t>elaboração própria</w:t>
      </w:r>
    </w:p>
    <w:p w14:paraId="10A80DBA" w14:textId="77777777" w:rsidR="007C7B02" w:rsidRPr="00AB315F" w:rsidRDefault="007C7B02" w:rsidP="009C21E5">
      <w:pPr>
        <w:spacing w:line="360" w:lineRule="auto"/>
        <w:ind w:firstLine="708"/>
        <w:jc w:val="both"/>
        <w:rPr>
          <w:rFonts w:asciiTheme="minorHAnsi" w:hAnsiTheme="minorHAnsi"/>
        </w:rPr>
      </w:pPr>
    </w:p>
    <w:p w14:paraId="1460F870" w14:textId="7A70AE74" w:rsidR="007C7B02" w:rsidRPr="00AB315F" w:rsidRDefault="007C7B02" w:rsidP="005A7075">
      <w:pPr>
        <w:spacing w:after="240" w:line="360" w:lineRule="auto"/>
        <w:ind w:firstLine="708"/>
        <w:jc w:val="both"/>
        <w:rPr>
          <w:rFonts w:asciiTheme="minorHAnsi" w:hAnsiTheme="minorHAnsi"/>
        </w:rPr>
      </w:pPr>
      <w:r w:rsidRPr="00AB315F">
        <w:rPr>
          <w:rFonts w:asciiTheme="minorHAnsi" w:hAnsiTheme="minorHAnsi"/>
        </w:rPr>
        <w:t xml:space="preserve">Os valores do coeficiente Alpha </w:t>
      </w:r>
      <w:r w:rsidR="00E55BC3" w:rsidRPr="00AB315F">
        <w:rPr>
          <w:rFonts w:asciiTheme="minorHAnsi" w:hAnsiTheme="minorHAnsi"/>
        </w:rPr>
        <w:t xml:space="preserve">podem ser considerados </w:t>
      </w:r>
      <w:r w:rsidR="00FD55AE" w:rsidRPr="00AB315F">
        <w:rPr>
          <w:rFonts w:asciiTheme="minorHAnsi" w:hAnsiTheme="minorHAnsi"/>
        </w:rPr>
        <w:t>aceitáveis,</w:t>
      </w:r>
      <w:r w:rsidR="00E55BC3" w:rsidRPr="00AB315F">
        <w:rPr>
          <w:rFonts w:asciiTheme="minorHAnsi" w:hAnsiTheme="minorHAnsi"/>
        </w:rPr>
        <w:t xml:space="preserve"> </w:t>
      </w:r>
      <w:r w:rsidR="00584F56" w:rsidRPr="00AB315F">
        <w:rPr>
          <w:rFonts w:asciiTheme="minorHAnsi" w:hAnsiTheme="minorHAnsi"/>
        </w:rPr>
        <w:t>mas com ressalvas, especialmente com relação ao contexto a que os indicadores estão sendo submetidos (De Velis, 1991).</w:t>
      </w:r>
    </w:p>
    <w:p w14:paraId="27E67F0E" w14:textId="7FC86A11" w:rsidR="009C21E5" w:rsidRPr="00AB315F" w:rsidRDefault="00ED3630" w:rsidP="005A7075">
      <w:pPr>
        <w:spacing w:after="240" w:line="360" w:lineRule="auto"/>
        <w:ind w:firstLine="708"/>
        <w:jc w:val="both"/>
        <w:rPr>
          <w:rFonts w:asciiTheme="minorHAnsi" w:hAnsiTheme="minorHAnsi"/>
        </w:rPr>
      </w:pPr>
      <w:r w:rsidRPr="00AB315F">
        <w:rPr>
          <w:rFonts w:asciiTheme="minorHAnsi" w:hAnsiTheme="minorHAnsi"/>
        </w:rPr>
        <w:t>Realiza-se</w:t>
      </w:r>
      <w:r w:rsidR="009C21E5" w:rsidRPr="00AB315F">
        <w:rPr>
          <w:rFonts w:asciiTheme="minorHAnsi" w:hAnsiTheme="minorHAnsi"/>
        </w:rPr>
        <w:t xml:space="preserve"> o procedimento de análise fatorial confirmatória (AFC) para as rodadas de 2006 e 2014, uma vez que a AFE não encontrou fatores subjacentes para a </w:t>
      </w:r>
      <w:r w:rsidR="009C21E5" w:rsidRPr="00AB315F">
        <w:rPr>
          <w:rFonts w:asciiTheme="minorHAnsi" w:hAnsiTheme="minorHAnsi"/>
        </w:rPr>
        <w:lastRenderedPageBreak/>
        <w:t>rodada de 1991.</w:t>
      </w:r>
      <w:r w:rsidRPr="00AB315F">
        <w:rPr>
          <w:rFonts w:asciiTheme="minorHAnsi" w:hAnsiTheme="minorHAnsi"/>
        </w:rPr>
        <w:t xml:space="preserve"> Os resultados da AFC corroboram a AFE para fatores com </w:t>
      </w:r>
      <w:r w:rsidRPr="00AB315F">
        <w:rPr>
          <w:rFonts w:asciiTheme="minorHAnsi" w:hAnsiTheme="minorHAnsi"/>
          <w:i/>
        </w:rPr>
        <w:t xml:space="preserve">eigenvalues </w:t>
      </w:r>
      <w:r w:rsidRPr="00AB315F">
        <w:rPr>
          <w:rFonts w:asciiTheme="minorHAnsi" w:hAnsiTheme="minorHAnsi"/>
        </w:rPr>
        <w:t xml:space="preserve">maiores que 1. A seguir, testa-se a qualidade e os indicadores de confiabilidade a partir da abordagem do Modelo de Equações Estruturais. </w:t>
      </w:r>
    </w:p>
    <w:p w14:paraId="5F4340FE" w14:textId="0BF2649F" w:rsidR="006263D8" w:rsidRPr="00AB315F" w:rsidRDefault="006263D8" w:rsidP="005A7075">
      <w:pPr>
        <w:spacing w:after="240" w:line="360" w:lineRule="auto"/>
        <w:ind w:firstLine="708"/>
        <w:jc w:val="both"/>
        <w:rPr>
          <w:rFonts w:asciiTheme="minorHAnsi" w:hAnsiTheme="minorHAnsi"/>
        </w:rPr>
      </w:pPr>
      <w:r w:rsidRPr="00AB315F">
        <w:rPr>
          <w:rFonts w:asciiTheme="minorHAnsi" w:hAnsiTheme="minorHAnsi"/>
        </w:rPr>
        <w:t>Para a rodada de 2006, o</w:t>
      </w:r>
      <w:r w:rsidR="00CE5297" w:rsidRPr="00AB315F">
        <w:rPr>
          <w:rFonts w:asciiTheme="minorHAnsi" w:hAnsiTheme="minorHAnsi"/>
        </w:rPr>
        <w:t xml:space="preserve"> modelo do</w:t>
      </w:r>
      <w:r w:rsidRPr="00AB315F">
        <w:rPr>
          <w:rFonts w:asciiTheme="minorHAnsi" w:hAnsiTheme="minorHAnsi"/>
        </w:rPr>
        <w:t xml:space="preserve"> constructo da Aceitação da corrupção</w:t>
      </w:r>
      <w:r w:rsidR="00CE5297" w:rsidRPr="00AB315F">
        <w:rPr>
          <w:rFonts w:asciiTheme="minorHAnsi" w:hAnsiTheme="minorHAnsi"/>
        </w:rPr>
        <w:t xml:space="preserve"> mostrou-se relativamente simples necessitando apenas de 4 interações para ser estimado a através da máxima verossimilhança. </w:t>
      </w:r>
      <w:r w:rsidR="009F1E29" w:rsidRPr="00AB315F">
        <w:rPr>
          <w:rFonts w:asciiTheme="minorHAnsi" w:hAnsiTheme="minorHAnsi"/>
        </w:rPr>
        <w:t xml:space="preserve">O valor da estatística qui-quadrado é alto o que implica na aceitação da hipótese nula de que o modelo não se adequa aos dados, ou não reproduz bem a matriz de covariância amostral. </w:t>
      </w:r>
    </w:p>
    <w:p w14:paraId="6D0AD47E" w14:textId="258D06DA" w:rsidR="009F1E29" w:rsidRPr="00AB315F" w:rsidRDefault="009F1E29" w:rsidP="005A7075">
      <w:pPr>
        <w:spacing w:after="240" w:line="360" w:lineRule="auto"/>
        <w:ind w:firstLine="708"/>
        <w:jc w:val="both"/>
        <w:rPr>
          <w:rFonts w:asciiTheme="minorHAnsi" w:hAnsiTheme="minorHAnsi"/>
        </w:rPr>
      </w:pPr>
      <w:r w:rsidRPr="00AB315F">
        <w:rPr>
          <w:rFonts w:asciiTheme="minorHAnsi" w:hAnsiTheme="minorHAnsi"/>
        </w:rPr>
        <w:t xml:space="preserve">Os índices de ajuste CFI e SRMR são considerados aceitáveis, porém índice RMSEA sugere que o modelo não reproduz </w:t>
      </w:r>
      <w:r w:rsidR="006B7EED" w:rsidRPr="00AB315F">
        <w:rPr>
          <w:rFonts w:asciiTheme="minorHAnsi" w:hAnsiTheme="minorHAnsi"/>
        </w:rPr>
        <w:t>bem a covariância populacional. O</w:t>
      </w:r>
      <w:r w:rsidRPr="00AB315F">
        <w:rPr>
          <w:rFonts w:asciiTheme="minorHAnsi" w:hAnsiTheme="minorHAnsi"/>
        </w:rPr>
        <w:t xml:space="preserve"> índice T</w:t>
      </w:r>
      <w:r w:rsidR="006B7EED" w:rsidRPr="00AB315F">
        <w:rPr>
          <w:rFonts w:asciiTheme="minorHAnsi" w:hAnsiTheme="minorHAnsi"/>
        </w:rPr>
        <w:t>LI</w:t>
      </w:r>
      <w:r w:rsidRPr="00AB315F">
        <w:rPr>
          <w:rFonts w:asciiTheme="minorHAnsi" w:hAnsiTheme="minorHAnsi"/>
        </w:rPr>
        <w:t xml:space="preserve"> </w:t>
      </w:r>
      <w:r w:rsidR="006B7EED" w:rsidRPr="00AB315F">
        <w:rPr>
          <w:rFonts w:asciiTheme="minorHAnsi" w:hAnsiTheme="minorHAnsi"/>
        </w:rPr>
        <w:t xml:space="preserve">não foi considerado importante pois o modelo estimado é simples. </w:t>
      </w:r>
    </w:p>
    <w:p w14:paraId="13A3350C" w14:textId="576E20E2" w:rsidR="005F17D0" w:rsidRPr="00AB315F" w:rsidRDefault="006B7EED" w:rsidP="007978B1">
      <w:pPr>
        <w:spacing w:after="240" w:line="360" w:lineRule="auto"/>
        <w:ind w:firstLine="708"/>
        <w:jc w:val="both"/>
        <w:rPr>
          <w:rFonts w:asciiTheme="minorHAnsi" w:hAnsiTheme="minorHAnsi"/>
        </w:rPr>
      </w:pPr>
      <w:r w:rsidRPr="00AB315F">
        <w:rPr>
          <w:rFonts w:asciiTheme="minorHAnsi" w:hAnsiTheme="minorHAnsi"/>
        </w:rPr>
        <w:t>Por fim, a confiabilidade composta</w:t>
      </w:r>
      <w:r w:rsidR="00E81B2E">
        <w:rPr>
          <w:rFonts w:asciiTheme="minorHAnsi" w:hAnsiTheme="minorHAnsi"/>
        </w:rPr>
        <w:t xml:space="preserve"> (CR) alcança o valor de 0,64, </w:t>
      </w:r>
      <w:r w:rsidRPr="00AB315F">
        <w:rPr>
          <w:rFonts w:asciiTheme="minorHAnsi" w:hAnsiTheme="minorHAnsi"/>
        </w:rPr>
        <w:t xml:space="preserve">abaixo do padrão esperado </w:t>
      </w:r>
      <w:r w:rsidR="005F17D0" w:rsidRPr="00AB315F">
        <w:rPr>
          <w:rFonts w:asciiTheme="minorHAnsi" w:hAnsiTheme="minorHAnsi"/>
        </w:rPr>
        <w:t>(0,7)</w:t>
      </w:r>
      <w:r w:rsidR="00E81B2E">
        <w:rPr>
          <w:rFonts w:asciiTheme="minorHAnsi" w:hAnsiTheme="minorHAnsi"/>
        </w:rPr>
        <w:t>,</w:t>
      </w:r>
      <w:r w:rsidR="005F17D0" w:rsidRPr="00AB315F">
        <w:rPr>
          <w:rFonts w:asciiTheme="minorHAnsi" w:hAnsiTheme="minorHAnsi"/>
        </w:rPr>
        <w:t xml:space="preserve"> e o valor variância extraída (AVE) não passou de 0,31</w:t>
      </w:r>
      <w:r w:rsidR="005F17D0" w:rsidRPr="00AB315F">
        <w:rPr>
          <w:rStyle w:val="Refdenotaderodap"/>
          <w:rFonts w:asciiTheme="minorHAnsi" w:hAnsiTheme="minorHAnsi"/>
        </w:rPr>
        <w:footnoteReference w:id="21"/>
      </w:r>
      <w:r w:rsidR="005F17D0" w:rsidRPr="00AB315F">
        <w:rPr>
          <w:rFonts w:asciiTheme="minorHAnsi" w:hAnsiTheme="minorHAnsi"/>
        </w:rPr>
        <w:t>.</w:t>
      </w:r>
      <w:r w:rsidR="007978B1">
        <w:rPr>
          <w:rFonts w:asciiTheme="minorHAnsi" w:hAnsiTheme="minorHAnsi"/>
        </w:rPr>
        <w:t xml:space="preserve"> </w:t>
      </w:r>
      <w:r w:rsidR="005F17D0" w:rsidRPr="00AB315F">
        <w:rPr>
          <w:rFonts w:asciiTheme="minorHAnsi" w:hAnsiTheme="minorHAnsi"/>
        </w:rPr>
        <w:t>Tem-se fortes evidências para rejeitar a hipótese de que a medida de Aceitação possui consistência interna par</w:t>
      </w:r>
      <w:r w:rsidR="00C56A67" w:rsidRPr="00AB315F">
        <w:rPr>
          <w:rFonts w:asciiTheme="minorHAnsi" w:hAnsiTheme="minorHAnsi"/>
        </w:rPr>
        <w:t>a a rodada de coleta de dados em</w:t>
      </w:r>
      <w:r w:rsidR="005F17D0" w:rsidRPr="00AB315F">
        <w:rPr>
          <w:rFonts w:asciiTheme="minorHAnsi" w:hAnsiTheme="minorHAnsi"/>
        </w:rPr>
        <w:t xml:space="preserve"> 2006.</w:t>
      </w:r>
    </w:p>
    <w:p w14:paraId="12BBA86A" w14:textId="18B0226D" w:rsidR="005F17D0" w:rsidRPr="00AB315F" w:rsidRDefault="005F17D0" w:rsidP="005A7075">
      <w:pPr>
        <w:spacing w:after="240" w:line="360" w:lineRule="auto"/>
        <w:ind w:firstLine="708"/>
        <w:jc w:val="both"/>
        <w:rPr>
          <w:rFonts w:asciiTheme="minorHAnsi" w:hAnsiTheme="minorHAnsi"/>
        </w:rPr>
      </w:pPr>
      <w:r w:rsidRPr="00AB315F">
        <w:rPr>
          <w:rFonts w:asciiTheme="minorHAnsi" w:hAnsiTheme="minorHAnsi"/>
        </w:rPr>
        <w:t>Para a rodada de 2014, o valor da estatística qui-quadrado é baixo</w:t>
      </w:r>
      <w:r w:rsidR="00170A04">
        <w:rPr>
          <w:rFonts w:asciiTheme="minorHAnsi" w:hAnsiTheme="minorHAnsi"/>
        </w:rPr>
        <w:t>,</w:t>
      </w:r>
      <w:r w:rsidRPr="00AB315F">
        <w:rPr>
          <w:rFonts w:asciiTheme="minorHAnsi" w:hAnsiTheme="minorHAnsi"/>
        </w:rPr>
        <w:t xml:space="preserve"> porém não o suficiente para aceitar um bom ajuste do modelo</w:t>
      </w:r>
      <w:r w:rsidR="00170A04">
        <w:rPr>
          <w:rFonts w:asciiTheme="minorHAnsi" w:hAnsiTheme="minorHAnsi"/>
        </w:rPr>
        <w:t>.</w:t>
      </w:r>
      <w:r w:rsidRPr="00AB315F">
        <w:rPr>
          <w:rFonts w:asciiTheme="minorHAnsi" w:hAnsiTheme="minorHAnsi"/>
        </w:rPr>
        <w:t xml:space="preserve"> Os indicadores alternativos de ajuste por sua vez estão todos dentro dos limites aceitáveis. Entretanto o valor da confiabilidade composta é de 0,68</w:t>
      </w:r>
      <w:r w:rsidR="00F47E00">
        <w:rPr>
          <w:rFonts w:asciiTheme="minorHAnsi" w:hAnsiTheme="minorHAnsi"/>
        </w:rPr>
        <w:t xml:space="preserve"> (CP)</w:t>
      </w:r>
      <w:r w:rsidRPr="00AB315F">
        <w:rPr>
          <w:rFonts w:asciiTheme="minorHAnsi" w:hAnsiTheme="minorHAnsi"/>
        </w:rPr>
        <w:t xml:space="preserve"> e a variância extraída</w:t>
      </w:r>
      <w:r w:rsidR="00F47E00">
        <w:rPr>
          <w:rFonts w:asciiTheme="minorHAnsi" w:hAnsiTheme="minorHAnsi"/>
        </w:rPr>
        <w:t xml:space="preserve"> (AVE)</w:t>
      </w:r>
      <w:r w:rsidRPr="00AB315F">
        <w:rPr>
          <w:rFonts w:asciiTheme="minorHAnsi" w:hAnsiTheme="minorHAnsi"/>
        </w:rPr>
        <w:t xml:space="preserve"> é de 0,34, o que </w:t>
      </w:r>
      <w:r w:rsidR="00F47E00">
        <w:rPr>
          <w:rFonts w:asciiTheme="minorHAnsi" w:hAnsiTheme="minorHAnsi"/>
        </w:rPr>
        <w:t>também</w:t>
      </w:r>
      <w:r w:rsidR="00F47E00" w:rsidRPr="00AB315F">
        <w:rPr>
          <w:rFonts w:asciiTheme="minorHAnsi" w:hAnsiTheme="minorHAnsi"/>
        </w:rPr>
        <w:t xml:space="preserve"> </w:t>
      </w:r>
      <w:r w:rsidRPr="00AB315F">
        <w:rPr>
          <w:rFonts w:asciiTheme="minorHAnsi" w:hAnsiTheme="minorHAnsi"/>
        </w:rPr>
        <w:t xml:space="preserve">produz evidências de rejeição da confiabilidade da medida de Aceitação para a rodada de 2014. </w:t>
      </w:r>
    </w:p>
    <w:p w14:paraId="0F4FE93B" w14:textId="2273E401" w:rsidR="005F17D0" w:rsidRPr="00AB315F" w:rsidRDefault="008D18A0" w:rsidP="005A7075">
      <w:pPr>
        <w:spacing w:after="240" w:line="360" w:lineRule="auto"/>
        <w:jc w:val="both"/>
        <w:rPr>
          <w:rFonts w:asciiTheme="minorHAnsi" w:hAnsiTheme="minorHAnsi"/>
        </w:rPr>
      </w:pPr>
      <w:r w:rsidRPr="00AB315F">
        <w:rPr>
          <w:rFonts w:asciiTheme="minorHAnsi" w:hAnsiTheme="minorHAnsi"/>
        </w:rPr>
        <w:tab/>
        <w:t>Outro ponto referente à confiabilidade da medida é o critério de consistência ao longo do tempo. Para o contexto brasileiro a me</w:t>
      </w:r>
      <w:r w:rsidR="005D3FF9" w:rsidRPr="00AB315F">
        <w:rPr>
          <w:rFonts w:asciiTheme="minorHAnsi" w:hAnsiTheme="minorHAnsi"/>
        </w:rPr>
        <w:t>dida de aceitação só foi</w:t>
      </w:r>
      <w:r w:rsidRPr="00AB315F">
        <w:rPr>
          <w:rFonts w:asciiTheme="minorHAnsi" w:hAnsiTheme="minorHAnsi"/>
        </w:rPr>
        <w:t xml:space="preserve"> mensurada para as rodadas de 1991, 2006 e 2014. Portanto, </w:t>
      </w:r>
      <w:r w:rsidR="005D3FF9" w:rsidRPr="00AB315F">
        <w:rPr>
          <w:rFonts w:asciiTheme="minorHAnsi" w:hAnsiTheme="minorHAnsi"/>
        </w:rPr>
        <w:t>observa-se o critério de consistência ao longo do tempo</w:t>
      </w:r>
      <w:r w:rsidR="00C41468" w:rsidRPr="00AB315F">
        <w:rPr>
          <w:rFonts w:asciiTheme="minorHAnsi" w:hAnsiTheme="minorHAnsi"/>
        </w:rPr>
        <w:t xml:space="preserve"> aos contextos de três países latino-</w:t>
      </w:r>
      <w:r w:rsidR="005D3FF9" w:rsidRPr="00AB315F">
        <w:rPr>
          <w:rFonts w:asciiTheme="minorHAnsi" w:hAnsiTheme="minorHAnsi"/>
        </w:rPr>
        <w:t xml:space="preserve">americanos: Argentina, Chile e México. </w:t>
      </w:r>
    </w:p>
    <w:p w14:paraId="2A28C931" w14:textId="3317F069" w:rsidR="0016332B" w:rsidRPr="00AB315F" w:rsidRDefault="005A249C" w:rsidP="005A7075">
      <w:pPr>
        <w:spacing w:after="240" w:line="360" w:lineRule="auto"/>
        <w:jc w:val="both"/>
        <w:rPr>
          <w:rFonts w:asciiTheme="minorHAnsi" w:hAnsiTheme="minorHAnsi"/>
        </w:rPr>
      </w:pPr>
      <w:r w:rsidRPr="00AB315F">
        <w:rPr>
          <w:rFonts w:asciiTheme="minorHAnsi" w:hAnsiTheme="minorHAnsi"/>
        </w:rPr>
        <w:lastRenderedPageBreak/>
        <w:tab/>
        <w:t>Propõe-se uma análise exploratória da unidimensionalidade da medida de Aceitação entre Argentina, Brasil, Chile e México. Pretende-se averiguar se ao longo do tempo a medida tem índices de confiabilidade similares e, ainda observar se a correlação entre os itens de resposta possuem um mesmo compor</w:t>
      </w:r>
      <w:r w:rsidR="00BE3320" w:rsidRPr="00AB315F">
        <w:rPr>
          <w:rFonts w:asciiTheme="minorHAnsi" w:hAnsiTheme="minorHAnsi"/>
        </w:rPr>
        <w:t xml:space="preserve">tamento para todos os contextos. </w:t>
      </w:r>
    </w:p>
    <w:p w14:paraId="386EAB3C" w14:textId="6D257000" w:rsidR="00BE3320" w:rsidRPr="00AB315F" w:rsidRDefault="00BE3320" w:rsidP="005A7075">
      <w:pPr>
        <w:spacing w:after="240" w:line="360" w:lineRule="auto"/>
        <w:jc w:val="both"/>
        <w:rPr>
          <w:rFonts w:asciiTheme="minorHAnsi" w:hAnsiTheme="minorHAnsi"/>
        </w:rPr>
      </w:pPr>
      <w:r w:rsidRPr="00AB315F">
        <w:rPr>
          <w:rFonts w:asciiTheme="minorHAnsi" w:hAnsiTheme="minorHAnsi"/>
        </w:rPr>
        <w:tab/>
        <w:t>Deste modo, procede-se para análise fatorial</w:t>
      </w:r>
      <w:r w:rsidR="00E81B2E">
        <w:rPr>
          <w:rFonts w:asciiTheme="minorHAnsi" w:hAnsiTheme="minorHAnsi"/>
        </w:rPr>
        <w:t xml:space="preserve"> exploratória</w:t>
      </w:r>
      <w:r w:rsidRPr="00AB315F">
        <w:rPr>
          <w:rFonts w:asciiTheme="minorHAnsi" w:hAnsiTheme="minorHAnsi"/>
        </w:rPr>
        <w:t xml:space="preserve"> das medidas para todas as rodadas de coleta de dados nos quatro países. </w:t>
      </w:r>
      <w:r w:rsidR="00CC5300" w:rsidRPr="00AB315F">
        <w:rPr>
          <w:rFonts w:asciiTheme="minorHAnsi" w:hAnsiTheme="minorHAnsi"/>
        </w:rPr>
        <w:t xml:space="preserve">A intenção é avaliar se ao longo do tempo os indicadores observáveis estão refletindo uma única dimensão e se as estatísticas mostram evidencias de consistência interna das variáveis observadas. </w:t>
      </w:r>
    </w:p>
    <w:p w14:paraId="0D93D001" w14:textId="05FA0C82" w:rsidR="00CC5300" w:rsidRPr="00AB315F" w:rsidRDefault="00CC5300" w:rsidP="005A7075">
      <w:pPr>
        <w:spacing w:after="240" w:line="360" w:lineRule="auto"/>
        <w:jc w:val="both"/>
        <w:rPr>
          <w:rFonts w:asciiTheme="minorHAnsi" w:hAnsiTheme="minorHAnsi"/>
        </w:rPr>
      </w:pPr>
      <w:r w:rsidRPr="00AB315F">
        <w:rPr>
          <w:rFonts w:asciiTheme="minorHAnsi" w:hAnsiTheme="minorHAnsi"/>
        </w:rPr>
        <w:tab/>
        <w:t>A análise exploratória revela o baixo desempenho da variância explicada pelos fatores extraídos. Com exceção do México 1994, em todos os demais períodos a proporção da variância explicada foi meno</w:t>
      </w:r>
      <w:r w:rsidR="00D3308D" w:rsidRPr="00AB315F">
        <w:rPr>
          <w:rFonts w:asciiTheme="minorHAnsi" w:hAnsiTheme="minorHAnsi"/>
        </w:rPr>
        <w:t xml:space="preserve">r de 60%, </w:t>
      </w:r>
      <w:r w:rsidRPr="00AB315F">
        <w:rPr>
          <w:rFonts w:asciiTheme="minorHAnsi" w:hAnsiTheme="minorHAnsi"/>
        </w:rPr>
        <w:t>patamar considerado aceitável</w:t>
      </w:r>
      <w:r w:rsidR="00D3308D" w:rsidRPr="00AB315F">
        <w:rPr>
          <w:rFonts w:asciiTheme="minorHAnsi" w:hAnsiTheme="minorHAnsi"/>
        </w:rPr>
        <w:t xml:space="preserve"> (Hair et al, 2006)</w:t>
      </w:r>
      <w:r w:rsidRPr="00AB315F">
        <w:rPr>
          <w:rFonts w:asciiTheme="minorHAnsi" w:hAnsiTheme="minorHAnsi"/>
        </w:rPr>
        <w:t>.</w:t>
      </w:r>
    </w:p>
    <w:p w14:paraId="64D6B53D" w14:textId="3D69877E" w:rsidR="00CC5300" w:rsidRPr="00AB315F" w:rsidRDefault="00CC5300" w:rsidP="005A7075">
      <w:pPr>
        <w:spacing w:after="240" w:line="360" w:lineRule="auto"/>
        <w:jc w:val="both"/>
        <w:rPr>
          <w:rFonts w:asciiTheme="minorHAnsi" w:hAnsiTheme="minorHAnsi"/>
        </w:rPr>
      </w:pPr>
      <w:r w:rsidRPr="00AB315F">
        <w:rPr>
          <w:rFonts w:asciiTheme="minorHAnsi" w:hAnsiTheme="minorHAnsi"/>
        </w:rPr>
        <w:tab/>
      </w:r>
      <w:r w:rsidR="00D3308D" w:rsidRPr="00AB315F">
        <w:rPr>
          <w:rFonts w:asciiTheme="minorHAnsi" w:hAnsiTheme="minorHAnsi"/>
        </w:rPr>
        <w:t>A estatística KMO está sempre acima do patamar considerado adequado por Hair et al (2006), porém, segundo Friel (2009) os valores estão entre “</w:t>
      </w:r>
      <w:r w:rsidR="00D3308D" w:rsidRPr="00AB315F">
        <w:rPr>
          <w:rFonts w:asciiTheme="minorHAnsi" w:hAnsiTheme="minorHAnsi"/>
          <w:i/>
        </w:rPr>
        <w:t xml:space="preserve">mediano”, “medíocre” e “ruim”. </w:t>
      </w:r>
    </w:p>
    <w:p w14:paraId="147FD36E" w14:textId="7AAFD62A" w:rsidR="00D3308D" w:rsidRPr="00AB315F" w:rsidRDefault="00D3308D" w:rsidP="005A7075">
      <w:pPr>
        <w:spacing w:after="240" w:line="360" w:lineRule="auto"/>
        <w:jc w:val="both"/>
        <w:rPr>
          <w:rFonts w:asciiTheme="minorHAnsi" w:hAnsiTheme="minorHAnsi"/>
        </w:rPr>
      </w:pPr>
      <w:r w:rsidRPr="00AB315F">
        <w:rPr>
          <w:rFonts w:asciiTheme="minorHAnsi" w:hAnsiTheme="minorHAnsi"/>
        </w:rPr>
        <w:tab/>
        <w:t xml:space="preserve">Para Chile 2005 e México 2010 é possível que as variáveis observadas estejam mensurando duas dimensões. Desta forma as cargas fatoriais dos indicadores observáveis estão mais relacionadas a uma ou a outra dimensão. </w:t>
      </w:r>
    </w:p>
    <w:p w14:paraId="46B7F53B" w14:textId="65E0F626" w:rsidR="00D3308D" w:rsidRDefault="00D3308D" w:rsidP="005A7075">
      <w:pPr>
        <w:spacing w:after="240" w:line="360" w:lineRule="auto"/>
        <w:jc w:val="both"/>
        <w:rPr>
          <w:rFonts w:asciiTheme="minorHAnsi" w:hAnsiTheme="minorHAnsi"/>
        </w:rPr>
      </w:pPr>
      <w:r w:rsidRPr="00AB315F">
        <w:rPr>
          <w:rFonts w:asciiTheme="minorHAnsi" w:hAnsiTheme="minorHAnsi"/>
        </w:rPr>
        <w:tab/>
        <w:t>Com relação aos coeficientes alpha,</w:t>
      </w:r>
      <w:r w:rsidR="0094228B" w:rsidRPr="00AB315F">
        <w:rPr>
          <w:rFonts w:asciiTheme="minorHAnsi" w:hAnsiTheme="minorHAnsi"/>
        </w:rPr>
        <w:t xml:space="preserve"> Argentina 1981 e 2010, Chile 1989 e México 1999 e 2010 apresentam valores inferiores ao limite crítico de 0,6. Apenas Chile 1999, México 1981 e 1994 atingem os patamares de 0,7, considerados “bom”. </w:t>
      </w:r>
    </w:p>
    <w:p w14:paraId="00C3863A" w14:textId="77777777" w:rsidR="00686A3D" w:rsidRDefault="00686A3D" w:rsidP="00686A3D">
      <w:pPr>
        <w:spacing w:after="240" w:line="360" w:lineRule="auto"/>
        <w:ind w:firstLine="708"/>
        <w:jc w:val="both"/>
        <w:rPr>
          <w:rFonts w:asciiTheme="minorHAnsi" w:hAnsiTheme="minorHAnsi"/>
        </w:rPr>
      </w:pPr>
      <w:r w:rsidRPr="00AB315F">
        <w:rPr>
          <w:rFonts w:asciiTheme="minorHAnsi" w:hAnsiTheme="minorHAnsi"/>
        </w:rPr>
        <w:t xml:space="preserve">As análises fatoriais confirmatórias corroboram com os resultados exploratórios. Argumenta-se que a medida apresenta padrões de consistência muito variados ao longo do tempo para todos os contextos. A variância explicada pelos fatores subjacentes e </w:t>
      </w:r>
      <w:r>
        <w:rPr>
          <w:rFonts w:asciiTheme="minorHAnsi" w:hAnsiTheme="minorHAnsi"/>
        </w:rPr>
        <w:t xml:space="preserve">se oscila razoavelmente </w:t>
      </w:r>
      <w:r w:rsidRPr="00AB315F">
        <w:rPr>
          <w:rFonts w:asciiTheme="minorHAnsi" w:hAnsiTheme="minorHAnsi"/>
        </w:rPr>
        <w:t xml:space="preserve">ao longo do tempo. </w:t>
      </w:r>
    </w:p>
    <w:p w14:paraId="72F3705E" w14:textId="77777777" w:rsidR="00E15C4B" w:rsidRDefault="00E15C4B" w:rsidP="005A7075">
      <w:pPr>
        <w:spacing w:after="240" w:line="360" w:lineRule="auto"/>
        <w:jc w:val="both"/>
        <w:rPr>
          <w:rFonts w:asciiTheme="minorHAnsi" w:hAnsiTheme="minorHAnsi"/>
        </w:rPr>
      </w:pPr>
    </w:p>
    <w:p w14:paraId="0EBCB726" w14:textId="77777777" w:rsidR="00686A3D" w:rsidRDefault="00686A3D" w:rsidP="005A7075">
      <w:pPr>
        <w:spacing w:after="240" w:line="360" w:lineRule="auto"/>
        <w:jc w:val="both"/>
        <w:rPr>
          <w:rFonts w:asciiTheme="minorHAnsi" w:hAnsiTheme="minorHAnsi"/>
        </w:rPr>
      </w:pPr>
    </w:p>
    <w:p w14:paraId="78CAE719" w14:textId="77777777" w:rsidR="00686A3D" w:rsidRDefault="00686A3D" w:rsidP="005A7075">
      <w:pPr>
        <w:spacing w:after="240" w:line="360" w:lineRule="auto"/>
        <w:jc w:val="both"/>
        <w:rPr>
          <w:rFonts w:asciiTheme="minorHAnsi" w:hAnsiTheme="minorHAnsi"/>
        </w:rPr>
      </w:pPr>
    </w:p>
    <w:p w14:paraId="6D496C0F" w14:textId="7119AD3A" w:rsidR="00FF4D9F" w:rsidRPr="00E15C4B" w:rsidRDefault="00ED2DAB" w:rsidP="00E15C4B">
      <w:pPr>
        <w:spacing w:after="240" w:line="360" w:lineRule="auto"/>
        <w:jc w:val="center"/>
        <w:rPr>
          <w:rFonts w:asciiTheme="minorHAnsi" w:hAnsiTheme="minorHAnsi"/>
          <w:b/>
        </w:rPr>
      </w:pPr>
      <w:r>
        <w:rPr>
          <w:rFonts w:asciiTheme="minorHAnsi" w:hAnsiTheme="minorHAnsi"/>
          <w:b/>
        </w:rPr>
        <w:t>Tabela 14</w:t>
      </w:r>
      <w:r w:rsidR="00E15C4B" w:rsidRPr="00E15C4B">
        <w:rPr>
          <w:rFonts w:asciiTheme="minorHAnsi" w:hAnsiTheme="minorHAnsi"/>
          <w:b/>
        </w:rPr>
        <w:t>. AFE e alpha de cronbach para Argentina, Brasil, Chile, México</w:t>
      </w:r>
    </w:p>
    <w:tbl>
      <w:tblPr>
        <w:tblW w:w="6664" w:type="dxa"/>
        <w:jc w:val="center"/>
        <w:tblCellMar>
          <w:left w:w="70" w:type="dxa"/>
          <w:right w:w="70" w:type="dxa"/>
        </w:tblCellMar>
        <w:tblLook w:val="04A0" w:firstRow="1" w:lastRow="0" w:firstColumn="1" w:lastColumn="0" w:noHBand="0" w:noVBand="1"/>
      </w:tblPr>
      <w:tblGrid>
        <w:gridCol w:w="1102"/>
        <w:gridCol w:w="927"/>
        <w:gridCol w:w="927"/>
        <w:gridCol w:w="927"/>
        <w:gridCol w:w="927"/>
        <w:gridCol w:w="927"/>
        <w:gridCol w:w="927"/>
      </w:tblGrid>
      <w:tr w:rsidR="00BE3320" w:rsidRPr="00AB315F" w14:paraId="10F59F7D" w14:textId="77777777" w:rsidTr="0094228B">
        <w:trPr>
          <w:trHeight w:val="290"/>
          <w:jc w:val="center"/>
        </w:trPr>
        <w:tc>
          <w:tcPr>
            <w:tcW w:w="1102" w:type="dxa"/>
            <w:tcBorders>
              <w:top w:val="single" w:sz="4" w:space="0" w:color="auto"/>
              <w:left w:val="nil"/>
              <w:bottom w:val="single" w:sz="4" w:space="0" w:color="auto"/>
              <w:right w:val="single" w:sz="4" w:space="0" w:color="auto"/>
            </w:tcBorders>
            <w:shd w:val="clear" w:color="auto" w:fill="auto"/>
            <w:noWrap/>
            <w:vAlign w:val="bottom"/>
            <w:hideMark/>
          </w:tcPr>
          <w:p w14:paraId="0D0492A6" w14:textId="77777777" w:rsidR="00BE3320" w:rsidRPr="00AB315F" w:rsidRDefault="00BE3320" w:rsidP="00BE3320">
            <w:pPr>
              <w:rPr>
                <w:rFonts w:ascii="Calibri" w:hAnsi="Calibri"/>
                <w:sz w:val="22"/>
                <w:szCs w:val="22"/>
              </w:rPr>
            </w:pPr>
            <w:r w:rsidRPr="00AB315F">
              <w:rPr>
                <w:rFonts w:ascii="Calibri" w:hAnsi="Calibri"/>
                <w:sz w:val="22"/>
                <w:szCs w:val="22"/>
              </w:rPr>
              <w:t> </w:t>
            </w:r>
          </w:p>
        </w:tc>
        <w:tc>
          <w:tcPr>
            <w:tcW w:w="5562" w:type="dxa"/>
            <w:gridSpan w:val="6"/>
            <w:tcBorders>
              <w:top w:val="single" w:sz="4" w:space="0" w:color="auto"/>
              <w:left w:val="nil"/>
              <w:bottom w:val="single" w:sz="4" w:space="0" w:color="auto"/>
            </w:tcBorders>
            <w:shd w:val="clear" w:color="auto" w:fill="auto"/>
            <w:noWrap/>
            <w:vAlign w:val="center"/>
            <w:hideMark/>
          </w:tcPr>
          <w:p w14:paraId="037A96BE" w14:textId="77777777" w:rsidR="00BE3320" w:rsidRPr="00AB315F" w:rsidRDefault="00BE3320" w:rsidP="00BE3320">
            <w:pPr>
              <w:jc w:val="center"/>
              <w:rPr>
                <w:rFonts w:ascii="Calibri" w:hAnsi="Calibri"/>
                <w:b/>
                <w:bCs/>
                <w:sz w:val="22"/>
                <w:szCs w:val="22"/>
              </w:rPr>
            </w:pPr>
            <w:r w:rsidRPr="00AB315F">
              <w:rPr>
                <w:rFonts w:ascii="Calibri" w:hAnsi="Calibri"/>
                <w:b/>
                <w:bCs/>
                <w:sz w:val="22"/>
                <w:szCs w:val="22"/>
              </w:rPr>
              <w:t>Argentina</w:t>
            </w:r>
          </w:p>
        </w:tc>
      </w:tr>
      <w:tr w:rsidR="00BE3320" w:rsidRPr="00AB315F" w14:paraId="298F0AA5"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39F4352F" w14:textId="77777777" w:rsidR="00BE3320" w:rsidRPr="00AB315F" w:rsidRDefault="00BE3320" w:rsidP="00BE3320">
            <w:pP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68A91D72" w14:textId="77777777" w:rsidR="00BE3320" w:rsidRPr="00AB315F" w:rsidRDefault="00BE3320" w:rsidP="00BE3320">
            <w:pPr>
              <w:jc w:val="center"/>
              <w:rPr>
                <w:rFonts w:ascii="Calibri" w:hAnsi="Calibri"/>
                <w:sz w:val="22"/>
                <w:szCs w:val="22"/>
              </w:rPr>
            </w:pPr>
            <w:r w:rsidRPr="00AB315F">
              <w:rPr>
                <w:rFonts w:ascii="Calibri" w:hAnsi="Calibri"/>
                <w:sz w:val="22"/>
                <w:szCs w:val="22"/>
              </w:rPr>
              <w:t>1981</w:t>
            </w:r>
          </w:p>
        </w:tc>
        <w:tc>
          <w:tcPr>
            <w:tcW w:w="927" w:type="dxa"/>
            <w:tcBorders>
              <w:top w:val="nil"/>
              <w:left w:val="nil"/>
              <w:bottom w:val="nil"/>
              <w:right w:val="single" w:sz="4" w:space="0" w:color="auto"/>
            </w:tcBorders>
            <w:shd w:val="clear" w:color="auto" w:fill="auto"/>
            <w:noWrap/>
            <w:vAlign w:val="center"/>
            <w:hideMark/>
          </w:tcPr>
          <w:p w14:paraId="3ADB824B" w14:textId="77777777" w:rsidR="00BE3320" w:rsidRPr="00AB315F" w:rsidRDefault="00BE3320" w:rsidP="00BE3320">
            <w:pPr>
              <w:jc w:val="center"/>
              <w:rPr>
                <w:rFonts w:ascii="Calibri" w:hAnsi="Calibri"/>
                <w:sz w:val="22"/>
                <w:szCs w:val="22"/>
              </w:rPr>
            </w:pPr>
            <w:r w:rsidRPr="00AB315F">
              <w:rPr>
                <w:rFonts w:ascii="Calibri" w:hAnsi="Calibri"/>
                <w:sz w:val="22"/>
                <w:szCs w:val="22"/>
              </w:rPr>
              <w:t>1989</w:t>
            </w:r>
          </w:p>
        </w:tc>
        <w:tc>
          <w:tcPr>
            <w:tcW w:w="927" w:type="dxa"/>
            <w:tcBorders>
              <w:top w:val="nil"/>
              <w:left w:val="nil"/>
              <w:bottom w:val="nil"/>
              <w:right w:val="single" w:sz="4" w:space="0" w:color="auto"/>
            </w:tcBorders>
            <w:shd w:val="clear" w:color="auto" w:fill="auto"/>
            <w:noWrap/>
            <w:vAlign w:val="center"/>
            <w:hideMark/>
          </w:tcPr>
          <w:p w14:paraId="122255F5" w14:textId="77777777" w:rsidR="00BE3320" w:rsidRPr="00AB315F" w:rsidRDefault="00BE3320" w:rsidP="00BE3320">
            <w:pPr>
              <w:jc w:val="center"/>
              <w:rPr>
                <w:rFonts w:ascii="Calibri" w:hAnsi="Calibri"/>
                <w:sz w:val="22"/>
                <w:szCs w:val="22"/>
              </w:rPr>
            </w:pPr>
            <w:r w:rsidRPr="00AB315F">
              <w:rPr>
                <w:rFonts w:ascii="Calibri" w:hAnsi="Calibri"/>
                <w:sz w:val="22"/>
                <w:szCs w:val="22"/>
              </w:rPr>
              <w:t>1994</w:t>
            </w:r>
          </w:p>
        </w:tc>
        <w:tc>
          <w:tcPr>
            <w:tcW w:w="927" w:type="dxa"/>
            <w:tcBorders>
              <w:top w:val="nil"/>
              <w:left w:val="nil"/>
              <w:bottom w:val="nil"/>
              <w:right w:val="single" w:sz="4" w:space="0" w:color="auto"/>
            </w:tcBorders>
            <w:shd w:val="clear" w:color="auto" w:fill="auto"/>
            <w:noWrap/>
            <w:vAlign w:val="center"/>
            <w:hideMark/>
          </w:tcPr>
          <w:p w14:paraId="4A486242" w14:textId="77777777" w:rsidR="00BE3320" w:rsidRPr="00AB315F" w:rsidRDefault="00BE3320" w:rsidP="00BE3320">
            <w:pPr>
              <w:jc w:val="center"/>
              <w:rPr>
                <w:rFonts w:ascii="Calibri" w:hAnsi="Calibri"/>
                <w:sz w:val="22"/>
                <w:szCs w:val="22"/>
              </w:rPr>
            </w:pPr>
            <w:r w:rsidRPr="00AB315F">
              <w:rPr>
                <w:rFonts w:ascii="Calibri" w:hAnsi="Calibri"/>
                <w:sz w:val="22"/>
                <w:szCs w:val="22"/>
              </w:rPr>
              <w:t>1999</w:t>
            </w:r>
          </w:p>
        </w:tc>
        <w:tc>
          <w:tcPr>
            <w:tcW w:w="927" w:type="dxa"/>
            <w:tcBorders>
              <w:top w:val="nil"/>
              <w:left w:val="nil"/>
              <w:bottom w:val="nil"/>
              <w:right w:val="single" w:sz="4" w:space="0" w:color="auto"/>
            </w:tcBorders>
            <w:shd w:val="clear" w:color="auto" w:fill="auto"/>
            <w:noWrap/>
            <w:vAlign w:val="center"/>
            <w:hideMark/>
          </w:tcPr>
          <w:p w14:paraId="55EE580A" w14:textId="77777777" w:rsidR="00BE3320" w:rsidRPr="00AB315F" w:rsidRDefault="00BE3320" w:rsidP="00BE3320">
            <w:pPr>
              <w:jc w:val="center"/>
              <w:rPr>
                <w:rFonts w:ascii="Calibri" w:hAnsi="Calibri"/>
                <w:sz w:val="22"/>
                <w:szCs w:val="22"/>
              </w:rPr>
            </w:pPr>
            <w:r w:rsidRPr="00AB315F">
              <w:rPr>
                <w:rFonts w:ascii="Calibri" w:hAnsi="Calibri"/>
                <w:sz w:val="22"/>
                <w:szCs w:val="22"/>
              </w:rPr>
              <w:t>2005</w:t>
            </w:r>
          </w:p>
        </w:tc>
        <w:tc>
          <w:tcPr>
            <w:tcW w:w="927" w:type="dxa"/>
            <w:tcBorders>
              <w:top w:val="nil"/>
              <w:left w:val="nil"/>
              <w:bottom w:val="nil"/>
              <w:right w:val="nil"/>
            </w:tcBorders>
            <w:shd w:val="clear" w:color="auto" w:fill="auto"/>
            <w:noWrap/>
            <w:vAlign w:val="center"/>
            <w:hideMark/>
          </w:tcPr>
          <w:p w14:paraId="33B45E36" w14:textId="77777777" w:rsidR="00BE3320" w:rsidRPr="00AB315F" w:rsidRDefault="00BE3320" w:rsidP="00BE3320">
            <w:pPr>
              <w:jc w:val="center"/>
              <w:rPr>
                <w:rFonts w:ascii="Calibri" w:hAnsi="Calibri"/>
                <w:sz w:val="22"/>
                <w:szCs w:val="22"/>
              </w:rPr>
            </w:pPr>
            <w:r w:rsidRPr="00AB315F">
              <w:rPr>
                <w:rFonts w:ascii="Calibri" w:hAnsi="Calibri"/>
                <w:sz w:val="22"/>
                <w:szCs w:val="22"/>
              </w:rPr>
              <w:t>2010</w:t>
            </w:r>
          </w:p>
        </w:tc>
      </w:tr>
      <w:tr w:rsidR="00BE3320" w:rsidRPr="00AB315F" w14:paraId="6A3F4363"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6F982B4A" w14:textId="77777777" w:rsidR="00BE3320" w:rsidRPr="00AB315F" w:rsidRDefault="00BE3320" w:rsidP="00BE3320">
            <w:pPr>
              <w:rPr>
                <w:rFonts w:ascii="Calibri" w:hAnsi="Calibri"/>
                <w:sz w:val="22"/>
                <w:szCs w:val="22"/>
              </w:rPr>
            </w:pPr>
            <w:r w:rsidRPr="00AB315F">
              <w:rPr>
                <w:rFonts w:ascii="Calibri" w:hAnsi="Calibri"/>
                <w:sz w:val="22"/>
                <w:szCs w:val="22"/>
              </w:rPr>
              <w:t>Fatores</w:t>
            </w:r>
          </w:p>
        </w:tc>
        <w:tc>
          <w:tcPr>
            <w:tcW w:w="927" w:type="dxa"/>
            <w:tcBorders>
              <w:top w:val="nil"/>
              <w:left w:val="nil"/>
              <w:bottom w:val="nil"/>
              <w:right w:val="single" w:sz="4" w:space="0" w:color="auto"/>
            </w:tcBorders>
            <w:shd w:val="clear" w:color="auto" w:fill="auto"/>
            <w:noWrap/>
            <w:vAlign w:val="center"/>
            <w:hideMark/>
          </w:tcPr>
          <w:p w14:paraId="3BC19D6F"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0DC1865E"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544C6BDC"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12D2BB1B"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3960A8AA"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nil"/>
            </w:tcBorders>
            <w:shd w:val="clear" w:color="auto" w:fill="auto"/>
            <w:noWrap/>
            <w:vAlign w:val="center"/>
            <w:hideMark/>
          </w:tcPr>
          <w:p w14:paraId="4C3361E4"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r>
      <w:tr w:rsidR="00BE3320" w:rsidRPr="00AB315F" w14:paraId="474D6835"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18092BD2" w14:textId="77777777" w:rsidR="00BE3320" w:rsidRPr="00AB315F" w:rsidRDefault="00BE3320" w:rsidP="00BE3320">
            <w:pPr>
              <w:rPr>
                <w:rFonts w:ascii="Calibri" w:hAnsi="Calibri"/>
                <w:sz w:val="22"/>
                <w:szCs w:val="22"/>
              </w:rPr>
            </w:pPr>
            <w:r w:rsidRPr="00AB315F">
              <w:rPr>
                <w:rFonts w:ascii="Calibri" w:hAnsi="Calibri"/>
                <w:sz w:val="22"/>
                <w:szCs w:val="22"/>
              </w:rPr>
              <w:t>Var. Expl.</w:t>
            </w:r>
          </w:p>
        </w:tc>
        <w:tc>
          <w:tcPr>
            <w:tcW w:w="927" w:type="dxa"/>
            <w:tcBorders>
              <w:top w:val="nil"/>
              <w:left w:val="nil"/>
              <w:bottom w:val="nil"/>
              <w:right w:val="single" w:sz="4" w:space="0" w:color="auto"/>
            </w:tcBorders>
            <w:shd w:val="clear" w:color="auto" w:fill="auto"/>
            <w:noWrap/>
            <w:vAlign w:val="center"/>
            <w:hideMark/>
          </w:tcPr>
          <w:p w14:paraId="32E2DE9F" w14:textId="77777777" w:rsidR="00BE3320" w:rsidRPr="00AB315F" w:rsidRDefault="00BE3320" w:rsidP="00BE3320">
            <w:pPr>
              <w:jc w:val="center"/>
              <w:rPr>
                <w:rFonts w:ascii="Calibri" w:hAnsi="Calibri"/>
                <w:sz w:val="22"/>
                <w:szCs w:val="22"/>
              </w:rPr>
            </w:pPr>
            <w:r w:rsidRPr="00AB315F">
              <w:rPr>
                <w:rFonts w:ascii="Calibri" w:hAnsi="Calibri"/>
                <w:sz w:val="22"/>
                <w:szCs w:val="22"/>
              </w:rPr>
              <w:t>0,510</w:t>
            </w:r>
          </w:p>
        </w:tc>
        <w:tc>
          <w:tcPr>
            <w:tcW w:w="927" w:type="dxa"/>
            <w:tcBorders>
              <w:top w:val="nil"/>
              <w:left w:val="nil"/>
              <w:bottom w:val="nil"/>
              <w:right w:val="single" w:sz="4" w:space="0" w:color="auto"/>
            </w:tcBorders>
            <w:shd w:val="clear" w:color="auto" w:fill="auto"/>
            <w:noWrap/>
            <w:vAlign w:val="center"/>
            <w:hideMark/>
          </w:tcPr>
          <w:p w14:paraId="4483509B" w14:textId="77777777" w:rsidR="00BE3320" w:rsidRPr="00AB315F" w:rsidRDefault="00BE3320" w:rsidP="00BE3320">
            <w:pPr>
              <w:jc w:val="center"/>
              <w:rPr>
                <w:rFonts w:ascii="Calibri" w:hAnsi="Calibri"/>
                <w:sz w:val="22"/>
                <w:szCs w:val="22"/>
              </w:rPr>
            </w:pPr>
            <w:r w:rsidRPr="00AB315F">
              <w:rPr>
                <w:rFonts w:ascii="Calibri" w:hAnsi="Calibri"/>
                <w:sz w:val="22"/>
                <w:szCs w:val="22"/>
              </w:rPr>
              <w:t>0,408</w:t>
            </w:r>
          </w:p>
        </w:tc>
        <w:tc>
          <w:tcPr>
            <w:tcW w:w="927" w:type="dxa"/>
            <w:tcBorders>
              <w:top w:val="nil"/>
              <w:left w:val="nil"/>
              <w:bottom w:val="nil"/>
              <w:right w:val="single" w:sz="4" w:space="0" w:color="auto"/>
            </w:tcBorders>
            <w:shd w:val="clear" w:color="auto" w:fill="auto"/>
            <w:noWrap/>
            <w:vAlign w:val="center"/>
            <w:hideMark/>
          </w:tcPr>
          <w:p w14:paraId="7CB811C9" w14:textId="77777777" w:rsidR="00BE3320" w:rsidRPr="00AB315F" w:rsidRDefault="00BE3320" w:rsidP="00BE3320">
            <w:pPr>
              <w:jc w:val="center"/>
              <w:rPr>
                <w:rFonts w:ascii="Calibri" w:hAnsi="Calibri"/>
                <w:sz w:val="22"/>
                <w:szCs w:val="22"/>
              </w:rPr>
            </w:pPr>
            <w:r w:rsidRPr="00AB315F">
              <w:rPr>
                <w:rFonts w:ascii="Calibri" w:hAnsi="Calibri"/>
                <w:sz w:val="22"/>
                <w:szCs w:val="22"/>
              </w:rPr>
              <w:t>0,458</w:t>
            </w:r>
          </w:p>
        </w:tc>
        <w:tc>
          <w:tcPr>
            <w:tcW w:w="927" w:type="dxa"/>
            <w:tcBorders>
              <w:top w:val="nil"/>
              <w:left w:val="nil"/>
              <w:bottom w:val="nil"/>
              <w:right w:val="single" w:sz="4" w:space="0" w:color="auto"/>
            </w:tcBorders>
            <w:shd w:val="clear" w:color="auto" w:fill="auto"/>
            <w:noWrap/>
            <w:vAlign w:val="center"/>
            <w:hideMark/>
          </w:tcPr>
          <w:p w14:paraId="3C8F5729" w14:textId="77777777" w:rsidR="00BE3320" w:rsidRPr="00AB315F" w:rsidRDefault="00BE3320" w:rsidP="00BE3320">
            <w:pPr>
              <w:jc w:val="center"/>
              <w:rPr>
                <w:rFonts w:ascii="Calibri" w:hAnsi="Calibri"/>
                <w:sz w:val="22"/>
                <w:szCs w:val="22"/>
              </w:rPr>
            </w:pPr>
            <w:r w:rsidRPr="00AB315F">
              <w:rPr>
                <w:rFonts w:ascii="Calibri" w:hAnsi="Calibri"/>
                <w:sz w:val="22"/>
                <w:szCs w:val="22"/>
              </w:rPr>
              <w:t>0,453</w:t>
            </w:r>
          </w:p>
        </w:tc>
        <w:tc>
          <w:tcPr>
            <w:tcW w:w="927" w:type="dxa"/>
            <w:tcBorders>
              <w:top w:val="nil"/>
              <w:left w:val="nil"/>
              <w:bottom w:val="nil"/>
              <w:right w:val="single" w:sz="4" w:space="0" w:color="auto"/>
            </w:tcBorders>
            <w:shd w:val="clear" w:color="auto" w:fill="auto"/>
            <w:noWrap/>
            <w:vAlign w:val="center"/>
            <w:hideMark/>
          </w:tcPr>
          <w:p w14:paraId="620FA592" w14:textId="77777777" w:rsidR="00BE3320" w:rsidRPr="00AB315F" w:rsidRDefault="00BE3320" w:rsidP="00BE3320">
            <w:pPr>
              <w:jc w:val="center"/>
              <w:rPr>
                <w:rFonts w:ascii="Calibri" w:hAnsi="Calibri"/>
                <w:sz w:val="22"/>
                <w:szCs w:val="22"/>
              </w:rPr>
            </w:pPr>
            <w:r w:rsidRPr="00AB315F">
              <w:rPr>
                <w:rFonts w:ascii="Calibri" w:hAnsi="Calibri"/>
                <w:sz w:val="22"/>
                <w:szCs w:val="22"/>
              </w:rPr>
              <w:t>0,598</w:t>
            </w:r>
          </w:p>
        </w:tc>
        <w:tc>
          <w:tcPr>
            <w:tcW w:w="927" w:type="dxa"/>
            <w:tcBorders>
              <w:top w:val="nil"/>
              <w:left w:val="nil"/>
              <w:bottom w:val="nil"/>
              <w:right w:val="nil"/>
            </w:tcBorders>
            <w:shd w:val="clear" w:color="auto" w:fill="auto"/>
            <w:noWrap/>
            <w:vAlign w:val="center"/>
            <w:hideMark/>
          </w:tcPr>
          <w:p w14:paraId="0D4FBE8A" w14:textId="77777777" w:rsidR="00BE3320" w:rsidRPr="00AB315F" w:rsidRDefault="00BE3320" w:rsidP="00BE3320">
            <w:pPr>
              <w:jc w:val="center"/>
              <w:rPr>
                <w:rFonts w:ascii="Calibri" w:hAnsi="Calibri"/>
                <w:sz w:val="22"/>
                <w:szCs w:val="22"/>
              </w:rPr>
            </w:pPr>
            <w:r w:rsidRPr="00AB315F">
              <w:rPr>
                <w:rFonts w:ascii="Calibri" w:hAnsi="Calibri"/>
                <w:sz w:val="22"/>
                <w:szCs w:val="22"/>
              </w:rPr>
              <w:t>0,517</w:t>
            </w:r>
          </w:p>
        </w:tc>
      </w:tr>
      <w:tr w:rsidR="00BE3320" w:rsidRPr="00AB315F" w14:paraId="09B3BE91"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7FA39C4E" w14:textId="77777777" w:rsidR="00BE3320" w:rsidRPr="00AB315F" w:rsidRDefault="00BE3320" w:rsidP="00BE3320">
            <w:pPr>
              <w:rPr>
                <w:rFonts w:ascii="Calibri" w:hAnsi="Calibri"/>
                <w:sz w:val="22"/>
                <w:szCs w:val="22"/>
              </w:rPr>
            </w:pPr>
            <w:r w:rsidRPr="00AB315F">
              <w:rPr>
                <w:rFonts w:ascii="Calibri" w:hAnsi="Calibri"/>
                <w:sz w:val="22"/>
                <w:szCs w:val="22"/>
              </w:rPr>
              <w:t>KMO</w:t>
            </w:r>
          </w:p>
        </w:tc>
        <w:tc>
          <w:tcPr>
            <w:tcW w:w="927" w:type="dxa"/>
            <w:tcBorders>
              <w:top w:val="nil"/>
              <w:left w:val="nil"/>
              <w:bottom w:val="nil"/>
              <w:right w:val="single" w:sz="4" w:space="0" w:color="auto"/>
            </w:tcBorders>
            <w:shd w:val="clear" w:color="auto" w:fill="auto"/>
            <w:noWrap/>
            <w:vAlign w:val="center"/>
            <w:hideMark/>
          </w:tcPr>
          <w:p w14:paraId="42B0617C" w14:textId="77777777" w:rsidR="00BE3320" w:rsidRPr="00AB315F" w:rsidRDefault="00BE3320" w:rsidP="00BE3320">
            <w:pPr>
              <w:jc w:val="center"/>
              <w:rPr>
                <w:rFonts w:ascii="Calibri" w:hAnsi="Calibri"/>
                <w:sz w:val="22"/>
                <w:szCs w:val="22"/>
              </w:rPr>
            </w:pPr>
            <w:r w:rsidRPr="00AB315F">
              <w:rPr>
                <w:rFonts w:ascii="Calibri" w:hAnsi="Calibri"/>
                <w:sz w:val="22"/>
                <w:szCs w:val="22"/>
              </w:rPr>
              <w:t>0,695</w:t>
            </w:r>
          </w:p>
        </w:tc>
        <w:tc>
          <w:tcPr>
            <w:tcW w:w="927" w:type="dxa"/>
            <w:tcBorders>
              <w:top w:val="nil"/>
              <w:left w:val="nil"/>
              <w:bottom w:val="nil"/>
              <w:right w:val="single" w:sz="4" w:space="0" w:color="auto"/>
            </w:tcBorders>
            <w:shd w:val="clear" w:color="auto" w:fill="auto"/>
            <w:noWrap/>
            <w:vAlign w:val="center"/>
            <w:hideMark/>
          </w:tcPr>
          <w:p w14:paraId="0398A359" w14:textId="77777777" w:rsidR="00BE3320" w:rsidRPr="00AB315F" w:rsidRDefault="00BE3320" w:rsidP="00BE3320">
            <w:pPr>
              <w:jc w:val="center"/>
              <w:rPr>
                <w:rFonts w:ascii="Calibri" w:hAnsi="Calibri"/>
                <w:sz w:val="22"/>
                <w:szCs w:val="22"/>
              </w:rPr>
            </w:pPr>
            <w:r w:rsidRPr="00AB315F">
              <w:rPr>
                <w:rFonts w:ascii="Calibri" w:hAnsi="Calibri"/>
                <w:sz w:val="22"/>
                <w:szCs w:val="22"/>
              </w:rPr>
              <w:t>0,617</w:t>
            </w:r>
          </w:p>
        </w:tc>
        <w:tc>
          <w:tcPr>
            <w:tcW w:w="927" w:type="dxa"/>
            <w:tcBorders>
              <w:top w:val="nil"/>
              <w:left w:val="nil"/>
              <w:bottom w:val="nil"/>
              <w:right w:val="single" w:sz="4" w:space="0" w:color="auto"/>
            </w:tcBorders>
            <w:shd w:val="clear" w:color="auto" w:fill="auto"/>
            <w:noWrap/>
            <w:vAlign w:val="center"/>
            <w:hideMark/>
          </w:tcPr>
          <w:p w14:paraId="11BF43E2" w14:textId="77777777" w:rsidR="00BE3320" w:rsidRPr="00AB315F" w:rsidRDefault="00BE3320" w:rsidP="00BE3320">
            <w:pPr>
              <w:jc w:val="center"/>
              <w:rPr>
                <w:rFonts w:ascii="Calibri" w:hAnsi="Calibri"/>
                <w:sz w:val="22"/>
                <w:szCs w:val="22"/>
              </w:rPr>
            </w:pPr>
            <w:r w:rsidRPr="00AB315F">
              <w:rPr>
                <w:rFonts w:ascii="Calibri" w:hAnsi="Calibri"/>
                <w:sz w:val="22"/>
                <w:szCs w:val="22"/>
              </w:rPr>
              <w:t>0,673</w:t>
            </w:r>
          </w:p>
        </w:tc>
        <w:tc>
          <w:tcPr>
            <w:tcW w:w="927" w:type="dxa"/>
            <w:tcBorders>
              <w:top w:val="nil"/>
              <w:left w:val="nil"/>
              <w:bottom w:val="nil"/>
              <w:right w:val="single" w:sz="4" w:space="0" w:color="auto"/>
            </w:tcBorders>
            <w:shd w:val="clear" w:color="auto" w:fill="auto"/>
            <w:noWrap/>
            <w:vAlign w:val="center"/>
            <w:hideMark/>
          </w:tcPr>
          <w:p w14:paraId="719BF191" w14:textId="77777777" w:rsidR="00BE3320" w:rsidRPr="00AB315F" w:rsidRDefault="00BE3320" w:rsidP="00BE3320">
            <w:pPr>
              <w:jc w:val="center"/>
              <w:rPr>
                <w:rFonts w:ascii="Calibri" w:hAnsi="Calibri"/>
                <w:sz w:val="22"/>
                <w:szCs w:val="22"/>
              </w:rPr>
            </w:pPr>
            <w:r w:rsidRPr="00AB315F">
              <w:rPr>
                <w:rFonts w:ascii="Calibri" w:hAnsi="Calibri"/>
                <w:sz w:val="22"/>
                <w:szCs w:val="22"/>
              </w:rPr>
              <w:t>0,671</w:t>
            </w:r>
          </w:p>
        </w:tc>
        <w:tc>
          <w:tcPr>
            <w:tcW w:w="927" w:type="dxa"/>
            <w:tcBorders>
              <w:top w:val="nil"/>
              <w:left w:val="nil"/>
              <w:bottom w:val="nil"/>
              <w:right w:val="single" w:sz="4" w:space="0" w:color="auto"/>
            </w:tcBorders>
            <w:shd w:val="clear" w:color="auto" w:fill="auto"/>
            <w:noWrap/>
            <w:vAlign w:val="center"/>
            <w:hideMark/>
          </w:tcPr>
          <w:p w14:paraId="068F37EC" w14:textId="77777777" w:rsidR="00BE3320" w:rsidRPr="00AB315F" w:rsidRDefault="00BE3320" w:rsidP="00BE3320">
            <w:pPr>
              <w:jc w:val="center"/>
              <w:rPr>
                <w:rFonts w:ascii="Calibri" w:hAnsi="Calibri"/>
                <w:sz w:val="22"/>
                <w:szCs w:val="22"/>
              </w:rPr>
            </w:pPr>
            <w:r w:rsidRPr="00AB315F">
              <w:rPr>
                <w:rFonts w:ascii="Calibri" w:hAnsi="Calibri"/>
                <w:sz w:val="22"/>
                <w:szCs w:val="22"/>
              </w:rPr>
              <w:t>0,708</w:t>
            </w:r>
          </w:p>
        </w:tc>
        <w:tc>
          <w:tcPr>
            <w:tcW w:w="927" w:type="dxa"/>
            <w:tcBorders>
              <w:top w:val="nil"/>
              <w:left w:val="nil"/>
              <w:bottom w:val="nil"/>
              <w:right w:val="nil"/>
            </w:tcBorders>
            <w:shd w:val="clear" w:color="auto" w:fill="auto"/>
            <w:noWrap/>
            <w:vAlign w:val="center"/>
            <w:hideMark/>
          </w:tcPr>
          <w:p w14:paraId="3F61101B" w14:textId="77777777" w:rsidR="00BE3320" w:rsidRPr="00AB315F" w:rsidRDefault="00BE3320" w:rsidP="00BE3320">
            <w:pPr>
              <w:jc w:val="center"/>
              <w:rPr>
                <w:rFonts w:ascii="Calibri" w:hAnsi="Calibri"/>
                <w:sz w:val="22"/>
                <w:szCs w:val="22"/>
              </w:rPr>
            </w:pPr>
            <w:r w:rsidRPr="00AB315F">
              <w:rPr>
                <w:rFonts w:ascii="Calibri" w:hAnsi="Calibri"/>
                <w:sz w:val="22"/>
                <w:szCs w:val="22"/>
              </w:rPr>
              <w:t>0,639</w:t>
            </w:r>
          </w:p>
        </w:tc>
      </w:tr>
      <w:tr w:rsidR="00BE3320" w:rsidRPr="00AB315F" w14:paraId="43D1843F"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4FA28396" w14:textId="77777777" w:rsidR="00BE3320" w:rsidRPr="00AB315F" w:rsidRDefault="00BE3320" w:rsidP="00BE3320">
            <w:pPr>
              <w:rPr>
                <w:rFonts w:ascii="Calibri" w:hAnsi="Calibri"/>
                <w:sz w:val="22"/>
                <w:szCs w:val="22"/>
              </w:rPr>
            </w:pPr>
            <w:r w:rsidRPr="00AB315F">
              <w:rPr>
                <w:rFonts w:ascii="Calibri" w:hAnsi="Calibri"/>
                <w:sz w:val="22"/>
                <w:szCs w:val="22"/>
              </w:rPr>
              <w:t>Alpha</w:t>
            </w:r>
          </w:p>
        </w:tc>
        <w:tc>
          <w:tcPr>
            <w:tcW w:w="927" w:type="dxa"/>
            <w:tcBorders>
              <w:top w:val="nil"/>
              <w:left w:val="nil"/>
              <w:bottom w:val="nil"/>
              <w:right w:val="single" w:sz="4" w:space="0" w:color="auto"/>
            </w:tcBorders>
            <w:shd w:val="clear" w:color="auto" w:fill="auto"/>
            <w:noWrap/>
            <w:vAlign w:val="center"/>
            <w:hideMark/>
          </w:tcPr>
          <w:p w14:paraId="289EF333" w14:textId="77777777" w:rsidR="00BE3320" w:rsidRPr="00AB315F" w:rsidRDefault="00BE3320" w:rsidP="00BE3320">
            <w:pPr>
              <w:jc w:val="center"/>
              <w:rPr>
                <w:rFonts w:ascii="Calibri" w:hAnsi="Calibri"/>
                <w:sz w:val="22"/>
                <w:szCs w:val="22"/>
              </w:rPr>
            </w:pPr>
            <w:r w:rsidRPr="00AB315F">
              <w:rPr>
                <w:rFonts w:ascii="Calibri" w:hAnsi="Calibri"/>
                <w:sz w:val="22"/>
                <w:szCs w:val="22"/>
              </w:rPr>
              <w:t>0,658</w:t>
            </w:r>
          </w:p>
        </w:tc>
        <w:tc>
          <w:tcPr>
            <w:tcW w:w="927" w:type="dxa"/>
            <w:tcBorders>
              <w:top w:val="nil"/>
              <w:left w:val="nil"/>
              <w:bottom w:val="nil"/>
              <w:right w:val="single" w:sz="4" w:space="0" w:color="auto"/>
            </w:tcBorders>
            <w:shd w:val="clear" w:color="auto" w:fill="auto"/>
            <w:noWrap/>
            <w:vAlign w:val="center"/>
            <w:hideMark/>
          </w:tcPr>
          <w:p w14:paraId="74E4BFF8" w14:textId="77777777" w:rsidR="00BE3320" w:rsidRPr="00AB315F" w:rsidRDefault="00BE3320" w:rsidP="00BE3320">
            <w:pPr>
              <w:jc w:val="center"/>
              <w:rPr>
                <w:rFonts w:ascii="Calibri" w:hAnsi="Calibri"/>
                <w:sz w:val="22"/>
                <w:szCs w:val="22"/>
              </w:rPr>
            </w:pPr>
            <w:r w:rsidRPr="00AB315F">
              <w:rPr>
                <w:rFonts w:ascii="Calibri" w:hAnsi="Calibri"/>
                <w:sz w:val="22"/>
                <w:szCs w:val="22"/>
              </w:rPr>
              <w:t>0,494</w:t>
            </w:r>
          </w:p>
        </w:tc>
        <w:tc>
          <w:tcPr>
            <w:tcW w:w="927" w:type="dxa"/>
            <w:tcBorders>
              <w:top w:val="nil"/>
              <w:left w:val="nil"/>
              <w:bottom w:val="nil"/>
              <w:right w:val="single" w:sz="4" w:space="0" w:color="auto"/>
            </w:tcBorders>
            <w:shd w:val="clear" w:color="auto" w:fill="auto"/>
            <w:noWrap/>
            <w:vAlign w:val="center"/>
            <w:hideMark/>
          </w:tcPr>
          <w:p w14:paraId="06A58223" w14:textId="77777777" w:rsidR="00BE3320" w:rsidRPr="00AB315F" w:rsidRDefault="00BE3320" w:rsidP="00BE3320">
            <w:pPr>
              <w:jc w:val="center"/>
              <w:rPr>
                <w:rFonts w:ascii="Calibri" w:hAnsi="Calibri"/>
                <w:sz w:val="22"/>
                <w:szCs w:val="22"/>
              </w:rPr>
            </w:pPr>
            <w:r w:rsidRPr="00AB315F">
              <w:rPr>
                <w:rFonts w:ascii="Calibri" w:hAnsi="Calibri"/>
                <w:sz w:val="22"/>
                <w:szCs w:val="22"/>
              </w:rPr>
              <w:t>0,585</w:t>
            </w:r>
          </w:p>
        </w:tc>
        <w:tc>
          <w:tcPr>
            <w:tcW w:w="927" w:type="dxa"/>
            <w:tcBorders>
              <w:top w:val="nil"/>
              <w:left w:val="nil"/>
              <w:bottom w:val="nil"/>
              <w:right w:val="single" w:sz="4" w:space="0" w:color="auto"/>
            </w:tcBorders>
            <w:shd w:val="clear" w:color="auto" w:fill="auto"/>
            <w:noWrap/>
            <w:vAlign w:val="center"/>
            <w:hideMark/>
          </w:tcPr>
          <w:p w14:paraId="167E21B4" w14:textId="77777777" w:rsidR="00BE3320" w:rsidRPr="00AB315F" w:rsidRDefault="00BE3320" w:rsidP="00BE3320">
            <w:pPr>
              <w:jc w:val="center"/>
              <w:rPr>
                <w:rFonts w:ascii="Calibri" w:hAnsi="Calibri"/>
                <w:sz w:val="22"/>
                <w:szCs w:val="22"/>
              </w:rPr>
            </w:pPr>
            <w:r w:rsidRPr="00AB315F">
              <w:rPr>
                <w:rFonts w:ascii="Calibri" w:hAnsi="Calibri"/>
                <w:sz w:val="22"/>
                <w:szCs w:val="22"/>
              </w:rPr>
              <w:t>0,548</w:t>
            </w:r>
          </w:p>
        </w:tc>
        <w:tc>
          <w:tcPr>
            <w:tcW w:w="927" w:type="dxa"/>
            <w:tcBorders>
              <w:top w:val="nil"/>
              <w:left w:val="nil"/>
              <w:bottom w:val="nil"/>
              <w:right w:val="single" w:sz="4" w:space="0" w:color="auto"/>
            </w:tcBorders>
            <w:shd w:val="clear" w:color="auto" w:fill="auto"/>
            <w:noWrap/>
            <w:vAlign w:val="center"/>
            <w:hideMark/>
          </w:tcPr>
          <w:p w14:paraId="7FDFB793" w14:textId="77777777" w:rsidR="00BE3320" w:rsidRPr="00AB315F" w:rsidRDefault="00BE3320" w:rsidP="00BE3320">
            <w:pPr>
              <w:jc w:val="center"/>
              <w:rPr>
                <w:rFonts w:ascii="Calibri" w:hAnsi="Calibri"/>
                <w:sz w:val="22"/>
                <w:szCs w:val="22"/>
              </w:rPr>
            </w:pPr>
            <w:r w:rsidRPr="00AB315F">
              <w:rPr>
                <w:rFonts w:ascii="Calibri" w:hAnsi="Calibri"/>
                <w:sz w:val="22"/>
                <w:szCs w:val="22"/>
              </w:rPr>
              <w:t>0,693</w:t>
            </w:r>
          </w:p>
        </w:tc>
        <w:tc>
          <w:tcPr>
            <w:tcW w:w="927" w:type="dxa"/>
            <w:tcBorders>
              <w:top w:val="nil"/>
              <w:left w:val="nil"/>
              <w:bottom w:val="nil"/>
              <w:right w:val="nil"/>
            </w:tcBorders>
            <w:shd w:val="clear" w:color="auto" w:fill="auto"/>
            <w:noWrap/>
            <w:vAlign w:val="center"/>
            <w:hideMark/>
          </w:tcPr>
          <w:p w14:paraId="449283A7" w14:textId="77777777" w:rsidR="00BE3320" w:rsidRPr="00AB315F" w:rsidRDefault="00BE3320" w:rsidP="00BE3320">
            <w:pPr>
              <w:jc w:val="center"/>
              <w:rPr>
                <w:rFonts w:ascii="Calibri" w:hAnsi="Calibri"/>
                <w:sz w:val="22"/>
                <w:szCs w:val="22"/>
              </w:rPr>
            </w:pPr>
            <w:r w:rsidRPr="00AB315F">
              <w:rPr>
                <w:rFonts w:ascii="Calibri" w:hAnsi="Calibri"/>
                <w:sz w:val="22"/>
                <w:szCs w:val="22"/>
              </w:rPr>
              <w:t>0,594</w:t>
            </w:r>
          </w:p>
        </w:tc>
      </w:tr>
      <w:tr w:rsidR="00BE3320" w:rsidRPr="00AB315F" w14:paraId="1775639D" w14:textId="77777777" w:rsidTr="0094228B">
        <w:trPr>
          <w:trHeight w:val="290"/>
          <w:jc w:val="center"/>
        </w:trPr>
        <w:tc>
          <w:tcPr>
            <w:tcW w:w="1102" w:type="dxa"/>
            <w:tcBorders>
              <w:top w:val="single" w:sz="4" w:space="0" w:color="auto"/>
              <w:left w:val="nil"/>
              <w:bottom w:val="single" w:sz="4" w:space="0" w:color="auto"/>
              <w:right w:val="single" w:sz="4" w:space="0" w:color="auto"/>
            </w:tcBorders>
            <w:shd w:val="clear" w:color="auto" w:fill="auto"/>
            <w:noWrap/>
            <w:vAlign w:val="bottom"/>
            <w:hideMark/>
          </w:tcPr>
          <w:p w14:paraId="57CB31E9" w14:textId="77777777" w:rsidR="00BE3320" w:rsidRPr="00AB315F" w:rsidRDefault="00BE3320" w:rsidP="00BE3320">
            <w:pPr>
              <w:rPr>
                <w:rFonts w:ascii="Calibri" w:hAnsi="Calibri"/>
                <w:sz w:val="22"/>
                <w:szCs w:val="22"/>
              </w:rPr>
            </w:pPr>
            <w:r w:rsidRPr="00AB315F">
              <w:rPr>
                <w:rFonts w:ascii="Calibri" w:hAnsi="Calibri"/>
                <w:sz w:val="22"/>
                <w:szCs w:val="22"/>
              </w:rPr>
              <w:t> </w:t>
            </w:r>
          </w:p>
        </w:tc>
        <w:tc>
          <w:tcPr>
            <w:tcW w:w="5562" w:type="dxa"/>
            <w:gridSpan w:val="6"/>
            <w:tcBorders>
              <w:top w:val="single" w:sz="4" w:space="0" w:color="auto"/>
              <w:left w:val="nil"/>
              <w:bottom w:val="single" w:sz="4" w:space="0" w:color="auto"/>
              <w:right w:val="nil"/>
            </w:tcBorders>
            <w:shd w:val="clear" w:color="auto" w:fill="auto"/>
            <w:noWrap/>
            <w:vAlign w:val="center"/>
            <w:hideMark/>
          </w:tcPr>
          <w:p w14:paraId="2946AD5C" w14:textId="77777777" w:rsidR="00BE3320" w:rsidRPr="00AB315F" w:rsidRDefault="00BE3320" w:rsidP="00BE3320">
            <w:pPr>
              <w:jc w:val="center"/>
              <w:rPr>
                <w:rFonts w:ascii="Calibri" w:hAnsi="Calibri"/>
                <w:b/>
                <w:bCs/>
                <w:sz w:val="22"/>
                <w:szCs w:val="22"/>
              </w:rPr>
            </w:pPr>
            <w:r w:rsidRPr="00AB315F">
              <w:rPr>
                <w:rFonts w:ascii="Calibri" w:hAnsi="Calibri"/>
                <w:b/>
                <w:bCs/>
                <w:sz w:val="22"/>
                <w:szCs w:val="22"/>
              </w:rPr>
              <w:t>Brasil</w:t>
            </w:r>
          </w:p>
        </w:tc>
      </w:tr>
      <w:tr w:rsidR="00BE3320" w:rsidRPr="00AB315F" w14:paraId="3EF488F7"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0D7B3290" w14:textId="77777777" w:rsidR="00BE3320" w:rsidRPr="00AB315F" w:rsidRDefault="00BE3320" w:rsidP="00BE3320">
            <w:pPr>
              <w:rPr>
                <w:rFonts w:ascii="Calibri" w:hAnsi="Calibri"/>
                <w:sz w:val="22"/>
                <w:szCs w:val="22"/>
              </w:rPr>
            </w:pPr>
            <w:r w:rsidRPr="00AB315F">
              <w:rPr>
                <w:rFonts w:ascii="Calibri" w:hAnsi="Calibri"/>
                <w:sz w:val="22"/>
                <w:szCs w:val="22"/>
              </w:rPr>
              <w:t>Fatores</w:t>
            </w:r>
          </w:p>
        </w:tc>
        <w:tc>
          <w:tcPr>
            <w:tcW w:w="927" w:type="dxa"/>
            <w:tcBorders>
              <w:top w:val="nil"/>
              <w:left w:val="nil"/>
              <w:bottom w:val="nil"/>
              <w:right w:val="single" w:sz="4" w:space="0" w:color="auto"/>
            </w:tcBorders>
            <w:shd w:val="clear" w:color="auto" w:fill="auto"/>
            <w:noWrap/>
            <w:vAlign w:val="center"/>
            <w:hideMark/>
          </w:tcPr>
          <w:p w14:paraId="4A4F7E73"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66B2EE32"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7968EDFF" w14:textId="77777777" w:rsidR="00BE3320" w:rsidRPr="00AB315F" w:rsidRDefault="00BE3320" w:rsidP="00BE3320">
            <w:pPr>
              <w:jc w:val="center"/>
              <w:rPr>
                <w:rFonts w:ascii="Calibri" w:hAnsi="Calibri"/>
                <w:sz w:val="22"/>
                <w:szCs w:val="22"/>
              </w:rPr>
            </w:pPr>
            <w:r w:rsidRPr="00AB315F">
              <w:rPr>
                <w:rFonts w:ascii="Calibri" w:hAnsi="Calibri"/>
                <w:sz w:val="22"/>
                <w:szCs w:val="22"/>
              </w:rPr>
              <w:t>-</w:t>
            </w:r>
          </w:p>
        </w:tc>
        <w:tc>
          <w:tcPr>
            <w:tcW w:w="927" w:type="dxa"/>
            <w:tcBorders>
              <w:top w:val="nil"/>
              <w:left w:val="nil"/>
              <w:bottom w:val="nil"/>
              <w:right w:val="single" w:sz="4" w:space="0" w:color="auto"/>
            </w:tcBorders>
            <w:shd w:val="clear" w:color="auto" w:fill="auto"/>
            <w:noWrap/>
            <w:vAlign w:val="center"/>
            <w:hideMark/>
          </w:tcPr>
          <w:p w14:paraId="497F36D0"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3066A80C"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nil"/>
            </w:tcBorders>
            <w:shd w:val="clear" w:color="auto" w:fill="auto"/>
            <w:noWrap/>
            <w:vAlign w:val="center"/>
            <w:hideMark/>
          </w:tcPr>
          <w:p w14:paraId="6D49B012"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r>
      <w:tr w:rsidR="00BE3320" w:rsidRPr="00AB315F" w14:paraId="137E5077"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46375142" w14:textId="77777777" w:rsidR="00BE3320" w:rsidRPr="00AB315F" w:rsidRDefault="00BE3320" w:rsidP="00BE3320">
            <w:pPr>
              <w:rPr>
                <w:rFonts w:ascii="Calibri" w:hAnsi="Calibri"/>
                <w:sz w:val="22"/>
                <w:szCs w:val="22"/>
              </w:rPr>
            </w:pPr>
            <w:r w:rsidRPr="00AB315F">
              <w:rPr>
                <w:rFonts w:ascii="Calibri" w:hAnsi="Calibri"/>
                <w:sz w:val="22"/>
                <w:szCs w:val="22"/>
              </w:rPr>
              <w:t>Var. Expl.</w:t>
            </w:r>
          </w:p>
        </w:tc>
        <w:tc>
          <w:tcPr>
            <w:tcW w:w="927" w:type="dxa"/>
            <w:tcBorders>
              <w:top w:val="nil"/>
              <w:left w:val="nil"/>
              <w:bottom w:val="nil"/>
              <w:right w:val="single" w:sz="4" w:space="0" w:color="auto"/>
            </w:tcBorders>
            <w:shd w:val="clear" w:color="auto" w:fill="auto"/>
            <w:noWrap/>
            <w:vAlign w:val="center"/>
            <w:hideMark/>
          </w:tcPr>
          <w:p w14:paraId="53352F89"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3A6D7D73"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15728716" w14:textId="77777777" w:rsidR="00BE3320" w:rsidRPr="00AB315F" w:rsidRDefault="00BE3320" w:rsidP="00BE3320">
            <w:pPr>
              <w:jc w:val="center"/>
              <w:rPr>
                <w:rFonts w:ascii="Calibri" w:hAnsi="Calibri"/>
                <w:sz w:val="22"/>
                <w:szCs w:val="22"/>
              </w:rPr>
            </w:pPr>
            <w:r w:rsidRPr="00AB315F">
              <w:rPr>
                <w:rFonts w:ascii="Calibri" w:hAnsi="Calibri"/>
                <w:sz w:val="22"/>
                <w:szCs w:val="22"/>
              </w:rPr>
              <w:t>-</w:t>
            </w:r>
          </w:p>
        </w:tc>
        <w:tc>
          <w:tcPr>
            <w:tcW w:w="927" w:type="dxa"/>
            <w:tcBorders>
              <w:top w:val="nil"/>
              <w:left w:val="nil"/>
              <w:bottom w:val="nil"/>
              <w:right w:val="single" w:sz="4" w:space="0" w:color="auto"/>
            </w:tcBorders>
            <w:shd w:val="clear" w:color="auto" w:fill="auto"/>
            <w:noWrap/>
            <w:vAlign w:val="center"/>
            <w:hideMark/>
          </w:tcPr>
          <w:p w14:paraId="65B51674"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6F2B5A92" w14:textId="77777777" w:rsidR="00BE3320" w:rsidRPr="00AB315F" w:rsidRDefault="00BE3320" w:rsidP="00BE3320">
            <w:pPr>
              <w:jc w:val="center"/>
              <w:rPr>
                <w:rFonts w:ascii="Calibri" w:hAnsi="Calibri"/>
                <w:sz w:val="22"/>
                <w:szCs w:val="22"/>
              </w:rPr>
            </w:pPr>
            <w:r w:rsidRPr="00AB315F">
              <w:rPr>
                <w:rFonts w:ascii="Calibri" w:hAnsi="Calibri"/>
                <w:sz w:val="22"/>
                <w:szCs w:val="22"/>
              </w:rPr>
              <w:t>0,433</w:t>
            </w:r>
          </w:p>
        </w:tc>
        <w:tc>
          <w:tcPr>
            <w:tcW w:w="927" w:type="dxa"/>
            <w:tcBorders>
              <w:top w:val="nil"/>
              <w:left w:val="nil"/>
              <w:bottom w:val="nil"/>
              <w:right w:val="nil"/>
            </w:tcBorders>
            <w:shd w:val="clear" w:color="auto" w:fill="auto"/>
            <w:noWrap/>
            <w:vAlign w:val="center"/>
            <w:hideMark/>
          </w:tcPr>
          <w:p w14:paraId="6D3E8B99" w14:textId="77777777" w:rsidR="00BE3320" w:rsidRPr="00AB315F" w:rsidRDefault="00BE3320" w:rsidP="00BE3320">
            <w:pPr>
              <w:jc w:val="center"/>
              <w:rPr>
                <w:rFonts w:ascii="Calibri" w:hAnsi="Calibri"/>
                <w:sz w:val="22"/>
                <w:szCs w:val="22"/>
              </w:rPr>
            </w:pPr>
            <w:r w:rsidRPr="00AB315F">
              <w:rPr>
                <w:rFonts w:ascii="Calibri" w:hAnsi="Calibri"/>
                <w:sz w:val="22"/>
                <w:szCs w:val="22"/>
              </w:rPr>
              <w:t>0,446</w:t>
            </w:r>
          </w:p>
        </w:tc>
      </w:tr>
      <w:tr w:rsidR="00BE3320" w:rsidRPr="00AB315F" w14:paraId="45628E12"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6FE19DA6" w14:textId="77777777" w:rsidR="00BE3320" w:rsidRPr="00AB315F" w:rsidRDefault="00BE3320" w:rsidP="00BE3320">
            <w:pPr>
              <w:rPr>
                <w:rFonts w:ascii="Calibri" w:hAnsi="Calibri"/>
                <w:sz w:val="22"/>
                <w:szCs w:val="22"/>
              </w:rPr>
            </w:pPr>
            <w:r w:rsidRPr="00AB315F">
              <w:rPr>
                <w:rFonts w:ascii="Calibri" w:hAnsi="Calibri"/>
                <w:sz w:val="22"/>
                <w:szCs w:val="22"/>
              </w:rPr>
              <w:t>KMO</w:t>
            </w:r>
          </w:p>
        </w:tc>
        <w:tc>
          <w:tcPr>
            <w:tcW w:w="927" w:type="dxa"/>
            <w:tcBorders>
              <w:top w:val="nil"/>
              <w:left w:val="nil"/>
              <w:bottom w:val="nil"/>
              <w:right w:val="single" w:sz="4" w:space="0" w:color="auto"/>
            </w:tcBorders>
            <w:shd w:val="clear" w:color="auto" w:fill="auto"/>
            <w:noWrap/>
            <w:vAlign w:val="center"/>
            <w:hideMark/>
          </w:tcPr>
          <w:p w14:paraId="3D69E0E4"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21E560C6"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77BE4C84" w14:textId="77777777" w:rsidR="00BE3320" w:rsidRPr="00AB315F" w:rsidRDefault="00BE3320" w:rsidP="00BE3320">
            <w:pPr>
              <w:jc w:val="center"/>
              <w:rPr>
                <w:rFonts w:ascii="Calibri" w:hAnsi="Calibri"/>
                <w:sz w:val="22"/>
                <w:szCs w:val="22"/>
              </w:rPr>
            </w:pPr>
            <w:r w:rsidRPr="00AB315F">
              <w:rPr>
                <w:rFonts w:ascii="Calibri" w:hAnsi="Calibri"/>
                <w:sz w:val="22"/>
                <w:szCs w:val="22"/>
              </w:rPr>
              <w:t>-</w:t>
            </w:r>
          </w:p>
        </w:tc>
        <w:tc>
          <w:tcPr>
            <w:tcW w:w="927" w:type="dxa"/>
            <w:tcBorders>
              <w:top w:val="nil"/>
              <w:left w:val="nil"/>
              <w:bottom w:val="nil"/>
              <w:right w:val="single" w:sz="4" w:space="0" w:color="auto"/>
            </w:tcBorders>
            <w:shd w:val="clear" w:color="auto" w:fill="auto"/>
            <w:noWrap/>
            <w:vAlign w:val="center"/>
            <w:hideMark/>
          </w:tcPr>
          <w:p w14:paraId="5A8A53D2"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07BE807A" w14:textId="77777777" w:rsidR="00BE3320" w:rsidRPr="00AB315F" w:rsidRDefault="00BE3320" w:rsidP="00BE3320">
            <w:pPr>
              <w:jc w:val="center"/>
              <w:rPr>
                <w:rFonts w:ascii="Calibri" w:hAnsi="Calibri"/>
                <w:sz w:val="22"/>
                <w:szCs w:val="22"/>
              </w:rPr>
            </w:pPr>
            <w:r w:rsidRPr="00AB315F">
              <w:rPr>
                <w:rFonts w:ascii="Calibri" w:hAnsi="Calibri"/>
                <w:sz w:val="22"/>
                <w:szCs w:val="22"/>
              </w:rPr>
              <w:t>0,689</w:t>
            </w:r>
          </w:p>
        </w:tc>
        <w:tc>
          <w:tcPr>
            <w:tcW w:w="927" w:type="dxa"/>
            <w:tcBorders>
              <w:top w:val="nil"/>
              <w:left w:val="nil"/>
              <w:bottom w:val="nil"/>
              <w:right w:val="nil"/>
            </w:tcBorders>
            <w:shd w:val="clear" w:color="auto" w:fill="auto"/>
            <w:noWrap/>
            <w:vAlign w:val="center"/>
            <w:hideMark/>
          </w:tcPr>
          <w:p w14:paraId="32536BFD" w14:textId="77777777" w:rsidR="00BE3320" w:rsidRPr="00AB315F" w:rsidRDefault="00BE3320" w:rsidP="00BE3320">
            <w:pPr>
              <w:jc w:val="center"/>
              <w:rPr>
                <w:rFonts w:ascii="Calibri" w:hAnsi="Calibri"/>
                <w:sz w:val="22"/>
                <w:szCs w:val="22"/>
              </w:rPr>
            </w:pPr>
            <w:r w:rsidRPr="00AB315F">
              <w:rPr>
                <w:rFonts w:ascii="Calibri" w:hAnsi="Calibri"/>
                <w:sz w:val="22"/>
                <w:szCs w:val="22"/>
              </w:rPr>
              <w:t>0,733</w:t>
            </w:r>
          </w:p>
        </w:tc>
      </w:tr>
      <w:tr w:rsidR="00BE3320" w:rsidRPr="00AB315F" w14:paraId="2A047940"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70F1151D" w14:textId="77777777" w:rsidR="00BE3320" w:rsidRPr="00AB315F" w:rsidRDefault="00BE3320" w:rsidP="00BE3320">
            <w:pPr>
              <w:rPr>
                <w:rFonts w:ascii="Calibri" w:hAnsi="Calibri"/>
                <w:sz w:val="22"/>
                <w:szCs w:val="22"/>
              </w:rPr>
            </w:pPr>
            <w:r w:rsidRPr="00AB315F">
              <w:rPr>
                <w:rFonts w:ascii="Calibri" w:hAnsi="Calibri"/>
                <w:sz w:val="22"/>
                <w:szCs w:val="22"/>
              </w:rPr>
              <w:t>Alpha</w:t>
            </w:r>
          </w:p>
        </w:tc>
        <w:tc>
          <w:tcPr>
            <w:tcW w:w="927" w:type="dxa"/>
            <w:tcBorders>
              <w:top w:val="nil"/>
              <w:left w:val="nil"/>
              <w:bottom w:val="nil"/>
              <w:right w:val="single" w:sz="4" w:space="0" w:color="auto"/>
            </w:tcBorders>
            <w:shd w:val="clear" w:color="auto" w:fill="auto"/>
            <w:noWrap/>
            <w:vAlign w:val="center"/>
            <w:hideMark/>
          </w:tcPr>
          <w:p w14:paraId="6BC3EBCC"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5639F176"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07F11B8E" w14:textId="77777777" w:rsidR="00BE3320" w:rsidRPr="00AB315F" w:rsidRDefault="00BE3320" w:rsidP="00BE3320">
            <w:pPr>
              <w:jc w:val="center"/>
              <w:rPr>
                <w:rFonts w:ascii="Calibri" w:hAnsi="Calibri"/>
                <w:sz w:val="22"/>
                <w:szCs w:val="22"/>
              </w:rPr>
            </w:pPr>
            <w:r w:rsidRPr="00AB315F">
              <w:rPr>
                <w:rFonts w:ascii="Calibri" w:hAnsi="Calibri"/>
                <w:sz w:val="22"/>
                <w:szCs w:val="22"/>
              </w:rPr>
              <w:t>0,502</w:t>
            </w:r>
          </w:p>
        </w:tc>
        <w:tc>
          <w:tcPr>
            <w:tcW w:w="927" w:type="dxa"/>
            <w:tcBorders>
              <w:top w:val="nil"/>
              <w:left w:val="nil"/>
              <w:bottom w:val="nil"/>
              <w:right w:val="single" w:sz="4" w:space="0" w:color="auto"/>
            </w:tcBorders>
            <w:shd w:val="clear" w:color="auto" w:fill="auto"/>
            <w:noWrap/>
            <w:vAlign w:val="center"/>
            <w:hideMark/>
          </w:tcPr>
          <w:p w14:paraId="47BAC857" w14:textId="77777777" w:rsidR="00BE3320" w:rsidRPr="00AB315F" w:rsidRDefault="00BE3320" w:rsidP="00BE3320">
            <w:pPr>
              <w:jc w:val="cente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63A47C75" w14:textId="77777777" w:rsidR="00BE3320" w:rsidRPr="00AB315F" w:rsidRDefault="00BE3320" w:rsidP="00BE3320">
            <w:pPr>
              <w:jc w:val="center"/>
              <w:rPr>
                <w:rFonts w:ascii="Calibri" w:hAnsi="Calibri"/>
                <w:sz w:val="22"/>
                <w:szCs w:val="22"/>
              </w:rPr>
            </w:pPr>
            <w:r w:rsidRPr="00AB315F">
              <w:rPr>
                <w:rFonts w:ascii="Calibri" w:hAnsi="Calibri"/>
                <w:sz w:val="22"/>
                <w:szCs w:val="22"/>
              </w:rPr>
              <w:t>0,634</w:t>
            </w:r>
          </w:p>
        </w:tc>
        <w:tc>
          <w:tcPr>
            <w:tcW w:w="927" w:type="dxa"/>
            <w:tcBorders>
              <w:top w:val="nil"/>
              <w:left w:val="nil"/>
              <w:bottom w:val="nil"/>
              <w:right w:val="nil"/>
            </w:tcBorders>
            <w:shd w:val="clear" w:color="auto" w:fill="auto"/>
            <w:noWrap/>
            <w:vAlign w:val="center"/>
            <w:hideMark/>
          </w:tcPr>
          <w:p w14:paraId="38477FF4" w14:textId="77777777" w:rsidR="00BE3320" w:rsidRPr="00AB315F" w:rsidRDefault="00BE3320" w:rsidP="00BE3320">
            <w:pPr>
              <w:jc w:val="center"/>
              <w:rPr>
                <w:rFonts w:ascii="Calibri" w:hAnsi="Calibri"/>
                <w:sz w:val="22"/>
                <w:szCs w:val="22"/>
              </w:rPr>
            </w:pPr>
            <w:r w:rsidRPr="00AB315F">
              <w:rPr>
                <w:rFonts w:ascii="Calibri" w:hAnsi="Calibri"/>
                <w:sz w:val="22"/>
                <w:szCs w:val="22"/>
              </w:rPr>
              <w:t>0,662</w:t>
            </w:r>
          </w:p>
        </w:tc>
      </w:tr>
      <w:tr w:rsidR="00BE3320" w:rsidRPr="00AB315F" w14:paraId="1CB08042" w14:textId="77777777" w:rsidTr="0094228B">
        <w:trPr>
          <w:trHeight w:val="290"/>
          <w:jc w:val="center"/>
        </w:trPr>
        <w:tc>
          <w:tcPr>
            <w:tcW w:w="1102" w:type="dxa"/>
            <w:tcBorders>
              <w:top w:val="single" w:sz="4" w:space="0" w:color="auto"/>
              <w:left w:val="nil"/>
              <w:bottom w:val="single" w:sz="4" w:space="0" w:color="auto"/>
              <w:right w:val="single" w:sz="4" w:space="0" w:color="auto"/>
            </w:tcBorders>
            <w:shd w:val="clear" w:color="auto" w:fill="auto"/>
            <w:noWrap/>
            <w:vAlign w:val="bottom"/>
            <w:hideMark/>
          </w:tcPr>
          <w:p w14:paraId="08AC5C47" w14:textId="77777777" w:rsidR="00BE3320" w:rsidRPr="00AB315F" w:rsidRDefault="00BE3320" w:rsidP="00BE3320">
            <w:pPr>
              <w:rPr>
                <w:rFonts w:ascii="Calibri" w:hAnsi="Calibri"/>
                <w:sz w:val="22"/>
                <w:szCs w:val="22"/>
              </w:rPr>
            </w:pPr>
            <w:r w:rsidRPr="00AB315F">
              <w:rPr>
                <w:rFonts w:ascii="Calibri" w:hAnsi="Calibri"/>
                <w:sz w:val="22"/>
                <w:szCs w:val="22"/>
              </w:rPr>
              <w:t> </w:t>
            </w:r>
          </w:p>
        </w:tc>
        <w:tc>
          <w:tcPr>
            <w:tcW w:w="5562" w:type="dxa"/>
            <w:gridSpan w:val="6"/>
            <w:tcBorders>
              <w:top w:val="single" w:sz="4" w:space="0" w:color="auto"/>
              <w:left w:val="nil"/>
              <w:bottom w:val="single" w:sz="4" w:space="0" w:color="auto"/>
              <w:right w:val="nil"/>
            </w:tcBorders>
            <w:shd w:val="clear" w:color="auto" w:fill="auto"/>
            <w:noWrap/>
            <w:vAlign w:val="center"/>
            <w:hideMark/>
          </w:tcPr>
          <w:p w14:paraId="575CC2F8" w14:textId="77777777" w:rsidR="00BE3320" w:rsidRPr="00AB315F" w:rsidRDefault="00BE3320" w:rsidP="00BE3320">
            <w:pPr>
              <w:jc w:val="center"/>
              <w:rPr>
                <w:rFonts w:ascii="Calibri" w:hAnsi="Calibri"/>
                <w:b/>
                <w:bCs/>
                <w:sz w:val="22"/>
                <w:szCs w:val="22"/>
              </w:rPr>
            </w:pPr>
            <w:r w:rsidRPr="00AB315F">
              <w:rPr>
                <w:rFonts w:ascii="Calibri" w:hAnsi="Calibri"/>
                <w:b/>
                <w:bCs/>
                <w:sz w:val="22"/>
                <w:szCs w:val="22"/>
              </w:rPr>
              <w:t>Chile</w:t>
            </w:r>
          </w:p>
        </w:tc>
      </w:tr>
      <w:tr w:rsidR="00BE3320" w:rsidRPr="00AB315F" w14:paraId="7DE8DD5A"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3A35277D" w14:textId="77777777" w:rsidR="00BE3320" w:rsidRPr="00AB315F" w:rsidRDefault="00BE3320" w:rsidP="00BE3320">
            <w:pP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2438B324" w14:textId="77777777" w:rsidR="00BE3320" w:rsidRPr="00AB315F" w:rsidRDefault="00BE3320" w:rsidP="00BE3320">
            <w:pPr>
              <w:jc w:val="center"/>
              <w:rPr>
                <w:rFonts w:ascii="Calibri" w:hAnsi="Calibri"/>
                <w:sz w:val="22"/>
                <w:szCs w:val="22"/>
              </w:rPr>
            </w:pPr>
            <w:r w:rsidRPr="00AB315F">
              <w:rPr>
                <w:rFonts w:ascii="Calibri" w:hAnsi="Calibri"/>
                <w:sz w:val="22"/>
                <w:szCs w:val="22"/>
              </w:rPr>
              <w:t>1981</w:t>
            </w:r>
          </w:p>
        </w:tc>
        <w:tc>
          <w:tcPr>
            <w:tcW w:w="927" w:type="dxa"/>
            <w:tcBorders>
              <w:top w:val="nil"/>
              <w:left w:val="nil"/>
              <w:bottom w:val="nil"/>
              <w:right w:val="single" w:sz="4" w:space="0" w:color="auto"/>
            </w:tcBorders>
            <w:shd w:val="clear" w:color="auto" w:fill="auto"/>
            <w:noWrap/>
            <w:vAlign w:val="center"/>
            <w:hideMark/>
          </w:tcPr>
          <w:p w14:paraId="2E3D1F8E" w14:textId="77777777" w:rsidR="00BE3320" w:rsidRPr="00AB315F" w:rsidRDefault="00BE3320" w:rsidP="00BE3320">
            <w:pPr>
              <w:jc w:val="center"/>
              <w:rPr>
                <w:rFonts w:ascii="Calibri" w:hAnsi="Calibri"/>
                <w:sz w:val="22"/>
                <w:szCs w:val="22"/>
              </w:rPr>
            </w:pPr>
            <w:r w:rsidRPr="00AB315F">
              <w:rPr>
                <w:rFonts w:ascii="Calibri" w:hAnsi="Calibri"/>
                <w:sz w:val="22"/>
                <w:szCs w:val="22"/>
              </w:rPr>
              <w:t>1989</w:t>
            </w:r>
          </w:p>
        </w:tc>
        <w:tc>
          <w:tcPr>
            <w:tcW w:w="927" w:type="dxa"/>
            <w:tcBorders>
              <w:top w:val="nil"/>
              <w:left w:val="nil"/>
              <w:bottom w:val="nil"/>
              <w:right w:val="single" w:sz="4" w:space="0" w:color="auto"/>
            </w:tcBorders>
            <w:shd w:val="clear" w:color="auto" w:fill="auto"/>
            <w:noWrap/>
            <w:vAlign w:val="center"/>
            <w:hideMark/>
          </w:tcPr>
          <w:p w14:paraId="79F05C41" w14:textId="77777777" w:rsidR="00BE3320" w:rsidRPr="00AB315F" w:rsidRDefault="00BE3320" w:rsidP="00BE3320">
            <w:pPr>
              <w:jc w:val="center"/>
              <w:rPr>
                <w:rFonts w:ascii="Calibri" w:hAnsi="Calibri"/>
                <w:sz w:val="22"/>
                <w:szCs w:val="22"/>
              </w:rPr>
            </w:pPr>
            <w:r w:rsidRPr="00AB315F">
              <w:rPr>
                <w:rFonts w:ascii="Calibri" w:hAnsi="Calibri"/>
                <w:sz w:val="22"/>
                <w:szCs w:val="22"/>
              </w:rPr>
              <w:t>1994</w:t>
            </w:r>
          </w:p>
        </w:tc>
        <w:tc>
          <w:tcPr>
            <w:tcW w:w="927" w:type="dxa"/>
            <w:tcBorders>
              <w:top w:val="nil"/>
              <w:left w:val="nil"/>
              <w:bottom w:val="nil"/>
              <w:right w:val="single" w:sz="4" w:space="0" w:color="auto"/>
            </w:tcBorders>
            <w:shd w:val="clear" w:color="auto" w:fill="auto"/>
            <w:noWrap/>
            <w:vAlign w:val="center"/>
            <w:hideMark/>
          </w:tcPr>
          <w:p w14:paraId="1510295E" w14:textId="77777777" w:rsidR="00BE3320" w:rsidRPr="00AB315F" w:rsidRDefault="00BE3320" w:rsidP="00BE3320">
            <w:pPr>
              <w:jc w:val="center"/>
              <w:rPr>
                <w:rFonts w:ascii="Calibri" w:hAnsi="Calibri"/>
                <w:sz w:val="22"/>
                <w:szCs w:val="22"/>
              </w:rPr>
            </w:pPr>
            <w:r w:rsidRPr="00AB315F">
              <w:rPr>
                <w:rFonts w:ascii="Calibri" w:hAnsi="Calibri"/>
                <w:sz w:val="22"/>
                <w:szCs w:val="22"/>
              </w:rPr>
              <w:t>1999</w:t>
            </w:r>
          </w:p>
        </w:tc>
        <w:tc>
          <w:tcPr>
            <w:tcW w:w="927" w:type="dxa"/>
            <w:tcBorders>
              <w:top w:val="nil"/>
              <w:left w:val="nil"/>
              <w:bottom w:val="nil"/>
              <w:right w:val="single" w:sz="4" w:space="0" w:color="auto"/>
            </w:tcBorders>
            <w:shd w:val="clear" w:color="auto" w:fill="auto"/>
            <w:noWrap/>
            <w:vAlign w:val="center"/>
            <w:hideMark/>
          </w:tcPr>
          <w:p w14:paraId="280FC973" w14:textId="77777777" w:rsidR="00BE3320" w:rsidRPr="00AB315F" w:rsidRDefault="00BE3320" w:rsidP="00BE3320">
            <w:pPr>
              <w:jc w:val="center"/>
              <w:rPr>
                <w:rFonts w:ascii="Calibri" w:hAnsi="Calibri"/>
                <w:sz w:val="22"/>
                <w:szCs w:val="22"/>
              </w:rPr>
            </w:pPr>
            <w:r w:rsidRPr="00AB315F">
              <w:rPr>
                <w:rFonts w:ascii="Calibri" w:hAnsi="Calibri"/>
                <w:sz w:val="22"/>
                <w:szCs w:val="22"/>
              </w:rPr>
              <w:t>2005</w:t>
            </w:r>
          </w:p>
        </w:tc>
        <w:tc>
          <w:tcPr>
            <w:tcW w:w="927" w:type="dxa"/>
            <w:tcBorders>
              <w:top w:val="nil"/>
              <w:left w:val="nil"/>
              <w:bottom w:val="nil"/>
              <w:right w:val="nil"/>
            </w:tcBorders>
            <w:shd w:val="clear" w:color="auto" w:fill="auto"/>
            <w:noWrap/>
            <w:vAlign w:val="center"/>
            <w:hideMark/>
          </w:tcPr>
          <w:p w14:paraId="00B01381" w14:textId="77777777" w:rsidR="00BE3320" w:rsidRPr="00AB315F" w:rsidRDefault="00BE3320" w:rsidP="00BE3320">
            <w:pPr>
              <w:jc w:val="center"/>
              <w:rPr>
                <w:rFonts w:ascii="Calibri" w:hAnsi="Calibri"/>
                <w:sz w:val="22"/>
                <w:szCs w:val="22"/>
              </w:rPr>
            </w:pPr>
            <w:r w:rsidRPr="00AB315F">
              <w:rPr>
                <w:rFonts w:ascii="Calibri" w:hAnsi="Calibri"/>
                <w:sz w:val="22"/>
                <w:szCs w:val="22"/>
              </w:rPr>
              <w:t>2010</w:t>
            </w:r>
          </w:p>
        </w:tc>
      </w:tr>
      <w:tr w:rsidR="00BE3320" w:rsidRPr="00AB315F" w14:paraId="1C9052D2"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6980CD51" w14:textId="77777777" w:rsidR="00BE3320" w:rsidRPr="00AB315F" w:rsidRDefault="00BE3320" w:rsidP="00BE3320">
            <w:pPr>
              <w:rPr>
                <w:rFonts w:ascii="Calibri" w:hAnsi="Calibri"/>
                <w:sz w:val="22"/>
                <w:szCs w:val="22"/>
              </w:rPr>
            </w:pPr>
            <w:r w:rsidRPr="00AB315F">
              <w:rPr>
                <w:rFonts w:ascii="Calibri" w:hAnsi="Calibri"/>
                <w:sz w:val="22"/>
                <w:szCs w:val="22"/>
              </w:rPr>
              <w:t>Fatores</w:t>
            </w:r>
          </w:p>
        </w:tc>
        <w:tc>
          <w:tcPr>
            <w:tcW w:w="927" w:type="dxa"/>
            <w:tcBorders>
              <w:top w:val="nil"/>
              <w:left w:val="nil"/>
              <w:bottom w:val="nil"/>
              <w:right w:val="single" w:sz="4" w:space="0" w:color="auto"/>
            </w:tcBorders>
            <w:shd w:val="clear" w:color="auto" w:fill="auto"/>
            <w:noWrap/>
            <w:vAlign w:val="center"/>
            <w:hideMark/>
          </w:tcPr>
          <w:p w14:paraId="0D5178F7" w14:textId="77777777" w:rsidR="00BE3320" w:rsidRPr="00AB315F" w:rsidRDefault="00BE3320" w:rsidP="00BE3320">
            <w:pPr>
              <w:jc w:val="center"/>
              <w:rPr>
                <w:rFonts w:ascii="Calibri" w:hAnsi="Calibri"/>
                <w:sz w:val="22"/>
                <w:szCs w:val="22"/>
              </w:rPr>
            </w:pPr>
            <w:r w:rsidRPr="00AB315F">
              <w:rPr>
                <w:rFonts w:ascii="Calibri" w:hAnsi="Calibri"/>
                <w:sz w:val="22"/>
                <w:szCs w:val="22"/>
              </w:rPr>
              <w:t>-</w:t>
            </w:r>
          </w:p>
        </w:tc>
        <w:tc>
          <w:tcPr>
            <w:tcW w:w="927" w:type="dxa"/>
            <w:tcBorders>
              <w:top w:val="nil"/>
              <w:left w:val="nil"/>
              <w:bottom w:val="nil"/>
              <w:right w:val="single" w:sz="4" w:space="0" w:color="auto"/>
            </w:tcBorders>
            <w:shd w:val="clear" w:color="auto" w:fill="auto"/>
            <w:noWrap/>
            <w:vAlign w:val="center"/>
            <w:hideMark/>
          </w:tcPr>
          <w:p w14:paraId="099A5BB9"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01BD8055"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5DF0F23A"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7F89817F" w14:textId="77777777" w:rsidR="00BE3320" w:rsidRPr="00AB315F" w:rsidRDefault="00BE3320" w:rsidP="00BE3320">
            <w:pPr>
              <w:jc w:val="center"/>
              <w:rPr>
                <w:rFonts w:ascii="Calibri" w:hAnsi="Calibri"/>
                <w:sz w:val="22"/>
                <w:szCs w:val="22"/>
              </w:rPr>
            </w:pPr>
            <w:r w:rsidRPr="00AB315F">
              <w:rPr>
                <w:rFonts w:ascii="Calibri" w:hAnsi="Calibri"/>
                <w:sz w:val="22"/>
                <w:szCs w:val="22"/>
              </w:rPr>
              <w:t>2</w:t>
            </w:r>
          </w:p>
        </w:tc>
        <w:tc>
          <w:tcPr>
            <w:tcW w:w="927" w:type="dxa"/>
            <w:tcBorders>
              <w:top w:val="nil"/>
              <w:left w:val="nil"/>
              <w:bottom w:val="nil"/>
              <w:right w:val="nil"/>
            </w:tcBorders>
            <w:shd w:val="clear" w:color="auto" w:fill="auto"/>
            <w:noWrap/>
            <w:vAlign w:val="center"/>
            <w:hideMark/>
          </w:tcPr>
          <w:p w14:paraId="5939E197"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r>
      <w:tr w:rsidR="00BE3320" w:rsidRPr="00AB315F" w14:paraId="75473E75"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67C60A85" w14:textId="77777777" w:rsidR="00BE3320" w:rsidRPr="00AB315F" w:rsidRDefault="00BE3320" w:rsidP="00BE3320">
            <w:pPr>
              <w:rPr>
                <w:rFonts w:ascii="Calibri" w:hAnsi="Calibri"/>
                <w:sz w:val="22"/>
                <w:szCs w:val="22"/>
              </w:rPr>
            </w:pPr>
            <w:r w:rsidRPr="00AB315F">
              <w:rPr>
                <w:rFonts w:ascii="Calibri" w:hAnsi="Calibri"/>
                <w:sz w:val="22"/>
                <w:szCs w:val="22"/>
              </w:rPr>
              <w:t>Var. Expl.</w:t>
            </w:r>
          </w:p>
        </w:tc>
        <w:tc>
          <w:tcPr>
            <w:tcW w:w="927" w:type="dxa"/>
            <w:tcBorders>
              <w:top w:val="nil"/>
              <w:left w:val="nil"/>
              <w:bottom w:val="nil"/>
              <w:right w:val="single" w:sz="4" w:space="0" w:color="auto"/>
            </w:tcBorders>
            <w:shd w:val="clear" w:color="auto" w:fill="auto"/>
            <w:noWrap/>
            <w:vAlign w:val="center"/>
            <w:hideMark/>
          </w:tcPr>
          <w:p w14:paraId="338E6E0E" w14:textId="77777777" w:rsidR="00BE3320" w:rsidRPr="00AB315F" w:rsidRDefault="00BE3320" w:rsidP="00BE3320">
            <w:pPr>
              <w:jc w:val="center"/>
              <w:rPr>
                <w:rFonts w:ascii="Calibri" w:hAnsi="Calibri"/>
                <w:sz w:val="22"/>
                <w:szCs w:val="22"/>
              </w:rPr>
            </w:pPr>
            <w:r w:rsidRPr="00AB315F">
              <w:rPr>
                <w:rFonts w:ascii="Calibri" w:hAnsi="Calibri"/>
                <w:sz w:val="22"/>
                <w:szCs w:val="22"/>
              </w:rPr>
              <w:t>-</w:t>
            </w:r>
          </w:p>
        </w:tc>
        <w:tc>
          <w:tcPr>
            <w:tcW w:w="927" w:type="dxa"/>
            <w:tcBorders>
              <w:top w:val="nil"/>
              <w:left w:val="nil"/>
              <w:bottom w:val="nil"/>
              <w:right w:val="single" w:sz="4" w:space="0" w:color="auto"/>
            </w:tcBorders>
            <w:shd w:val="clear" w:color="auto" w:fill="auto"/>
            <w:noWrap/>
            <w:vAlign w:val="center"/>
            <w:hideMark/>
          </w:tcPr>
          <w:p w14:paraId="7A20CB7A" w14:textId="77777777" w:rsidR="00BE3320" w:rsidRPr="00AB315F" w:rsidRDefault="00BE3320" w:rsidP="00BE3320">
            <w:pPr>
              <w:jc w:val="center"/>
              <w:rPr>
                <w:rFonts w:ascii="Calibri" w:hAnsi="Calibri"/>
                <w:sz w:val="22"/>
                <w:szCs w:val="22"/>
              </w:rPr>
            </w:pPr>
            <w:r w:rsidRPr="00AB315F">
              <w:rPr>
                <w:rFonts w:ascii="Calibri" w:hAnsi="Calibri"/>
                <w:sz w:val="22"/>
                <w:szCs w:val="22"/>
              </w:rPr>
              <w:t>0,391</w:t>
            </w:r>
          </w:p>
        </w:tc>
        <w:tc>
          <w:tcPr>
            <w:tcW w:w="927" w:type="dxa"/>
            <w:tcBorders>
              <w:top w:val="nil"/>
              <w:left w:val="nil"/>
              <w:bottom w:val="nil"/>
              <w:right w:val="single" w:sz="4" w:space="0" w:color="auto"/>
            </w:tcBorders>
            <w:shd w:val="clear" w:color="auto" w:fill="auto"/>
            <w:noWrap/>
            <w:vAlign w:val="center"/>
            <w:hideMark/>
          </w:tcPr>
          <w:p w14:paraId="572AF098" w14:textId="77777777" w:rsidR="00BE3320" w:rsidRPr="00AB315F" w:rsidRDefault="00BE3320" w:rsidP="00BE3320">
            <w:pPr>
              <w:jc w:val="center"/>
              <w:rPr>
                <w:rFonts w:ascii="Calibri" w:hAnsi="Calibri"/>
                <w:sz w:val="22"/>
                <w:szCs w:val="22"/>
              </w:rPr>
            </w:pPr>
            <w:r w:rsidRPr="00AB315F">
              <w:rPr>
                <w:rFonts w:ascii="Calibri" w:hAnsi="Calibri"/>
                <w:sz w:val="22"/>
                <w:szCs w:val="22"/>
              </w:rPr>
              <w:t>0,548</w:t>
            </w:r>
          </w:p>
        </w:tc>
        <w:tc>
          <w:tcPr>
            <w:tcW w:w="927" w:type="dxa"/>
            <w:tcBorders>
              <w:top w:val="nil"/>
              <w:left w:val="nil"/>
              <w:bottom w:val="nil"/>
              <w:right w:val="single" w:sz="4" w:space="0" w:color="auto"/>
            </w:tcBorders>
            <w:shd w:val="clear" w:color="auto" w:fill="auto"/>
            <w:noWrap/>
            <w:vAlign w:val="center"/>
            <w:hideMark/>
          </w:tcPr>
          <w:p w14:paraId="255CD901" w14:textId="77777777" w:rsidR="00BE3320" w:rsidRPr="00AB315F" w:rsidRDefault="00BE3320" w:rsidP="00BE3320">
            <w:pPr>
              <w:jc w:val="center"/>
              <w:rPr>
                <w:rFonts w:ascii="Calibri" w:hAnsi="Calibri"/>
                <w:sz w:val="22"/>
                <w:szCs w:val="22"/>
              </w:rPr>
            </w:pPr>
            <w:r w:rsidRPr="00AB315F">
              <w:rPr>
                <w:rFonts w:ascii="Calibri" w:hAnsi="Calibri"/>
                <w:sz w:val="22"/>
                <w:szCs w:val="22"/>
              </w:rPr>
              <w:t>0,553</w:t>
            </w:r>
          </w:p>
        </w:tc>
        <w:tc>
          <w:tcPr>
            <w:tcW w:w="927" w:type="dxa"/>
            <w:tcBorders>
              <w:top w:val="nil"/>
              <w:left w:val="nil"/>
              <w:bottom w:val="nil"/>
              <w:right w:val="single" w:sz="4" w:space="0" w:color="auto"/>
            </w:tcBorders>
            <w:shd w:val="clear" w:color="auto" w:fill="auto"/>
            <w:noWrap/>
            <w:vAlign w:val="center"/>
            <w:hideMark/>
          </w:tcPr>
          <w:p w14:paraId="75FDB069" w14:textId="77777777" w:rsidR="00BE3320" w:rsidRPr="00AB315F" w:rsidRDefault="00BE3320" w:rsidP="00BE3320">
            <w:pPr>
              <w:jc w:val="center"/>
              <w:rPr>
                <w:rFonts w:ascii="Calibri" w:hAnsi="Calibri"/>
                <w:sz w:val="22"/>
                <w:szCs w:val="22"/>
              </w:rPr>
            </w:pPr>
            <w:r w:rsidRPr="00AB315F">
              <w:rPr>
                <w:rFonts w:ascii="Calibri" w:hAnsi="Calibri"/>
                <w:sz w:val="22"/>
                <w:szCs w:val="22"/>
              </w:rPr>
              <w:t>0,408</w:t>
            </w:r>
          </w:p>
        </w:tc>
        <w:tc>
          <w:tcPr>
            <w:tcW w:w="927" w:type="dxa"/>
            <w:tcBorders>
              <w:top w:val="nil"/>
              <w:left w:val="nil"/>
              <w:bottom w:val="nil"/>
              <w:right w:val="nil"/>
            </w:tcBorders>
            <w:shd w:val="clear" w:color="auto" w:fill="auto"/>
            <w:noWrap/>
            <w:vAlign w:val="center"/>
            <w:hideMark/>
          </w:tcPr>
          <w:p w14:paraId="20659D10" w14:textId="77777777" w:rsidR="00BE3320" w:rsidRPr="00AB315F" w:rsidRDefault="00BE3320" w:rsidP="00BE3320">
            <w:pPr>
              <w:jc w:val="center"/>
              <w:rPr>
                <w:rFonts w:ascii="Calibri" w:hAnsi="Calibri"/>
                <w:sz w:val="22"/>
                <w:szCs w:val="22"/>
              </w:rPr>
            </w:pPr>
            <w:r w:rsidRPr="00AB315F">
              <w:rPr>
                <w:rFonts w:ascii="Calibri" w:hAnsi="Calibri"/>
                <w:sz w:val="22"/>
                <w:szCs w:val="22"/>
              </w:rPr>
              <w:t>0,528</w:t>
            </w:r>
          </w:p>
        </w:tc>
      </w:tr>
      <w:tr w:rsidR="00BE3320" w:rsidRPr="00AB315F" w14:paraId="3ED94BC7"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493411EE" w14:textId="77777777" w:rsidR="00BE3320" w:rsidRPr="00AB315F" w:rsidRDefault="00BE3320" w:rsidP="00BE3320">
            <w:pPr>
              <w:rPr>
                <w:rFonts w:ascii="Calibri" w:hAnsi="Calibri"/>
                <w:sz w:val="22"/>
                <w:szCs w:val="22"/>
              </w:rPr>
            </w:pPr>
            <w:r w:rsidRPr="00AB315F">
              <w:rPr>
                <w:rFonts w:ascii="Calibri" w:hAnsi="Calibri"/>
                <w:sz w:val="22"/>
                <w:szCs w:val="22"/>
              </w:rPr>
              <w:t>KMO</w:t>
            </w:r>
          </w:p>
        </w:tc>
        <w:tc>
          <w:tcPr>
            <w:tcW w:w="927" w:type="dxa"/>
            <w:tcBorders>
              <w:top w:val="nil"/>
              <w:left w:val="nil"/>
              <w:bottom w:val="nil"/>
              <w:right w:val="single" w:sz="4" w:space="0" w:color="auto"/>
            </w:tcBorders>
            <w:shd w:val="clear" w:color="auto" w:fill="auto"/>
            <w:noWrap/>
            <w:vAlign w:val="center"/>
            <w:hideMark/>
          </w:tcPr>
          <w:p w14:paraId="6DA0A203" w14:textId="77777777" w:rsidR="00BE3320" w:rsidRPr="00AB315F" w:rsidRDefault="00BE3320" w:rsidP="00BE3320">
            <w:pPr>
              <w:jc w:val="center"/>
              <w:rPr>
                <w:rFonts w:ascii="Calibri" w:hAnsi="Calibri"/>
                <w:sz w:val="22"/>
                <w:szCs w:val="22"/>
              </w:rPr>
            </w:pPr>
            <w:r w:rsidRPr="00AB315F">
              <w:rPr>
                <w:rFonts w:ascii="Calibri" w:hAnsi="Calibri"/>
                <w:sz w:val="22"/>
                <w:szCs w:val="22"/>
              </w:rPr>
              <w:t>-</w:t>
            </w:r>
          </w:p>
        </w:tc>
        <w:tc>
          <w:tcPr>
            <w:tcW w:w="927" w:type="dxa"/>
            <w:tcBorders>
              <w:top w:val="nil"/>
              <w:left w:val="nil"/>
              <w:bottom w:val="nil"/>
              <w:right w:val="single" w:sz="4" w:space="0" w:color="auto"/>
            </w:tcBorders>
            <w:shd w:val="clear" w:color="auto" w:fill="auto"/>
            <w:noWrap/>
            <w:vAlign w:val="center"/>
            <w:hideMark/>
          </w:tcPr>
          <w:p w14:paraId="46744307" w14:textId="77777777" w:rsidR="00BE3320" w:rsidRPr="00AB315F" w:rsidRDefault="00BE3320" w:rsidP="00BE3320">
            <w:pPr>
              <w:jc w:val="center"/>
              <w:rPr>
                <w:rFonts w:ascii="Calibri" w:hAnsi="Calibri"/>
                <w:sz w:val="22"/>
                <w:szCs w:val="22"/>
              </w:rPr>
            </w:pPr>
            <w:r w:rsidRPr="00AB315F">
              <w:rPr>
                <w:rFonts w:ascii="Calibri" w:hAnsi="Calibri"/>
                <w:sz w:val="22"/>
                <w:szCs w:val="22"/>
              </w:rPr>
              <w:t>0,605</w:t>
            </w:r>
          </w:p>
        </w:tc>
        <w:tc>
          <w:tcPr>
            <w:tcW w:w="927" w:type="dxa"/>
            <w:tcBorders>
              <w:top w:val="nil"/>
              <w:left w:val="nil"/>
              <w:bottom w:val="nil"/>
              <w:right w:val="single" w:sz="4" w:space="0" w:color="auto"/>
            </w:tcBorders>
            <w:shd w:val="clear" w:color="auto" w:fill="auto"/>
            <w:noWrap/>
            <w:vAlign w:val="center"/>
            <w:hideMark/>
          </w:tcPr>
          <w:p w14:paraId="753C39C8" w14:textId="77777777" w:rsidR="00BE3320" w:rsidRPr="00AB315F" w:rsidRDefault="00BE3320" w:rsidP="00BE3320">
            <w:pPr>
              <w:jc w:val="center"/>
              <w:rPr>
                <w:rFonts w:ascii="Calibri" w:hAnsi="Calibri"/>
                <w:sz w:val="22"/>
                <w:szCs w:val="22"/>
              </w:rPr>
            </w:pPr>
            <w:r w:rsidRPr="00AB315F">
              <w:rPr>
                <w:rFonts w:ascii="Calibri" w:hAnsi="Calibri"/>
                <w:sz w:val="22"/>
                <w:szCs w:val="22"/>
              </w:rPr>
              <w:t>0,708</w:t>
            </w:r>
          </w:p>
        </w:tc>
        <w:tc>
          <w:tcPr>
            <w:tcW w:w="927" w:type="dxa"/>
            <w:tcBorders>
              <w:top w:val="nil"/>
              <w:left w:val="nil"/>
              <w:bottom w:val="nil"/>
              <w:right w:val="single" w:sz="4" w:space="0" w:color="auto"/>
            </w:tcBorders>
            <w:shd w:val="clear" w:color="auto" w:fill="auto"/>
            <w:noWrap/>
            <w:vAlign w:val="center"/>
            <w:hideMark/>
          </w:tcPr>
          <w:p w14:paraId="2281B07C" w14:textId="77777777" w:rsidR="00BE3320" w:rsidRPr="00AB315F" w:rsidRDefault="00BE3320" w:rsidP="00BE3320">
            <w:pPr>
              <w:jc w:val="center"/>
              <w:rPr>
                <w:rFonts w:ascii="Calibri" w:hAnsi="Calibri"/>
                <w:sz w:val="22"/>
                <w:szCs w:val="22"/>
              </w:rPr>
            </w:pPr>
            <w:r w:rsidRPr="00AB315F">
              <w:rPr>
                <w:rFonts w:ascii="Calibri" w:hAnsi="Calibri"/>
                <w:sz w:val="22"/>
                <w:szCs w:val="22"/>
              </w:rPr>
              <w:t>0,663</w:t>
            </w:r>
          </w:p>
        </w:tc>
        <w:tc>
          <w:tcPr>
            <w:tcW w:w="927" w:type="dxa"/>
            <w:tcBorders>
              <w:top w:val="nil"/>
              <w:left w:val="nil"/>
              <w:bottom w:val="nil"/>
              <w:right w:val="single" w:sz="4" w:space="0" w:color="auto"/>
            </w:tcBorders>
            <w:shd w:val="clear" w:color="auto" w:fill="auto"/>
            <w:noWrap/>
            <w:vAlign w:val="center"/>
            <w:hideMark/>
          </w:tcPr>
          <w:p w14:paraId="645C3E37" w14:textId="77777777" w:rsidR="00BE3320" w:rsidRPr="00AB315F" w:rsidRDefault="00BE3320" w:rsidP="00BE3320">
            <w:pPr>
              <w:jc w:val="center"/>
              <w:rPr>
                <w:rFonts w:ascii="Calibri" w:hAnsi="Calibri"/>
                <w:sz w:val="22"/>
                <w:szCs w:val="22"/>
              </w:rPr>
            </w:pPr>
            <w:r w:rsidRPr="00AB315F">
              <w:rPr>
                <w:rFonts w:ascii="Calibri" w:hAnsi="Calibri"/>
                <w:sz w:val="22"/>
                <w:szCs w:val="22"/>
              </w:rPr>
              <w:t>0,596</w:t>
            </w:r>
          </w:p>
        </w:tc>
        <w:tc>
          <w:tcPr>
            <w:tcW w:w="927" w:type="dxa"/>
            <w:tcBorders>
              <w:top w:val="nil"/>
              <w:left w:val="nil"/>
              <w:bottom w:val="nil"/>
              <w:right w:val="nil"/>
            </w:tcBorders>
            <w:shd w:val="clear" w:color="auto" w:fill="auto"/>
            <w:noWrap/>
            <w:vAlign w:val="center"/>
            <w:hideMark/>
          </w:tcPr>
          <w:p w14:paraId="41CBB486" w14:textId="77777777" w:rsidR="00BE3320" w:rsidRPr="00AB315F" w:rsidRDefault="00BE3320" w:rsidP="00BE3320">
            <w:pPr>
              <w:jc w:val="center"/>
              <w:rPr>
                <w:rFonts w:ascii="Calibri" w:hAnsi="Calibri"/>
                <w:sz w:val="22"/>
                <w:szCs w:val="22"/>
              </w:rPr>
            </w:pPr>
            <w:r w:rsidRPr="00AB315F">
              <w:rPr>
                <w:rFonts w:ascii="Calibri" w:hAnsi="Calibri"/>
                <w:sz w:val="22"/>
                <w:szCs w:val="22"/>
              </w:rPr>
              <w:t>0,641</w:t>
            </w:r>
          </w:p>
        </w:tc>
      </w:tr>
      <w:tr w:rsidR="00BE3320" w:rsidRPr="00AB315F" w14:paraId="1038688C"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313CD5A1" w14:textId="77777777" w:rsidR="00BE3320" w:rsidRPr="00AB315F" w:rsidRDefault="00BE3320" w:rsidP="00BE3320">
            <w:pPr>
              <w:rPr>
                <w:rFonts w:ascii="Calibri" w:hAnsi="Calibri"/>
                <w:sz w:val="22"/>
                <w:szCs w:val="22"/>
              </w:rPr>
            </w:pPr>
            <w:r w:rsidRPr="00AB315F">
              <w:rPr>
                <w:rFonts w:ascii="Calibri" w:hAnsi="Calibri"/>
                <w:sz w:val="22"/>
                <w:szCs w:val="22"/>
              </w:rPr>
              <w:t>Alpha</w:t>
            </w:r>
          </w:p>
        </w:tc>
        <w:tc>
          <w:tcPr>
            <w:tcW w:w="927" w:type="dxa"/>
            <w:tcBorders>
              <w:top w:val="nil"/>
              <w:left w:val="nil"/>
              <w:bottom w:val="nil"/>
              <w:right w:val="single" w:sz="4" w:space="0" w:color="auto"/>
            </w:tcBorders>
            <w:shd w:val="clear" w:color="auto" w:fill="auto"/>
            <w:noWrap/>
            <w:vAlign w:val="center"/>
            <w:hideMark/>
          </w:tcPr>
          <w:p w14:paraId="05DC4E25" w14:textId="77777777" w:rsidR="00BE3320" w:rsidRPr="00AB315F" w:rsidRDefault="00BE3320" w:rsidP="00BE3320">
            <w:pPr>
              <w:jc w:val="center"/>
              <w:rPr>
                <w:rFonts w:ascii="Calibri" w:hAnsi="Calibri"/>
                <w:sz w:val="22"/>
                <w:szCs w:val="22"/>
              </w:rPr>
            </w:pPr>
            <w:r w:rsidRPr="00AB315F">
              <w:rPr>
                <w:rFonts w:ascii="Calibri" w:hAnsi="Calibri"/>
                <w:sz w:val="22"/>
                <w:szCs w:val="22"/>
              </w:rPr>
              <w:t>-</w:t>
            </w:r>
          </w:p>
        </w:tc>
        <w:tc>
          <w:tcPr>
            <w:tcW w:w="927" w:type="dxa"/>
            <w:tcBorders>
              <w:top w:val="nil"/>
              <w:left w:val="nil"/>
              <w:bottom w:val="nil"/>
              <w:right w:val="single" w:sz="4" w:space="0" w:color="auto"/>
            </w:tcBorders>
            <w:shd w:val="clear" w:color="auto" w:fill="auto"/>
            <w:noWrap/>
            <w:vAlign w:val="center"/>
            <w:hideMark/>
          </w:tcPr>
          <w:p w14:paraId="6FAE8DF2" w14:textId="77777777" w:rsidR="00BE3320" w:rsidRPr="00AB315F" w:rsidRDefault="00BE3320" w:rsidP="00BE3320">
            <w:pPr>
              <w:jc w:val="center"/>
              <w:rPr>
                <w:rFonts w:ascii="Calibri" w:hAnsi="Calibri"/>
                <w:sz w:val="22"/>
                <w:szCs w:val="22"/>
              </w:rPr>
            </w:pPr>
            <w:r w:rsidRPr="00AB315F">
              <w:rPr>
                <w:rFonts w:ascii="Calibri" w:hAnsi="Calibri"/>
                <w:sz w:val="22"/>
                <w:szCs w:val="22"/>
              </w:rPr>
              <w:t>0,436</w:t>
            </w:r>
          </w:p>
        </w:tc>
        <w:tc>
          <w:tcPr>
            <w:tcW w:w="927" w:type="dxa"/>
            <w:tcBorders>
              <w:top w:val="nil"/>
              <w:left w:val="nil"/>
              <w:bottom w:val="nil"/>
              <w:right w:val="single" w:sz="4" w:space="0" w:color="auto"/>
            </w:tcBorders>
            <w:shd w:val="clear" w:color="auto" w:fill="auto"/>
            <w:noWrap/>
            <w:vAlign w:val="center"/>
            <w:hideMark/>
          </w:tcPr>
          <w:p w14:paraId="16887913" w14:textId="77777777" w:rsidR="00BE3320" w:rsidRPr="00AB315F" w:rsidRDefault="00BE3320" w:rsidP="00BE3320">
            <w:pPr>
              <w:jc w:val="center"/>
              <w:rPr>
                <w:rFonts w:ascii="Calibri" w:hAnsi="Calibri"/>
                <w:sz w:val="22"/>
                <w:szCs w:val="22"/>
              </w:rPr>
            </w:pPr>
            <w:r w:rsidRPr="00AB315F">
              <w:rPr>
                <w:rFonts w:ascii="Calibri" w:hAnsi="Calibri"/>
                <w:sz w:val="22"/>
                <w:szCs w:val="22"/>
              </w:rPr>
              <w:t>0,666</w:t>
            </w:r>
          </w:p>
        </w:tc>
        <w:tc>
          <w:tcPr>
            <w:tcW w:w="927" w:type="dxa"/>
            <w:tcBorders>
              <w:top w:val="nil"/>
              <w:left w:val="nil"/>
              <w:bottom w:val="nil"/>
              <w:right w:val="single" w:sz="4" w:space="0" w:color="auto"/>
            </w:tcBorders>
            <w:shd w:val="clear" w:color="auto" w:fill="auto"/>
            <w:noWrap/>
            <w:vAlign w:val="center"/>
            <w:hideMark/>
          </w:tcPr>
          <w:p w14:paraId="0C9980A2" w14:textId="77777777" w:rsidR="00BE3320" w:rsidRPr="00AB315F" w:rsidRDefault="00BE3320" w:rsidP="00BE3320">
            <w:pPr>
              <w:jc w:val="center"/>
              <w:rPr>
                <w:rFonts w:ascii="Calibri" w:hAnsi="Calibri"/>
                <w:sz w:val="22"/>
                <w:szCs w:val="22"/>
              </w:rPr>
            </w:pPr>
            <w:r w:rsidRPr="00AB315F">
              <w:rPr>
                <w:rFonts w:ascii="Calibri" w:hAnsi="Calibri"/>
                <w:sz w:val="22"/>
                <w:szCs w:val="22"/>
              </w:rPr>
              <w:t>0,702</w:t>
            </w:r>
          </w:p>
        </w:tc>
        <w:tc>
          <w:tcPr>
            <w:tcW w:w="927" w:type="dxa"/>
            <w:tcBorders>
              <w:top w:val="nil"/>
              <w:left w:val="nil"/>
              <w:bottom w:val="nil"/>
              <w:right w:val="single" w:sz="4" w:space="0" w:color="auto"/>
            </w:tcBorders>
            <w:shd w:val="clear" w:color="auto" w:fill="auto"/>
            <w:noWrap/>
            <w:vAlign w:val="center"/>
            <w:hideMark/>
          </w:tcPr>
          <w:p w14:paraId="77E87933" w14:textId="77777777" w:rsidR="00BE3320" w:rsidRPr="00AB315F" w:rsidRDefault="00BE3320" w:rsidP="00BE3320">
            <w:pPr>
              <w:jc w:val="center"/>
              <w:rPr>
                <w:rFonts w:ascii="Calibri" w:hAnsi="Calibri"/>
                <w:sz w:val="22"/>
                <w:szCs w:val="22"/>
              </w:rPr>
            </w:pPr>
            <w:r w:rsidRPr="00AB315F">
              <w:rPr>
                <w:rFonts w:ascii="Calibri" w:hAnsi="Calibri"/>
                <w:sz w:val="22"/>
                <w:szCs w:val="22"/>
              </w:rPr>
              <w:t>0,611</w:t>
            </w:r>
          </w:p>
        </w:tc>
        <w:tc>
          <w:tcPr>
            <w:tcW w:w="927" w:type="dxa"/>
            <w:tcBorders>
              <w:top w:val="nil"/>
              <w:left w:val="nil"/>
              <w:bottom w:val="nil"/>
              <w:right w:val="nil"/>
            </w:tcBorders>
            <w:shd w:val="clear" w:color="auto" w:fill="auto"/>
            <w:noWrap/>
            <w:vAlign w:val="center"/>
            <w:hideMark/>
          </w:tcPr>
          <w:p w14:paraId="2C7E9C21" w14:textId="77777777" w:rsidR="00BE3320" w:rsidRPr="00AB315F" w:rsidRDefault="00BE3320" w:rsidP="00BE3320">
            <w:pPr>
              <w:jc w:val="center"/>
              <w:rPr>
                <w:rFonts w:ascii="Calibri" w:hAnsi="Calibri"/>
                <w:sz w:val="22"/>
                <w:szCs w:val="22"/>
              </w:rPr>
            </w:pPr>
            <w:r w:rsidRPr="00AB315F">
              <w:rPr>
                <w:rFonts w:ascii="Calibri" w:hAnsi="Calibri"/>
                <w:sz w:val="22"/>
                <w:szCs w:val="22"/>
              </w:rPr>
              <w:t>0,646</w:t>
            </w:r>
          </w:p>
        </w:tc>
      </w:tr>
      <w:tr w:rsidR="00BE3320" w:rsidRPr="00AB315F" w14:paraId="57D14960" w14:textId="77777777" w:rsidTr="0094228B">
        <w:trPr>
          <w:trHeight w:val="290"/>
          <w:jc w:val="center"/>
        </w:trPr>
        <w:tc>
          <w:tcPr>
            <w:tcW w:w="1102" w:type="dxa"/>
            <w:tcBorders>
              <w:top w:val="single" w:sz="4" w:space="0" w:color="auto"/>
              <w:left w:val="nil"/>
              <w:bottom w:val="single" w:sz="4" w:space="0" w:color="auto"/>
              <w:right w:val="single" w:sz="4" w:space="0" w:color="auto"/>
            </w:tcBorders>
            <w:shd w:val="clear" w:color="auto" w:fill="auto"/>
            <w:noWrap/>
            <w:vAlign w:val="bottom"/>
            <w:hideMark/>
          </w:tcPr>
          <w:p w14:paraId="5F0F6C12" w14:textId="77777777" w:rsidR="00BE3320" w:rsidRPr="00AB315F" w:rsidRDefault="00BE3320" w:rsidP="00BE3320">
            <w:pPr>
              <w:rPr>
                <w:rFonts w:ascii="Calibri" w:hAnsi="Calibri"/>
                <w:sz w:val="22"/>
                <w:szCs w:val="22"/>
              </w:rPr>
            </w:pPr>
            <w:r w:rsidRPr="00AB315F">
              <w:rPr>
                <w:rFonts w:ascii="Calibri" w:hAnsi="Calibri"/>
                <w:sz w:val="22"/>
                <w:szCs w:val="22"/>
              </w:rPr>
              <w:t> </w:t>
            </w:r>
          </w:p>
        </w:tc>
        <w:tc>
          <w:tcPr>
            <w:tcW w:w="5562" w:type="dxa"/>
            <w:gridSpan w:val="6"/>
            <w:tcBorders>
              <w:top w:val="single" w:sz="4" w:space="0" w:color="auto"/>
              <w:left w:val="nil"/>
              <w:bottom w:val="single" w:sz="4" w:space="0" w:color="auto"/>
              <w:right w:val="nil"/>
            </w:tcBorders>
            <w:shd w:val="clear" w:color="auto" w:fill="auto"/>
            <w:noWrap/>
            <w:vAlign w:val="center"/>
            <w:hideMark/>
          </w:tcPr>
          <w:p w14:paraId="6DB1C4A1" w14:textId="77777777" w:rsidR="00BE3320" w:rsidRPr="00AB315F" w:rsidRDefault="00BE3320" w:rsidP="00BE3320">
            <w:pPr>
              <w:jc w:val="center"/>
              <w:rPr>
                <w:rFonts w:ascii="Calibri" w:hAnsi="Calibri"/>
                <w:b/>
                <w:bCs/>
                <w:sz w:val="22"/>
                <w:szCs w:val="22"/>
              </w:rPr>
            </w:pPr>
            <w:r w:rsidRPr="00AB315F">
              <w:rPr>
                <w:rFonts w:ascii="Calibri" w:hAnsi="Calibri"/>
                <w:b/>
                <w:bCs/>
                <w:sz w:val="22"/>
                <w:szCs w:val="22"/>
              </w:rPr>
              <w:t>México</w:t>
            </w:r>
          </w:p>
        </w:tc>
      </w:tr>
      <w:tr w:rsidR="00BE3320" w:rsidRPr="00AB315F" w14:paraId="5084ABA3"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12F8CF81" w14:textId="77777777" w:rsidR="00BE3320" w:rsidRPr="00AB315F" w:rsidRDefault="00BE3320" w:rsidP="00BE3320">
            <w:pPr>
              <w:rPr>
                <w:rFonts w:ascii="Calibri" w:hAnsi="Calibri"/>
                <w:sz w:val="22"/>
                <w:szCs w:val="22"/>
              </w:rPr>
            </w:pPr>
            <w:r w:rsidRPr="00AB315F">
              <w:rPr>
                <w:rFonts w:ascii="Calibri" w:hAnsi="Calibri"/>
                <w:sz w:val="22"/>
                <w:szCs w:val="22"/>
              </w:rPr>
              <w:t> </w:t>
            </w:r>
          </w:p>
        </w:tc>
        <w:tc>
          <w:tcPr>
            <w:tcW w:w="927" w:type="dxa"/>
            <w:tcBorders>
              <w:top w:val="nil"/>
              <w:left w:val="nil"/>
              <w:bottom w:val="nil"/>
              <w:right w:val="single" w:sz="4" w:space="0" w:color="auto"/>
            </w:tcBorders>
            <w:shd w:val="clear" w:color="auto" w:fill="auto"/>
            <w:noWrap/>
            <w:vAlign w:val="center"/>
            <w:hideMark/>
          </w:tcPr>
          <w:p w14:paraId="6E3D435B" w14:textId="77777777" w:rsidR="00BE3320" w:rsidRPr="00AB315F" w:rsidRDefault="00BE3320" w:rsidP="00BE3320">
            <w:pPr>
              <w:jc w:val="center"/>
              <w:rPr>
                <w:rFonts w:ascii="Calibri" w:hAnsi="Calibri"/>
                <w:sz w:val="22"/>
                <w:szCs w:val="22"/>
              </w:rPr>
            </w:pPr>
            <w:r w:rsidRPr="00AB315F">
              <w:rPr>
                <w:rFonts w:ascii="Calibri" w:hAnsi="Calibri"/>
                <w:sz w:val="22"/>
                <w:szCs w:val="22"/>
              </w:rPr>
              <w:t>1981</w:t>
            </w:r>
          </w:p>
        </w:tc>
        <w:tc>
          <w:tcPr>
            <w:tcW w:w="927" w:type="dxa"/>
            <w:tcBorders>
              <w:top w:val="nil"/>
              <w:left w:val="nil"/>
              <w:bottom w:val="nil"/>
              <w:right w:val="single" w:sz="4" w:space="0" w:color="auto"/>
            </w:tcBorders>
            <w:shd w:val="clear" w:color="auto" w:fill="auto"/>
            <w:noWrap/>
            <w:vAlign w:val="center"/>
            <w:hideMark/>
          </w:tcPr>
          <w:p w14:paraId="3F4DDC71" w14:textId="77777777" w:rsidR="00BE3320" w:rsidRPr="00AB315F" w:rsidRDefault="00BE3320" w:rsidP="00BE3320">
            <w:pPr>
              <w:jc w:val="center"/>
              <w:rPr>
                <w:rFonts w:ascii="Calibri" w:hAnsi="Calibri"/>
                <w:sz w:val="22"/>
                <w:szCs w:val="22"/>
              </w:rPr>
            </w:pPr>
            <w:r w:rsidRPr="00AB315F">
              <w:rPr>
                <w:rFonts w:ascii="Calibri" w:hAnsi="Calibri"/>
                <w:sz w:val="22"/>
                <w:szCs w:val="22"/>
              </w:rPr>
              <w:t>1989</w:t>
            </w:r>
          </w:p>
        </w:tc>
        <w:tc>
          <w:tcPr>
            <w:tcW w:w="927" w:type="dxa"/>
            <w:tcBorders>
              <w:top w:val="nil"/>
              <w:left w:val="nil"/>
              <w:bottom w:val="nil"/>
              <w:right w:val="single" w:sz="4" w:space="0" w:color="auto"/>
            </w:tcBorders>
            <w:shd w:val="clear" w:color="auto" w:fill="auto"/>
            <w:noWrap/>
            <w:vAlign w:val="center"/>
            <w:hideMark/>
          </w:tcPr>
          <w:p w14:paraId="290EA18F" w14:textId="77777777" w:rsidR="00BE3320" w:rsidRPr="00AB315F" w:rsidRDefault="00BE3320" w:rsidP="00BE3320">
            <w:pPr>
              <w:jc w:val="center"/>
              <w:rPr>
                <w:rFonts w:ascii="Calibri" w:hAnsi="Calibri"/>
                <w:sz w:val="22"/>
                <w:szCs w:val="22"/>
              </w:rPr>
            </w:pPr>
            <w:r w:rsidRPr="00AB315F">
              <w:rPr>
                <w:rFonts w:ascii="Calibri" w:hAnsi="Calibri"/>
                <w:sz w:val="22"/>
                <w:szCs w:val="22"/>
              </w:rPr>
              <w:t>1994</w:t>
            </w:r>
          </w:p>
        </w:tc>
        <w:tc>
          <w:tcPr>
            <w:tcW w:w="927" w:type="dxa"/>
            <w:tcBorders>
              <w:top w:val="nil"/>
              <w:left w:val="nil"/>
              <w:bottom w:val="nil"/>
              <w:right w:val="single" w:sz="4" w:space="0" w:color="auto"/>
            </w:tcBorders>
            <w:shd w:val="clear" w:color="auto" w:fill="auto"/>
            <w:noWrap/>
            <w:vAlign w:val="center"/>
            <w:hideMark/>
          </w:tcPr>
          <w:p w14:paraId="3158C1DE" w14:textId="77777777" w:rsidR="00BE3320" w:rsidRPr="00AB315F" w:rsidRDefault="00BE3320" w:rsidP="00BE3320">
            <w:pPr>
              <w:jc w:val="center"/>
              <w:rPr>
                <w:rFonts w:ascii="Calibri" w:hAnsi="Calibri"/>
                <w:sz w:val="22"/>
                <w:szCs w:val="22"/>
              </w:rPr>
            </w:pPr>
            <w:r w:rsidRPr="00AB315F">
              <w:rPr>
                <w:rFonts w:ascii="Calibri" w:hAnsi="Calibri"/>
                <w:sz w:val="22"/>
                <w:szCs w:val="22"/>
              </w:rPr>
              <w:t>1999</w:t>
            </w:r>
          </w:p>
        </w:tc>
        <w:tc>
          <w:tcPr>
            <w:tcW w:w="927" w:type="dxa"/>
            <w:tcBorders>
              <w:top w:val="nil"/>
              <w:left w:val="nil"/>
              <w:bottom w:val="nil"/>
              <w:right w:val="single" w:sz="4" w:space="0" w:color="auto"/>
            </w:tcBorders>
            <w:shd w:val="clear" w:color="auto" w:fill="auto"/>
            <w:noWrap/>
            <w:vAlign w:val="center"/>
            <w:hideMark/>
          </w:tcPr>
          <w:p w14:paraId="35123019" w14:textId="77777777" w:rsidR="00BE3320" w:rsidRPr="00AB315F" w:rsidRDefault="00BE3320" w:rsidP="00BE3320">
            <w:pPr>
              <w:jc w:val="center"/>
              <w:rPr>
                <w:rFonts w:ascii="Calibri" w:hAnsi="Calibri"/>
                <w:sz w:val="22"/>
                <w:szCs w:val="22"/>
              </w:rPr>
            </w:pPr>
            <w:r w:rsidRPr="00AB315F">
              <w:rPr>
                <w:rFonts w:ascii="Calibri" w:hAnsi="Calibri"/>
                <w:sz w:val="22"/>
                <w:szCs w:val="22"/>
              </w:rPr>
              <w:t>2005</w:t>
            </w:r>
          </w:p>
        </w:tc>
        <w:tc>
          <w:tcPr>
            <w:tcW w:w="927" w:type="dxa"/>
            <w:tcBorders>
              <w:top w:val="nil"/>
              <w:left w:val="nil"/>
              <w:bottom w:val="nil"/>
              <w:right w:val="nil"/>
            </w:tcBorders>
            <w:shd w:val="clear" w:color="auto" w:fill="auto"/>
            <w:noWrap/>
            <w:vAlign w:val="center"/>
            <w:hideMark/>
          </w:tcPr>
          <w:p w14:paraId="15CC0FBE" w14:textId="77777777" w:rsidR="00BE3320" w:rsidRPr="00AB315F" w:rsidRDefault="00BE3320" w:rsidP="00BE3320">
            <w:pPr>
              <w:jc w:val="center"/>
              <w:rPr>
                <w:rFonts w:ascii="Calibri" w:hAnsi="Calibri"/>
                <w:sz w:val="22"/>
                <w:szCs w:val="22"/>
              </w:rPr>
            </w:pPr>
            <w:r w:rsidRPr="00AB315F">
              <w:rPr>
                <w:rFonts w:ascii="Calibri" w:hAnsi="Calibri"/>
                <w:sz w:val="22"/>
                <w:szCs w:val="22"/>
              </w:rPr>
              <w:t>2010</w:t>
            </w:r>
          </w:p>
        </w:tc>
      </w:tr>
      <w:tr w:rsidR="00BE3320" w:rsidRPr="00AB315F" w14:paraId="56507F2C"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0CB96E39" w14:textId="77777777" w:rsidR="00BE3320" w:rsidRPr="00AB315F" w:rsidRDefault="00BE3320" w:rsidP="00BE3320">
            <w:pPr>
              <w:rPr>
                <w:rFonts w:ascii="Calibri" w:hAnsi="Calibri"/>
                <w:sz w:val="22"/>
                <w:szCs w:val="22"/>
              </w:rPr>
            </w:pPr>
            <w:r w:rsidRPr="00AB315F">
              <w:rPr>
                <w:rFonts w:ascii="Calibri" w:hAnsi="Calibri"/>
                <w:sz w:val="22"/>
                <w:szCs w:val="22"/>
              </w:rPr>
              <w:t>Fatores</w:t>
            </w:r>
          </w:p>
        </w:tc>
        <w:tc>
          <w:tcPr>
            <w:tcW w:w="927" w:type="dxa"/>
            <w:tcBorders>
              <w:top w:val="nil"/>
              <w:left w:val="nil"/>
              <w:bottom w:val="nil"/>
              <w:right w:val="single" w:sz="4" w:space="0" w:color="auto"/>
            </w:tcBorders>
            <w:shd w:val="clear" w:color="auto" w:fill="auto"/>
            <w:noWrap/>
            <w:vAlign w:val="center"/>
            <w:hideMark/>
          </w:tcPr>
          <w:p w14:paraId="40C64AA9"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122B19F4"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1A8F4FFA"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06FBF55A"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single" w:sz="4" w:space="0" w:color="auto"/>
            </w:tcBorders>
            <w:shd w:val="clear" w:color="auto" w:fill="auto"/>
            <w:noWrap/>
            <w:vAlign w:val="center"/>
            <w:hideMark/>
          </w:tcPr>
          <w:p w14:paraId="0B0034C5" w14:textId="77777777" w:rsidR="00BE3320" w:rsidRPr="00AB315F" w:rsidRDefault="00BE3320" w:rsidP="00BE3320">
            <w:pPr>
              <w:jc w:val="center"/>
              <w:rPr>
                <w:rFonts w:ascii="Calibri" w:hAnsi="Calibri"/>
                <w:sz w:val="22"/>
                <w:szCs w:val="22"/>
              </w:rPr>
            </w:pPr>
            <w:r w:rsidRPr="00AB315F">
              <w:rPr>
                <w:rFonts w:ascii="Calibri" w:hAnsi="Calibri"/>
                <w:sz w:val="22"/>
                <w:szCs w:val="22"/>
              </w:rPr>
              <w:t>1</w:t>
            </w:r>
          </w:p>
        </w:tc>
        <w:tc>
          <w:tcPr>
            <w:tcW w:w="927" w:type="dxa"/>
            <w:tcBorders>
              <w:top w:val="nil"/>
              <w:left w:val="nil"/>
              <w:bottom w:val="nil"/>
              <w:right w:val="nil"/>
            </w:tcBorders>
            <w:shd w:val="clear" w:color="auto" w:fill="auto"/>
            <w:noWrap/>
            <w:vAlign w:val="center"/>
            <w:hideMark/>
          </w:tcPr>
          <w:p w14:paraId="21F53073" w14:textId="77777777" w:rsidR="00BE3320" w:rsidRPr="00AB315F" w:rsidRDefault="00BE3320" w:rsidP="00BE3320">
            <w:pPr>
              <w:jc w:val="center"/>
              <w:rPr>
                <w:rFonts w:ascii="Calibri" w:hAnsi="Calibri"/>
                <w:sz w:val="22"/>
                <w:szCs w:val="22"/>
              </w:rPr>
            </w:pPr>
            <w:r w:rsidRPr="00AB315F">
              <w:rPr>
                <w:rFonts w:ascii="Calibri" w:hAnsi="Calibri"/>
                <w:sz w:val="22"/>
                <w:szCs w:val="22"/>
              </w:rPr>
              <w:t>2</w:t>
            </w:r>
          </w:p>
        </w:tc>
      </w:tr>
      <w:tr w:rsidR="00BE3320" w:rsidRPr="00AB315F" w14:paraId="0E24EA2F"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692B9B31" w14:textId="77777777" w:rsidR="00BE3320" w:rsidRPr="00AB315F" w:rsidRDefault="00BE3320" w:rsidP="00BE3320">
            <w:pPr>
              <w:rPr>
                <w:rFonts w:ascii="Calibri" w:hAnsi="Calibri"/>
                <w:sz w:val="22"/>
                <w:szCs w:val="22"/>
              </w:rPr>
            </w:pPr>
            <w:r w:rsidRPr="00AB315F">
              <w:rPr>
                <w:rFonts w:ascii="Calibri" w:hAnsi="Calibri"/>
                <w:sz w:val="22"/>
                <w:szCs w:val="22"/>
              </w:rPr>
              <w:t>Var. Expl.</w:t>
            </w:r>
          </w:p>
        </w:tc>
        <w:tc>
          <w:tcPr>
            <w:tcW w:w="927" w:type="dxa"/>
            <w:tcBorders>
              <w:top w:val="nil"/>
              <w:left w:val="nil"/>
              <w:bottom w:val="nil"/>
              <w:right w:val="single" w:sz="4" w:space="0" w:color="auto"/>
            </w:tcBorders>
            <w:shd w:val="clear" w:color="auto" w:fill="auto"/>
            <w:noWrap/>
            <w:vAlign w:val="center"/>
            <w:hideMark/>
          </w:tcPr>
          <w:p w14:paraId="48ED8955" w14:textId="77777777" w:rsidR="00BE3320" w:rsidRPr="00AB315F" w:rsidRDefault="00BE3320" w:rsidP="00BE3320">
            <w:pPr>
              <w:jc w:val="center"/>
              <w:rPr>
                <w:rFonts w:ascii="Calibri" w:hAnsi="Calibri"/>
                <w:sz w:val="22"/>
                <w:szCs w:val="22"/>
              </w:rPr>
            </w:pPr>
            <w:r w:rsidRPr="00AB315F">
              <w:rPr>
                <w:rFonts w:ascii="Calibri" w:hAnsi="Calibri"/>
                <w:sz w:val="22"/>
                <w:szCs w:val="22"/>
              </w:rPr>
              <w:t>0,535</w:t>
            </w:r>
          </w:p>
        </w:tc>
        <w:tc>
          <w:tcPr>
            <w:tcW w:w="927" w:type="dxa"/>
            <w:tcBorders>
              <w:top w:val="nil"/>
              <w:left w:val="nil"/>
              <w:bottom w:val="nil"/>
              <w:right w:val="single" w:sz="4" w:space="0" w:color="auto"/>
            </w:tcBorders>
            <w:shd w:val="clear" w:color="auto" w:fill="auto"/>
            <w:noWrap/>
            <w:vAlign w:val="center"/>
            <w:hideMark/>
          </w:tcPr>
          <w:p w14:paraId="5BBA563F" w14:textId="77777777" w:rsidR="00BE3320" w:rsidRPr="00AB315F" w:rsidRDefault="00BE3320" w:rsidP="00BE3320">
            <w:pPr>
              <w:jc w:val="center"/>
              <w:rPr>
                <w:rFonts w:ascii="Calibri" w:hAnsi="Calibri"/>
                <w:sz w:val="22"/>
                <w:szCs w:val="22"/>
              </w:rPr>
            </w:pPr>
            <w:r w:rsidRPr="00AB315F">
              <w:rPr>
                <w:rFonts w:ascii="Calibri" w:hAnsi="Calibri"/>
                <w:sz w:val="22"/>
                <w:szCs w:val="22"/>
              </w:rPr>
              <w:t>0,488</w:t>
            </w:r>
          </w:p>
        </w:tc>
        <w:tc>
          <w:tcPr>
            <w:tcW w:w="927" w:type="dxa"/>
            <w:tcBorders>
              <w:top w:val="nil"/>
              <w:left w:val="nil"/>
              <w:bottom w:val="nil"/>
              <w:right w:val="single" w:sz="4" w:space="0" w:color="auto"/>
            </w:tcBorders>
            <w:shd w:val="clear" w:color="auto" w:fill="auto"/>
            <w:noWrap/>
            <w:vAlign w:val="center"/>
            <w:hideMark/>
          </w:tcPr>
          <w:p w14:paraId="168B9CF6" w14:textId="77777777" w:rsidR="00BE3320" w:rsidRPr="00AB315F" w:rsidRDefault="00BE3320" w:rsidP="00BE3320">
            <w:pPr>
              <w:jc w:val="center"/>
              <w:rPr>
                <w:rFonts w:ascii="Calibri" w:hAnsi="Calibri"/>
                <w:sz w:val="22"/>
                <w:szCs w:val="22"/>
              </w:rPr>
            </w:pPr>
            <w:r w:rsidRPr="00AB315F">
              <w:rPr>
                <w:rFonts w:ascii="Calibri" w:hAnsi="Calibri"/>
                <w:sz w:val="22"/>
                <w:szCs w:val="22"/>
              </w:rPr>
              <w:t>0,612</w:t>
            </w:r>
          </w:p>
        </w:tc>
        <w:tc>
          <w:tcPr>
            <w:tcW w:w="927" w:type="dxa"/>
            <w:tcBorders>
              <w:top w:val="nil"/>
              <w:left w:val="nil"/>
              <w:bottom w:val="nil"/>
              <w:right w:val="single" w:sz="4" w:space="0" w:color="auto"/>
            </w:tcBorders>
            <w:shd w:val="clear" w:color="auto" w:fill="auto"/>
            <w:noWrap/>
            <w:vAlign w:val="center"/>
            <w:hideMark/>
          </w:tcPr>
          <w:p w14:paraId="05113654" w14:textId="77777777" w:rsidR="00BE3320" w:rsidRPr="00AB315F" w:rsidRDefault="00BE3320" w:rsidP="00BE3320">
            <w:pPr>
              <w:jc w:val="center"/>
              <w:rPr>
                <w:rFonts w:ascii="Calibri" w:hAnsi="Calibri"/>
                <w:sz w:val="22"/>
                <w:szCs w:val="22"/>
              </w:rPr>
            </w:pPr>
            <w:r w:rsidRPr="00AB315F">
              <w:rPr>
                <w:rFonts w:ascii="Calibri" w:hAnsi="Calibri"/>
                <w:sz w:val="22"/>
                <w:szCs w:val="22"/>
              </w:rPr>
              <w:t>0,474</w:t>
            </w:r>
          </w:p>
        </w:tc>
        <w:tc>
          <w:tcPr>
            <w:tcW w:w="927" w:type="dxa"/>
            <w:tcBorders>
              <w:top w:val="nil"/>
              <w:left w:val="nil"/>
              <w:bottom w:val="nil"/>
              <w:right w:val="single" w:sz="4" w:space="0" w:color="auto"/>
            </w:tcBorders>
            <w:shd w:val="clear" w:color="auto" w:fill="auto"/>
            <w:noWrap/>
            <w:vAlign w:val="center"/>
            <w:hideMark/>
          </w:tcPr>
          <w:p w14:paraId="005DE765" w14:textId="77777777" w:rsidR="00BE3320" w:rsidRPr="00AB315F" w:rsidRDefault="00BE3320" w:rsidP="00BE3320">
            <w:pPr>
              <w:jc w:val="center"/>
              <w:rPr>
                <w:rFonts w:ascii="Calibri" w:hAnsi="Calibri"/>
                <w:sz w:val="22"/>
                <w:szCs w:val="22"/>
              </w:rPr>
            </w:pPr>
            <w:r w:rsidRPr="00AB315F">
              <w:rPr>
                <w:rFonts w:ascii="Calibri" w:hAnsi="Calibri"/>
                <w:sz w:val="22"/>
                <w:szCs w:val="22"/>
              </w:rPr>
              <w:t>0,508</w:t>
            </w:r>
          </w:p>
        </w:tc>
        <w:tc>
          <w:tcPr>
            <w:tcW w:w="927" w:type="dxa"/>
            <w:tcBorders>
              <w:top w:val="nil"/>
              <w:left w:val="nil"/>
              <w:bottom w:val="nil"/>
              <w:right w:val="nil"/>
            </w:tcBorders>
            <w:shd w:val="clear" w:color="auto" w:fill="auto"/>
            <w:noWrap/>
            <w:vAlign w:val="center"/>
            <w:hideMark/>
          </w:tcPr>
          <w:p w14:paraId="2D82CDFB" w14:textId="77777777" w:rsidR="00BE3320" w:rsidRPr="00AB315F" w:rsidRDefault="00BE3320" w:rsidP="00BE3320">
            <w:pPr>
              <w:jc w:val="center"/>
              <w:rPr>
                <w:rFonts w:ascii="Calibri" w:hAnsi="Calibri"/>
                <w:sz w:val="22"/>
                <w:szCs w:val="22"/>
              </w:rPr>
            </w:pPr>
            <w:r w:rsidRPr="00AB315F">
              <w:rPr>
                <w:rFonts w:ascii="Calibri" w:hAnsi="Calibri"/>
                <w:sz w:val="22"/>
                <w:szCs w:val="22"/>
              </w:rPr>
              <w:t>0,407</w:t>
            </w:r>
          </w:p>
        </w:tc>
      </w:tr>
      <w:tr w:rsidR="00BE3320" w:rsidRPr="00AB315F" w14:paraId="09547535" w14:textId="77777777" w:rsidTr="0094228B">
        <w:trPr>
          <w:trHeight w:val="290"/>
          <w:jc w:val="center"/>
        </w:trPr>
        <w:tc>
          <w:tcPr>
            <w:tcW w:w="1102" w:type="dxa"/>
            <w:tcBorders>
              <w:top w:val="nil"/>
              <w:left w:val="nil"/>
              <w:bottom w:val="nil"/>
              <w:right w:val="single" w:sz="4" w:space="0" w:color="auto"/>
            </w:tcBorders>
            <w:shd w:val="clear" w:color="auto" w:fill="auto"/>
            <w:noWrap/>
            <w:vAlign w:val="bottom"/>
            <w:hideMark/>
          </w:tcPr>
          <w:p w14:paraId="3938C053" w14:textId="77777777" w:rsidR="00BE3320" w:rsidRPr="00AB315F" w:rsidRDefault="00BE3320" w:rsidP="00BE3320">
            <w:pPr>
              <w:rPr>
                <w:rFonts w:ascii="Calibri" w:hAnsi="Calibri"/>
                <w:sz w:val="22"/>
                <w:szCs w:val="22"/>
              </w:rPr>
            </w:pPr>
            <w:r w:rsidRPr="00AB315F">
              <w:rPr>
                <w:rFonts w:ascii="Calibri" w:hAnsi="Calibri"/>
                <w:sz w:val="22"/>
                <w:szCs w:val="22"/>
              </w:rPr>
              <w:t>KMO</w:t>
            </w:r>
          </w:p>
        </w:tc>
        <w:tc>
          <w:tcPr>
            <w:tcW w:w="927" w:type="dxa"/>
            <w:tcBorders>
              <w:top w:val="nil"/>
              <w:left w:val="nil"/>
              <w:bottom w:val="nil"/>
              <w:right w:val="single" w:sz="4" w:space="0" w:color="auto"/>
            </w:tcBorders>
            <w:shd w:val="clear" w:color="auto" w:fill="auto"/>
            <w:noWrap/>
            <w:vAlign w:val="center"/>
            <w:hideMark/>
          </w:tcPr>
          <w:p w14:paraId="51371348" w14:textId="77777777" w:rsidR="00BE3320" w:rsidRPr="00AB315F" w:rsidRDefault="00BE3320" w:rsidP="00BE3320">
            <w:pPr>
              <w:jc w:val="center"/>
              <w:rPr>
                <w:rFonts w:ascii="Calibri" w:hAnsi="Calibri"/>
                <w:sz w:val="22"/>
                <w:szCs w:val="22"/>
              </w:rPr>
            </w:pPr>
            <w:r w:rsidRPr="00AB315F">
              <w:rPr>
                <w:rFonts w:ascii="Calibri" w:hAnsi="Calibri"/>
                <w:sz w:val="22"/>
                <w:szCs w:val="22"/>
              </w:rPr>
              <w:t>0,745</w:t>
            </w:r>
          </w:p>
        </w:tc>
        <w:tc>
          <w:tcPr>
            <w:tcW w:w="927" w:type="dxa"/>
            <w:tcBorders>
              <w:top w:val="nil"/>
              <w:left w:val="nil"/>
              <w:bottom w:val="nil"/>
              <w:right w:val="single" w:sz="4" w:space="0" w:color="auto"/>
            </w:tcBorders>
            <w:shd w:val="clear" w:color="auto" w:fill="auto"/>
            <w:noWrap/>
            <w:vAlign w:val="center"/>
            <w:hideMark/>
          </w:tcPr>
          <w:p w14:paraId="48EB96E9" w14:textId="77777777" w:rsidR="00BE3320" w:rsidRPr="00AB315F" w:rsidRDefault="00BE3320" w:rsidP="00BE3320">
            <w:pPr>
              <w:jc w:val="center"/>
              <w:rPr>
                <w:rFonts w:ascii="Calibri" w:hAnsi="Calibri"/>
                <w:sz w:val="22"/>
                <w:szCs w:val="22"/>
              </w:rPr>
            </w:pPr>
            <w:r w:rsidRPr="00AB315F">
              <w:rPr>
                <w:rFonts w:ascii="Calibri" w:hAnsi="Calibri"/>
                <w:sz w:val="22"/>
                <w:szCs w:val="22"/>
              </w:rPr>
              <w:t>0,674</w:t>
            </w:r>
          </w:p>
        </w:tc>
        <w:tc>
          <w:tcPr>
            <w:tcW w:w="927" w:type="dxa"/>
            <w:tcBorders>
              <w:top w:val="nil"/>
              <w:left w:val="nil"/>
              <w:bottom w:val="nil"/>
              <w:right w:val="single" w:sz="4" w:space="0" w:color="auto"/>
            </w:tcBorders>
            <w:shd w:val="clear" w:color="auto" w:fill="auto"/>
            <w:noWrap/>
            <w:vAlign w:val="center"/>
            <w:hideMark/>
          </w:tcPr>
          <w:p w14:paraId="110935C0" w14:textId="77777777" w:rsidR="00BE3320" w:rsidRPr="00AB315F" w:rsidRDefault="00BE3320" w:rsidP="00BE3320">
            <w:pPr>
              <w:jc w:val="center"/>
              <w:rPr>
                <w:rFonts w:ascii="Calibri" w:hAnsi="Calibri"/>
                <w:sz w:val="22"/>
                <w:szCs w:val="22"/>
              </w:rPr>
            </w:pPr>
            <w:r w:rsidRPr="00AB315F">
              <w:rPr>
                <w:rFonts w:ascii="Calibri" w:hAnsi="Calibri"/>
                <w:sz w:val="22"/>
                <w:szCs w:val="22"/>
              </w:rPr>
              <w:t>0,715</w:t>
            </w:r>
          </w:p>
        </w:tc>
        <w:tc>
          <w:tcPr>
            <w:tcW w:w="927" w:type="dxa"/>
            <w:tcBorders>
              <w:top w:val="nil"/>
              <w:left w:val="nil"/>
              <w:bottom w:val="nil"/>
              <w:right w:val="single" w:sz="4" w:space="0" w:color="auto"/>
            </w:tcBorders>
            <w:shd w:val="clear" w:color="auto" w:fill="auto"/>
            <w:noWrap/>
            <w:vAlign w:val="center"/>
            <w:hideMark/>
          </w:tcPr>
          <w:p w14:paraId="295FB6B5" w14:textId="77777777" w:rsidR="00BE3320" w:rsidRPr="00AB315F" w:rsidRDefault="00BE3320" w:rsidP="00BE3320">
            <w:pPr>
              <w:jc w:val="center"/>
              <w:rPr>
                <w:rFonts w:ascii="Calibri" w:hAnsi="Calibri"/>
                <w:sz w:val="22"/>
                <w:szCs w:val="22"/>
              </w:rPr>
            </w:pPr>
            <w:r w:rsidRPr="00AB315F">
              <w:rPr>
                <w:rFonts w:ascii="Calibri" w:hAnsi="Calibri"/>
                <w:sz w:val="22"/>
                <w:szCs w:val="22"/>
              </w:rPr>
              <w:t>0,626</w:t>
            </w:r>
          </w:p>
        </w:tc>
        <w:tc>
          <w:tcPr>
            <w:tcW w:w="927" w:type="dxa"/>
            <w:tcBorders>
              <w:top w:val="nil"/>
              <w:left w:val="nil"/>
              <w:bottom w:val="nil"/>
              <w:right w:val="single" w:sz="4" w:space="0" w:color="auto"/>
            </w:tcBorders>
            <w:shd w:val="clear" w:color="auto" w:fill="auto"/>
            <w:noWrap/>
            <w:vAlign w:val="center"/>
            <w:hideMark/>
          </w:tcPr>
          <w:p w14:paraId="57F0FAD2" w14:textId="77777777" w:rsidR="00BE3320" w:rsidRPr="00AB315F" w:rsidRDefault="00BE3320" w:rsidP="00BE3320">
            <w:pPr>
              <w:jc w:val="center"/>
              <w:rPr>
                <w:rFonts w:ascii="Calibri" w:hAnsi="Calibri"/>
                <w:sz w:val="22"/>
                <w:szCs w:val="22"/>
              </w:rPr>
            </w:pPr>
            <w:r w:rsidRPr="00AB315F">
              <w:rPr>
                <w:rFonts w:ascii="Calibri" w:hAnsi="Calibri"/>
                <w:sz w:val="22"/>
                <w:szCs w:val="22"/>
              </w:rPr>
              <w:t>0,626</w:t>
            </w:r>
          </w:p>
        </w:tc>
        <w:tc>
          <w:tcPr>
            <w:tcW w:w="927" w:type="dxa"/>
            <w:tcBorders>
              <w:top w:val="nil"/>
              <w:left w:val="nil"/>
              <w:bottom w:val="nil"/>
              <w:right w:val="nil"/>
            </w:tcBorders>
            <w:shd w:val="clear" w:color="auto" w:fill="auto"/>
            <w:noWrap/>
            <w:vAlign w:val="center"/>
            <w:hideMark/>
          </w:tcPr>
          <w:p w14:paraId="52D3258D" w14:textId="77777777" w:rsidR="00BE3320" w:rsidRPr="00AB315F" w:rsidRDefault="00BE3320" w:rsidP="00BE3320">
            <w:pPr>
              <w:jc w:val="center"/>
              <w:rPr>
                <w:rFonts w:ascii="Calibri" w:hAnsi="Calibri"/>
                <w:sz w:val="22"/>
                <w:szCs w:val="22"/>
              </w:rPr>
            </w:pPr>
            <w:r w:rsidRPr="00AB315F">
              <w:rPr>
                <w:rFonts w:ascii="Calibri" w:hAnsi="Calibri"/>
                <w:sz w:val="22"/>
                <w:szCs w:val="22"/>
              </w:rPr>
              <w:t>0,545</w:t>
            </w:r>
          </w:p>
        </w:tc>
      </w:tr>
      <w:tr w:rsidR="00BE3320" w:rsidRPr="00AB315F" w14:paraId="32676C90" w14:textId="77777777" w:rsidTr="0094228B">
        <w:trPr>
          <w:trHeight w:val="290"/>
          <w:jc w:val="center"/>
        </w:trPr>
        <w:tc>
          <w:tcPr>
            <w:tcW w:w="1102" w:type="dxa"/>
            <w:tcBorders>
              <w:top w:val="nil"/>
              <w:left w:val="nil"/>
              <w:bottom w:val="single" w:sz="4" w:space="0" w:color="auto"/>
              <w:right w:val="single" w:sz="4" w:space="0" w:color="auto"/>
            </w:tcBorders>
            <w:shd w:val="clear" w:color="auto" w:fill="auto"/>
            <w:noWrap/>
            <w:vAlign w:val="bottom"/>
            <w:hideMark/>
          </w:tcPr>
          <w:p w14:paraId="082123B6" w14:textId="77777777" w:rsidR="00BE3320" w:rsidRPr="00AB315F" w:rsidRDefault="00BE3320" w:rsidP="00BE3320">
            <w:pPr>
              <w:rPr>
                <w:rFonts w:ascii="Calibri" w:hAnsi="Calibri"/>
                <w:sz w:val="22"/>
                <w:szCs w:val="22"/>
              </w:rPr>
            </w:pPr>
            <w:r w:rsidRPr="00AB315F">
              <w:rPr>
                <w:rFonts w:ascii="Calibri" w:hAnsi="Calibri"/>
                <w:sz w:val="22"/>
                <w:szCs w:val="22"/>
              </w:rPr>
              <w:t>Alpha</w:t>
            </w:r>
          </w:p>
        </w:tc>
        <w:tc>
          <w:tcPr>
            <w:tcW w:w="927" w:type="dxa"/>
            <w:tcBorders>
              <w:top w:val="nil"/>
              <w:left w:val="nil"/>
              <w:bottom w:val="single" w:sz="4" w:space="0" w:color="auto"/>
              <w:right w:val="single" w:sz="4" w:space="0" w:color="auto"/>
            </w:tcBorders>
            <w:shd w:val="clear" w:color="auto" w:fill="auto"/>
            <w:noWrap/>
            <w:vAlign w:val="center"/>
            <w:hideMark/>
          </w:tcPr>
          <w:p w14:paraId="7A63AC18" w14:textId="77777777" w:rsidR="00BE3320" w:rsidRPr="00AB315F" w:rsidRDefault="00BE3320" w:rsidP="00BE3320">
            <w:pPr>
              <w:jc w:val="center"/>
              <w:rPr>
                <w:rFonts w:ascii="Calibri" w:hAnsi="Calibri"/>
                <w:sz w:val="22"/>
                <w:szCs w:val="22"/>
              </w:rPr>
            </w:pPr>
            <w:r w:rsidRPr="00AB315F">
              <w:rPr>
                <w:rFonts w:ascii="Calibri" w:hAnsi="Calibri"/>
                <w:sz w:val="22"/>
                <w:szCs w:val="22"/>
              </w:rPr>
              <w:t>0,709</w:t>
            </w:r>
          </w:p>
        </w:tc>
        <w:tc>
          <w:tcPr>
            <w:tcW w:w="927" w:type="dxa"/>
            <w:tcBorders>
              <w:top w:val="nil"/>
              <w:left w:val="nil"/>
              <w:bottom w:val="single" w:sz="4" w:space="0" w:color="auto"/>
              <w:right w:val="single" w:sz="4" w:space="0" w:color="auto"/>
            </w:tcBorders>
            <w:shd w:val="clear" w:color="auto" w:fill="auto"/>
            <w:noWrap/>
            <w:vAlign w:val="center"/>
            <w:hideMark/>
          </w:tcPr>
          <w:p w14:paraId="5CCE10A6" w14:textId="77777777" w:rsidR="00BE3320" w:rsidRPr="00AB315F" w:rsidRDefault="00BE3320" w:rsidP="00BE3320">
            <w:pPr>
              <w:jc w:val="center"/>
              <w:rPr>
                <w:rFonts w:ascii="Calibri" w:hAnsi="Calibri"/>
                <w:sz w:val="22"/>
                <w:szCs w:val="22"/>
              </w:rPr>
            </w:pPr>
            <w:r w:rsidRPr="00AB315F">
              <w:rPr>
                <w:rFonts w:ascii="Calibri" w:hAnsi="Calibri"/>
                <w:sz w:val="22"/>
                <w:szCs w:val="22"/>
              </w:rPr>
              <w:t>0,632</w:t>
            </w:r>
          </w:p>
        </w:tc>
        <w:tc>
          <w:tcPr>
            <w:tcW w:w="927" w:type="dxa"/>
            <w:tcBorders>
              <w:top w:val="nil"/>
              <w:left w:val="nil"/>
              <w:bottom w:val="single" w:sz="4" w:space="0" w:color="auto"/>
              <w:right w:val="single" w:sz="4" w:space="0" w:color="auto"/>
            </w:tcBorders>
            <w:shd w:val="clear" w:color="auto" w:fill="auto"/>
            <w:noWrap/>
            <w:vAlign w:val="center"/>
            <w:hideMark/>
          </w:tcPr>
          <w:p w14:paraId="68619AED" w14:textId="77777777" w:rsidR="00BE3320" w:rsidRPr="00AB315F" w:rsidRDefault="00BE3320" w:rsidP="00BE3320">
            <w:pPr>
              <w:jc w:val="center"/>
              <w:rPr>
                <w:rFonts w:ascii="Calibri" w:hAnsi="Calibri"/>
                <w:sz w:val="22"/>
                <w:szCs w:val="22"/>
              </w:rPr>
            </w:pPr>
            <w:r w:rsidRPr="00AB315F">
              <w:rPr>
                <w:rFonts w:ascii="Calibri" w:hAnsi="Calibri"/>
                <w:sz w:val="22"/>
                <w:szCs w:val="22"/>
              </w:rPr>
              <w:t>0,784</w:t>
            </w:r>
          </w:p>
        </w:tc>
        <w:tc>
          <w:tcPr>
            <w:tcW w:w="927" w:type="dxa"/>
            <w:tcBorders>
              <w:top w:val="nil"/>
              <w:left w:val="nil"/>
              <w:bottom w:val="single" w:sz="4" w:space="0" w:color="auto"/>
              <w:right w:val="single" w:sz="4" w:space="0" w:color="auto"/>
            </w:tcBorders>
            <w:shd w:val="clear" w:color="auto" w:fill="auto"/>
            <w:noWrap/>
            <w:vAlign w:val="center"/>
            <w:hideMark/>
          </w:tcPr>
          <w:p w14:paraId="03816226" w14:textId="77777777" w:rsidR="00BE3320" w:rsidRPr="00AB315F" w:rsidRDefault="00BE3320" w:rsidP="00BE3320">
            <w:pPr>
              <w:jc w:val="center"/>
              <w:rPr>
                <w:rFonts w:ascii="Calibri" w:hAnsi="Calibri"/>
                <w:sz w:val="22"/>
                <w:szCs w:val="22"/>
              </w:rPr>
            </w:pPr>
            <w:r w:rsidRPr="00AB315F">
              <w:rPr>
                <w:rFonts w:ascii="Calibri" w:hAnsi="Calibri"/>
                <w:sz w:val="22"/>
                <w:szCs w:val="22"/>
              </w:rPr>
              <w:t>0,589</w:t>
            </w:r>
          </w:p>
        </w:tc>
        <w:tc>
          <w:tcPr>
            <w:tcW w:w="927" w:type="dxa"/>
            <w:tcBorders>
              <w:top w:val="nil"/>
              <w:left w:val="nil"/>
              <w:bottom w:val="single" w:sz="4" w:space="0" w:color="auto"/>
              <w:right w:val="single" w:sz="4" w:space="0" w:color="auto"/>
            </w:tcBorders>
            <w:shd w:val="clear" w:color="auto" w:fill="auto"/>
            <w:noWrap/>
            <w:vAlign w:val="center"/>
            <w:hideMark/>
          </w:tcPr>
          <w:p w14:paraId="159EFC70" w14:textId="77777777" w:rsidR="00BE3320" w:rsidRPr="00AB315F" w:rsidRDefault="00BE3320" w:rsidP="00BE3320">
            <w:pPr>
              <w:jc w:val="center"/>
              <w:rPr>
                <w:rFonts w:ascii="Calibri" w:hAnsi="Calibri"/>
                <w:sz w:val="22"/>
                <w:szCs w:val="22"/>
              </w:rPr>
            </w:pPr>
            <w:r w:rsidRPr="00AB315F">
              <w:rPr>
                <w:rFonts w:ascii="Calibri" w:hAnsi="Calibri"/>
                <w:sz w:val="22"/>
                <w:szCs w:val="22"/>
              </w:rPr>
              <w:t>0,656</w:t>
            </w:r>
          </w:p>
        </w:tc>
        <w:tc>
          <w:tcPr>
            <w:tcW w:w="927" w:type="dxa"/>
            <w:tcBorders>
              <w:top w:val="nil"/>
              <w:left w:val="nil"/>
              <w:bottom w:val="single" w:sz="4" w:space="0" w:color="auto"/>
              <w:right w:val="nil"/>
            </w:tcBorders>
            <w:shd w:val="clear" w:color="auto" w:fill="auto"/>
            <w:noWrap/>
            <w:vAlign w:val="center"/>
            <w:hideMark/>
          </w:tcPr>
          <w:p w14:paraId="0F4703BF" w14:textId="77777777" w:rsidR="00BE3320" w:rsidRPr="00AB315F" w:rsidRDefault="00BE3320" w:rsidP="00BE3320">
            <w:pPr>
              <w:jc w:val="center"/>
              <w:rPr>
                <w:rFonts w:ascii="Calibri" w:hAnsi="Calibri"/>
                <w:sz w:val="22"/>
                <w:szCs w:val="22"/>
              </w:rPr>
            </w:pPr>
            <w:r w:rsidRPr="00AB315F">
              <w:rPr>
                <w:rFonts w:ascii="Calibri" w:hAnsi="Calibri"/>
                <w:sz w:val="22"/>
                <w:szCs w:val="22"/>
              </w:rPr>
              <w:t>0,556</w:t>
            </w:r>
          </w:p>
        </w:tc>
      </w:tr>
    </w:tbl>
    <w:p w14:paraId="2658B621" w14:textId="76170C64" w:rsidR="001F728A" w:rsidRPr="001F728A" w:rsidRDefault="001F728A" w:rsidP="00ED2DAB">
      <w:pPr>
        <w:spacing w:line="360" w:lineRule="auto"/>
        <w:ind w:firstLine="708"/>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 </w:t>
      </w:r>
      <w:r>
        <w:rPr>
          <w:rFonts w:ascii="Calibri" w:hAnsi="Calibri"/>
          <w:sz w:val="20"/>
          <w:szCs w:val="22"/>
        </w:rPr>
        <w:t>elaboração própria</w:t>
      </w:r>
    </w:p>
    <w:p w14:paraId="21A67403" w14:textId="77777777" w:rsidR="005A249C" w:rsidRPr="00AB315F" w:rsidRDefault="005A249C" w:rsidP="005F17D0">
      <w:pPr>
        <w:spacing w:line="360" w:lineRule="auto"/>
        <w:jc w:val="both"/>
        <w:rPr>
          <w:rFonts w:asciiTheme="minorHAnsi" w:hAnsiTheme="minorHAnsi"/>
        </w:rPr>
      </w:pPr>
    </w:p>
    <w:p w14:paraId="5CE8A46B" w14:textId="63F88DA3" w:rsidR="00E15C4B" w:rsidRDefault="00E15C4B">
      <w:pPr>
        <w:spacing w:after="160" w:line="259" w:lineRule="auto"/>
        <w:rPr>
          <w:rFonts w:asciiTheme="minorHAnsi" w:hAnsiTheme="minorHAnsi"/>
        </w:rPr>
      </w:pPr>
      <w:r>
        <w:rPr>
          <w:rFonts w:asciiTheme="minorHAnsi" w:hAnsiTheme="minorHAnsi"/>
        </w:rPr>
        <w:br w:type="page"/>
      </w:r>
    </w:p>
    <w:p w14:paraId="7A456B2E" w14:textId="06C98E09" w:rsidR="00E15C4B" w:rsidRPr="003606CD" w:rsidRDefault="00E15C4B" w:rsidP="003606CD">
      <w:pPr>
        <w:spacing w:after="240" w:line="360" w:lineRule="auto"/>
        <w:jc w:val="center"/>
        <w:rPr>
          <w:rFonts w:asciiTheme="minorHAnsi" w:hAnsiTheme="minorHAnsi"/>
          <w:b/>
        </w:rPr>
      </w:pPr>
      <w:r w:rsidRPr="003606CD">
        <w:rPr>
          <w:rFonts w:asciiTheme="minorHAnsi" w:hAnsiTheme="minorHAnsi"/>
          <w:b/>
        </w:rPr>
        <w:lastRenderedPageBreak/>
        <w:t xml:space="preserve">Gráfico 9. </w:t>
      </w:r>
      <w:r w:rsidRPr="003606CD">
        <w:rPr>
          <w:rFonts w:asciiTheme="minorHAnsi" w:hAnsiTheme="minorHAnsi"/>
          <w:b/>
          <w:bCs/>
        </w:rPr>
        <w:t>Variância explicada do</w:t>
      </w:r>
      <w:r w:rsidR="003606CD" w:rsidRPr="003606CD">
        <w:rPr>
          <w:rFonts w:asciiTheme="minorHAnsi" w:hAnsiTheme="minorHAnsi"/>
          <w:b/>
          <w:bCs/>
        </w:rPr>
        <w:t>s</w:t>
      </w:r>
      <w:r w:rsidRPr="003606CD">
        <w:rPr>
          <w:rFonts w:asciiTheme="minorHAnsi" w:hAnsiTheme="minorHAnsi"/>
          <w:b/>
          <w:bCs/>
        </w:rPr>
        <w:t xml:space="preserve"> fator</w:t>
      </w:r>
      <w:r w:rsidR="003606CD" w:rsidRPr="003606CD">
        <w:rPr>
          <w:rFonts w:asciiTheme="minorHAnsi" w:hAnsiTheme="minorHAnsi"/>
          <w:b/>
          <w:bCs/>
        </w:rPr>
        <w:t>es</w:t>
      </w:r>
      <w:r w:rsidRPr="003606CD">
        <w:rPr>
          <w:rFonts w:asciiTheme="minorHAnsi" w:hAnsiTheme="minorHAnsi"/>
          <w:b/>
          <w:bCs/>
        </w:rPr>
        <w:t xml:space="preserve"> subjacente</w:t>
      </w:r>
      <w:r w:rsidR="003606CD" w:rsidRPr="003606CD">
        <w:rPr>
          <w:rFonts w:asciiTheme="minorHAnsi" w:hAnsiTheme="minorHAnsi"/>
          <w:b/>
          <w:bCs/>
        </w:rPr>
        <w:t>s</w:t>
      </w:r>
      <w:r w:rsidR="003606CD">
        <w:rPr>
          <w:rFonts w:asciiTheme="minorHAnsi" w:hAnsiTheme="minorHAnsi"/>
          <w:b/>
          <w:bCs/>
        </w:rPr>
        <w:t xml:space="preserve"> (AFE)</w:t>
      </w:r>
    </w:p>
    <w:p w14:paraId="347CCB59" w14:textId="48068762" w:rsidR="0094228B" w:rsidRPr="00AB315F" w:rsidRDefault="008D18A0" w:rsidP="008D18A0">
      <w:pPr>
        <w:spacing w:line="360" w:lineRule="auto"/>
        <w:jc w:val="center"/>
        <w:rPr>
          <w:rFonts w:asciiTheme="minorHAnsi" w:hAnsiTheme="minorHAnsi"/>
        </w:rPr>
      </w:pPr>
      <w:r w:rsidRPr="00AB315F">
        <w:rPr>
          <w:noProof/>
        </w:rPr>
        <w:drawing>
          <wp:inline distT="0" distB="0" distL="0" distR="0" wp14:anchorId="3D8499C3" wp14:editId="3DCCB490">
            <wp:extent cx="5163820" cy="2806810"/>
            <wp:effectExtent l="0" t="0" r="17780" b="1270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AF4A487" w14:textId="6D434499"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 </w:t>
      </w:r>
      <w:r>
        <w:rPr>
          <w:rFonts w:ascii="Calibri" w:hAnsi="Calibri"/>
          <w:sz w:val="20"/>
          <w:szCs w:val="22"/>
        </w:rPr>
        <w:t>elaboração própria</w:t>
      </w:r>
    </w:p>
    <w:p w14:paraId="3A33A913" w14:textId="77777777" w:rsidR="009C21E5" w:rsidRDefault="009C21E5" w:rsidP="00B35BE0">
      <w:pPr>
        <w:spacing w:line="360" w:lineRule="auto"/>
        <w:jc w:val="both"/>
        <w:rPr>
          <w:rFonts w:asciiTheme="minorHAnsi" w:hAnsiTheme="minorHAnsi"/>
        </w:rPr>
      </w:pPr>
    </w:p>
    <w:p w14:paraId="24E7B10F" w14:textId="2BFE7489" w:rsidR="003606CD" w:rsidRPr="003606CD" w:rsidRDefault="003606CD" w:rsidP="003606CD">
      <w:pPr>
        <w:spacing w:after="240" w:line="360" w:lineRule="auto"/>
        <w:jc w:val="center"/>
        <w:rPr>
          <w:rFonts w:asciiTheme="minorHAnsi" w:hAnsiTheme="minorHAnsi"/>
          <w:b/>
        </w:rPr>
      </w:pPr>
      <w:r>
        <w:rPr>
          <w:rFonts w:asciiTheme="minorHAnsi" w:hAnsiTheme="minorHAnsi"/>
          <w:b/>
        </w:rPr>
        <w:t>Gráfico 10</w:t>
      </w:r>
      <w:r w:rsidRPr="003606CD">
        <w:rPr>
          <w:rFonts w:asciiTheme="minorHAnsi" w:hAnsiTheme="minorHAnsi"/>
          <w:b/>
        </w:rPr>
        <w:t xml:space="preserve">. </w:t>
      </w:r>
      <w:r>
        <w:rPr>
          <w:rFonts w:asciiTheme="minorHAnsi" w:hAnsiTheme="minorHAnsi"/>
          <w:b/>
          <w:bCs/>
        </w:rPr>
        <w:t>Coeficiente alpha dos indicadores observáveis (alpha de cronbach)</w:t>
      </w:r>
    </w:p>
    <w:p w14:paraId="5D57375A" w14:textId="4A162DEE" w:rsidR="00510212" w:rsidRDefault="008D18A0" w:rsidP="008D18A0">
      <w:pPr>
        <w:spacing w:line="360" w:lineRule="auto"/>
        <w:jc w:val="center"/>
        <w:rPr>
          <w:rFonts w:asciiTheme="minorHAnsi" w:hAnsiTheme="minorHAnsi"/>
        </w:rPr>
      </w:pPr>
      <w:r w:rsidRPr="00AB315F">
        <w:rPr>
          <w:noProof/>
        </w:rPr>
        <w:drawing>
          <wp:inline distT="0" distB="0" distL="0" distR="0" wp14:anchorId="4FECED42" wp14:editId="065AEC55">
            <wp:extent cx="5248275" cy="2918129"/>
            <wp:effectExtent l="0" t="0" r="9525" b="15875"/>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0E56231" w14:textId="48AB8D8E"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w:t>
      </w:r>
      <w:r w:rsidR="00FD55AE">
        <w:rPr>
          <w:rFonts w:ascii="Calibri" w:hAnsi="Calibri"/>
          <w:sz w:val="20"/>
          <w:szCs w:val="22"/>
        </w:rPr>
        <w:t xml:space="preserve"> LAPOP 2008 -</w:t>
      </w:r>
      <w:r>
        <w:rPr>
          <w:rFonts w:ascii="Calibri" w:hAnsi="Calibri"/>
          <w:sz w:val="20"/>
          <w:szCs w:val="22"/>
        </w:rPr>
        <w:t xml:space="preserve"> elaboração própria</w:t>
      </w:r>
    </w:p>
    <w:p w14:paraId="5BC97C3E" w14:textId="77777777" w:rsidR="003606CD" w:rsidRDefault="003606CD" w:rsidP="001F728A">
      <w:pPr>
        <w:spacing w:line="360" w:lineRule="auto"/>
        <w:rPr>
          <w:rFonts w:asciiTheme="minorHAnsi" w:hAnsiTheme="minorHAnsi"/>
        </w:rPr>
      </w:pPr>
    </w:p>
    <w:p w14:paraId="5BB03382" w14:textId="77777777" w:rsidR="003606CD" w:rsidRDefault="003606CD" w:rsidP="008D18A0">
      <w:pPr>
        <w:spacing w:line="360" w:lineRule="auto"/>
        <w:jc w:val="center"/>
        <w:rPr>
          <w:rFonts w:asciiTheme="minorHAnsi" w:hAnsiTheme="minorHAnsi"/>
        </w:rPr>
      </w:pPr>
    </w:p>
    <w:p w14:paraId="11B4EC07" w14:textId="77777777" w:rsidR="003606CD" w:rsidRDefault="003606CD" w:rsidP="008D18A0">
      <w:pPr>
        <w:spacing w:line="360" w:lineRule="auto"/>
        <w:jc w:val="center"/>
        <w:rPr>
          <w:rFonts w:asciiTheme="minorHAnsi" w:hAnsiTheme="minorHAnsi"/>
        </w:rPr>
      </w:pPr>
    </w:p>
    <w:p w14:paraId="64CF8E4D" w14:textId="77777777" w:rsidR="003606CD" w:rsidRDefault="003606CD" w:rsidP="008D18A0">
      <w:pPr>
        <w:spacing w:line="360" w:lineRule="auto"/>
        <w:jc w:val="center"/>
        <w:rPr>
          <w:rFonts w:asciiTheme="minorHAnsi" w:hAnsiTheme="minorHAnsi"/>
        </w:rPr>
      </w:pPr>
    </w:p>
    <w:p w14:paraId="0992FDF0" w14:textId="77777777" w:rsidR="003606CD" w:rsidRDefault="003606CD" w:rsidP="008D18A0">
      <w:pPr>
        <w:spacing w:line="360" w:lineRule="auto"/>
        <w:jc w:val="center"/>
        <w:rPr>
          <w:rFonts w:asciiTheme="minorHAnsi" w:hAnsiTheme="minorHAnsi"/>
        </w:rPr>
      </w:pPr>
    </w:p>
    <w:p w14:paraId="39E5EBA2" w14:textId="2552DC88" w:rsidR="00294959" w:rsidRPr="00AB315F" w:rsidRDefault="0072120D" w:rsidP="00C032AB">
      <w:pPr>
        <w:pStyle w:val="Ttulo2"/>
        <w:spacing w:before="0"/>
        <w:rPr>
          <w:color w:val="auto"/>
        </w:rPr>
      </w:pPr>
      <w:bookmarkStart w:id="28" w:name="_Toc456241261"/>
      <w:r w:rsidRPr="00AB315F">
        <w:rPr>
          <w:color w:val="auto"/>
        </w:rPr>
        <w:lastRenderedPageBreak/>
        <w:t xml:space="preserve">3.4 </w:t>
      </w:r>
      <w:r w:rsidR="002A6ADC" w:rsidRPr="00AB315F">
        <w:rPr>
          <w:color w:val="auto"/>
        </w:rPr>
        <w:t>Evidências de e</w:t>
      </w:r>
      <w:r w:rsidRPr="00AB315F">
        <w:rPr>
          <w:color w:val="auto"/>
        </w:rPr>
        <w:t>specificidade contextual</w:t>
      </w:r>
      <w:bookmarkEnd w:id="28"/>
    </w:p>
    <w:p w14:paraId="448D71FB" w14:textId="77777777" w:rsidR="00294959" w:rsidRPr="00AB315F" w:rsidRDefault="00294959" w:rsidP="00E32D94">
      <w:pPr>
        <w:spacing w:line="360" w:lineRule="auto"/>
        <w:jc w:val="both"/>
        <w:rPr>
          <w:rFonts w:asciiTheme="minorHAnsi" w:hAnsiTheme="minorHAnsi"/>
        </w:rPr>
      </w:pPr>
    </w:p>
    <w:p w14:paraId="79A38E05" w14:textId="77777777" w:rsidR="00344FCC" w:rsidRPr="00AB315F" w:rsidRDefault="00344FCC" w:rsidP="00344FCC">
      <w:pPr>
        <w:spacing w:line="360" w:lineRule="auto"/>
        <w:jc w:val="both"/>
        <w:rPr>
          <w:rFonts w:asciiTheme="minorHAnsi" w:hAnsiTheme="minorHAnsi"/>
        </w:rPr>
      </w:pPr>
      <w:r w:rsidRPr="00AB315F">
        <w:rPr>
          <w:rFonts w:asciiTheme="minorHAnsi" w:hAnsiTheme="minorHAnsi"/>
        </w:rPr>
        <w:tab/>
        <w:t xml:space="preserve">Um ponto em específico atrelado a sensibilidade da medida a contextos, será abordado aqui. Diz respeito ao problema psicométrico da “incomparabilidade de respostas interpessoais”. Ou seja, um item de pesquisa pode ter diferentes significados para os distintos subgrupos da população - que poderiam ser definidas, por região, gênero, classe ou raça. </w:t>
      </w:r>
    </w:p>
    <w:p w14:paraId="128C5606" w14:textId="77777777" w:rsidR="00344FCC" w:rsidRPr="00AB315F" w:rsidRDefault="00344FCC" w:rsidP="00344FCC">
      <w:pPr>
        <w:spacing w:line="360" w:lineRule="auto"/>
        <w:ind w:firstLine="708"/>
        <w:jc w:val="both"/>
        <w:rPr>
          <w:rFonts w:asciiTheme="minorHAnsi" w:hAnsiTheme="minorHAnsi"/>
        </w:rPr>
      </w:pPr>
      <w:r w:rsidRPr="00AB315F">
        <w:rPr>
          <w:rFonts w:asciiTheme="minorHAnsi" w:hAnsiTheme="minorHAnsi"/>
        </w:rPr>
        <w:t>Aqui sugere-se buscar evidências da possível fonte de erro especificada por Caterberg et al (2013) ao se referir sobre a possibilidade de variação do conceito de corrupção entre contextos sul-americanos. A abordagem questiona se subgrupos populacionais diferem sistematicamente em seu "estilo de resposta" (também chamado de "conjuntos de resposta").</w:t>
      </w:r>
    </w:p>
    <w:p w14:paraId="2CCCCF91" w14:textId="77777777" w:rsidR="00344FCC" w:rsidRPr="00AB315F" w:rsidRDefault="00344FCC" w:rsidP="00344FCC">
      <w:pPr>
        <w:spacing w:line="360" w:lineRule="auto"/>
        <w:ind w:firstLine="708"/>
        <w:jc w:val="both"/>
        <w:rPr>
          <w:rFonts w:asciiTheme="minorHAnsi" w:hAnsiTheme="minorHAnsi"/>
        </w:rPr>
      </w:pPr>
      <w:r w:rsidRPr="00AB315F">
        <w:rPr>
          <w:rFonts w:asciiTheme="minorHAnsi" w:hAnsiTheme="minorHAnsi"/>
        </w:rPr>
        <w:t>Conforme pontuado por Adcok e Collier (2010), alguns grupos podem estar mais dispostos a darem respostas extremas, e outros podem tender a respostas moderadas. Shepard (1993, 417) alerta para este problema psicométrico possivelmente presente em indicadores que generalizam significados diferentes para contextos diferentes.</w:t>
      </w:r>
    </w:p>
    <w:p w14:paraId="4843A7AC" w14:textId="77777777" w:rsidR="00344FCC" w:rsidRPr="00AB315F" w:rsidRDefault="00344FCC" w:rsidP="00344FCC">
      <w:pPr>
        <w:spacing w:line="360" w:lineRule="auto"/>
        <w:ind w:firstLine="708"/>
        <w:jc w:val="both"/>
        <w:rPr>
          <w:rFonts w:asciiTheme="minorHAnsi" w:hAnsiTheme="minorHAnsi"/>
        </w:rPr>
      </w:pPr>
      <w:r w:rsidRPr="00AB315F">
        <w:rPr>
          <w:rFonts w:asciiTheme="minorHAnsi" w:hAnsiTheme="minorHAnsi"/>
        </w:rPr>
        <w:t>Segue-se a análise para o caso brasileiro, pergunta-se diferentes grupos da população podem se diferenciar no “estilo de resposta”. No caso, testamos se existe incomparabilidade de respostas quando o entrevistado é perguntado se determinado ato é corrupto ou não. Assim, o efeito de desejabilidade social poderia ser potencializado para aqueles grupos que consideram determinado ato corrupto em detrimento dos grupos que não consideram.</w:t>
      </w:r>
    </w:p>
    <w:p w14:paraId="66843B96" w14:textId="5B626E82" w:rsidR="00344FCC" w:rsidRPr="00AB315F" w:rsidRDefault="00187BF4" w:rsidP="00344FCC">
      <w:pPr>
        <w:spacing w:line="360" w:lineRule="auto"/>
        <w:ind w:firstLine="708"/>
        <w:jc w:val="both"/>
        <w:rPr>
          <w:rFonts w:asciiTheme="minorHAnsi" w:hAnsiTheme="minorHAnsi"/>
        </w:rPr>
      </w:pPr>
      <w:r>
        <w:rPr>
          <w:rFonts w:asciiTheme="minorHAnsi" w:hAnsiTheme="minorHAnsi"/>
        </w:rPr>
        <w:t>A partir da base de</w:t>
      </w:r>
      <w:r w:rsidR="00344FCC" w:rsidRPr="00AB315F">
        <w:rPr>
          <w:rFonts w:asciiTheme="minorHAnsi" w:hAnsiTheme="minorHAnsi"/>
        </w:rPr>
        <w:t xml:space="preserve"> </w:t>
      </w:r>
      <w:r>
        <w:rPr>
          <w:rFonts w:asciiTheme="minorHAnsi" w:hAnsiTheme="minorHAnsi"/>
        </w:rPr>
        <w:t>dados do LAPOP 2008 e testa-se</w:t>
      </w:r>
      <w:r w:rsidR="00344FCC" w:rsidRPr="00AB315F">
        <w:rPr>
          <w:rFonts w:asciiTheme="minorHAnsi" w:hAnsiTheme="minorHAnsi"/>
        </w:rPr>
        <w:t xml:space="preserve"> se existem diferenças nas chances de </w:t>
      </w:r>
      <w:r>
        <w:rPr>
          <w:rFonts w:asciiTheme="minorHAnsi" w:hAnsiTheme="minorHAnsi"/>
        </w:rPr>
        <w:t>de</w:t>
      </w:r>
      <w:r w:rsidR="00344FCC" w:rsidRPr="00AB315F">
        <w:rPr>
          <w:rFonts w:asciiTheme="minorHAnsi" w:hAnsiTheme="minorHAnsi"/>
        </w:rPr>
        <w:t>terminado su</w:t>
      </w:r>
      <w:r>
        <w:rPr>
          <w:rFonts w:asciiTheme="minorHAnsi" w:hAnsiTheme="minorHAnsi"/>
        </w:rPr>
        <w:t>bgrupo da população considerar</w:t>
      </w:r>
      <w:r w:rsidR="00344FCC" w:rsidRPr="00AB315F">
        <w:rPr>
          <w:rFonts w:asciiTheme="minorHAnsi" w:hAnsiTheme="minorHAnsi"/>
        </w:rPr>
        <w:t xml:space="preserve"> uma prática corrupta ou não</w:t>
      </w:r>
      <w:r>
        <w:rPr>
          <w:rFonts w:asciiTheme="minorHAnsi" w:hAnsiTheme="minorHAnsi"/>
        </w:rPr>
        <w:t xml:space="preserve"> contra as chances de outro subgrupo</w:t>
      </w:r>
      <w:r w:rsidR="00344FCC" w:rsidRPr="00AB315F">
        <w:rPr>
          <w:rFonts w:asciiTheme="minorHAnsi" w:hAnsiTheme="minorHAnsi"/>
        </w:rPr>
        <w:t xml:space="preserve">. </w:t>
      </w:r>
    </w:p>
    <w:p w14:paraId="0B53E14B" w14:textId="249FC8F6" w:rsidR="006D44D2" w:rsidRPr="00AB315F" w:rsidRDefault="006D44D2" w:rsidP="00344FCC">
      <w:pPr>
        <w:spacing w:line="360" w:lineRule="auto"/>
        <w:ind w:firstLine="708"/>
        <w:jc w:val="both"/>
        <w:rPr>
          <w:rFonts w:ascii="Calibri" w:hAnsi="Calibri"/>
          <w:sz w:val="22"/>
          <w:szCs w:val="22"/>
        </w:rPr>
      </w:pPr>
      <w:r w:rsidRPr="00AB315F">
        <w:rPr>
          <w:rFonts w:asciiTheme="minorHAnsi" w:hAnsiTheme="minorHAnsi"/>
        </w:rPr>
        <w:t>A variável explicada é o item já mencionado que questiona se a seguinte atitude se justifica ou não: “</w:t>
      </w:r>
      <w:r w:rsidRPr="00AB315F">
        <w:rPr>
          <w:rFonts w:ascii="Calibri" w:hAnsi="Calibri"/>
          <w:bCs/>
        </w:rPr>
        <w:t>Uma mãe com vários filhos tem que tirar uma certidão de nascimento para um deles. Para não perder tempo esperando, ela paga R$10 reais para um funcionário público”. A escala de resposta é nominal: “</w:t>
      </w:r>
      <w:r w:rsidRPr="00AB315F">
        <w:rPr>
          <w:rFonts w:ascii="Calibri" w:hAnsi="Calibri"/>
        </w:rPr>
        <w:t>É corrupto e ela deve ser castigada”, “É corrupto, mas se justifica”, “Não é corrupto”.</w:t>
      </w:r>
      <w:r w:rsidRPr="00AB315F">
        <w:rPr>
          <w:rFonts w:ascii="Calibri" w:hAnsi="Calibri"/>
          <w:sz w:val="22"/>
          <w:szCs w:val="22"/>
        </w:rPr>
        <w:t xml:space="preserve"> </w:t>
      </w:r>
    </w:p>
    <w:p w14:paraId="437516A1" w14:textId="0D2CA1D7" w:rsidR="001A5860" w:rsidRDefault="001A5860" w:rsidP="001A5860">
      <w:pPr>
        <w:spacing w:line="360" w:lineRule="auto"/>
        <w:ind w:firstLine="708"/>
        <w:jc w:val="both"/>
        <w:rPr>
          <w:rFonts w:ascii="Calibri" w:hAnsi="Calibri"/>
        </w:rPr>
      </w:pPr>
      <w:r w:rsidRPr="00AB315F">
        <w:rPr>
          <w:rFonts w:ascii="Calibri" w:hAnsi="Calibri"/>
        </w:rPr>
        <w:lastRenderedPageBreak/>
        <w:t>As variáveis explicativas representam possíveis subgrupos da população atrelados à um “estilo de resposta”. A seguir, descreve-se como a tolerância e até mesmo o conceito da prática varia conforme transitamos por regiões do Brasil.</w:t>
      </w:r>
    </w:p>
    <w:p w14:paraId="4CDB7468" w14:textId="77777777" w:rsidR="001F728A" w:rsidRDefault="001F728A" w:rsidP="001A5860">
      <w:pPr>
        <w:spacing w:line="360" w:lineRule="auto"/>
        <w:ind w:firstLine="708"/>
        <w:jc w:val="both"/>
        <w:rPr>
          <w:rFonts w:ascii="Calibri" w:hAnsi="Calibri"/>
        </w:rPr>
      </w:pPr>
    </w:p>
    <w:p w14:paraId="67248B1F" w14:textId="5DCF4B8D" w:rsidR="003606CD" w:rsidRPr="001F728A" w:rsidRDefault="001F728A" w:rsidP="001F728A">
      <w:pPr>
        <w:spacing w:line="360" w:lineRule="auto"/>
        <w:jc w:val="center"/>
        <w:rPr>
          <w:rFonts w:ascii="Calibri" w:hAnsi="Calibri"/>
          <w:b/>
        </w:rPr>
      </w:pPr>
      <w:r w:rsidRPr="001F728A">
        <w:rPr>
          <w:rFonts w:ascii="Calibri" w:hAnsi="Calibri"/>
          <w:b/>
        </w:rPr>
        <w:t xml:space="preserve">Gráfico 11. Aceitação da corrupção por </w:t>
      </w:r>
      <w:r w:rsidR="00FD55AE" w:rsidRPr="001F728A">
        <w:rPr>
          <w:rFonts w:ascii="Calibri" w:hAnsi="Calibri"/>
          <w:b/>
        </w:rPr>
        <w:t>macrorregiões</w:t>
      </w:r>
    </w:p>
    <w:p w14:paraId="5FC54127" w14:textId="0D51012A" w:rsidR="001A5860" w:rsidRDefault="001A5860" w:rsidP="007978B1">
      <w:pPr>
        <w:spacing w:line="360" w:lineRule="auto"/>
        <w:jc w:val="center"/>
        <w:rPr>
          <w:rFonts w:ascii="Calibri" w:hAnsi="Calibri"/>
          <w:szCs w:val="22"/>
        </w:rPr>
      </w:pPr>
      <w:r w:rsidRPr="00AB315F">
        <w:rPr>
          <w:rFonts w:ascii="Calibri" w:hAnsi="Calibri"/>
          <w:noProof/>
          <w:szCs w:val="22"/>
        </w:rPr>
        <w:drawing>
          <wp:inline distT="0" distB="0" distL="0" distR="0" wp14:anchorId="77A658A9" wp14:editId="038BDA5D">
            <wp:extent cx="5400040" cy="3927301"/>
            <wp:effectExtent l="0" t="0" r="0" b="0"/>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pineplot cenario1 regiao.png"/>
                    <pic:cNvPicPr/>
                  </pic:nvPicPr>
                  <pic:blipFill>
                    <a:blip r:embed="rId22">
                      <a:extLst>
                        <a:ext uri="{BEBA8EAE-BF5A-486C-A8C5-ECC9F3942E4B}">
                          <a14:imgProps xmlns:a14="http://schemas.microsoft.com/office/drawing/2010/main">
                            <a14:imgLayer r:embed="rId23">
                              <a14:imgEffect>
                                <a14:colorTemperature colorTemp="11200"/>
                              </a14:imgEffect>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400040" cy="3927301"/>
                    </a:xfrm>
                    <a:prstGeom prst="rect">
                      <a:avLst/>
                    </a:prstGeom>
                  </pic:spPr>
                </pic:pic>
              </a:graphicData>
            </a:graphic>
          </wp:inline>
        </w:drawing>
      </w:r>
    </w:p>
    <w:p w14:paraId="1A0D975F" w14:textId="786250AE" w:rsidR="001F728A" w:rsidRPr="001F728A" w:rsidRDefault="001F728A" w:rsidP="001F728A">
      <w:pPr>
        <w:spacing w:line="360" w:lineRule="auto"/>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w:t>
      </w:r>
      <w:r>
        <w:rPr>
          <w:rFonts w:ascii="Calibri" w:hAnsi="Calibri"/>
          <w:sz w:val="20"/>
          <w:szCs w:val="22"/>
        </w:rPr>
        <w:t>elaboração própria</w:t>
      </w:r>
    </w:p>
    <w:p w14:paraId="0987DC30" w14:textId="77777777" w:rsidR="001A5860" w:rsidRPr="00AB315F" w:rsidRDefault="001A5860" w:rsidP="001A5860">
      <w:pPr>
        <w:spacing w:line="360" w:lineRule="auto"/>
        <w:ind w:firstLine="708"/>
        <w:jc w:val="both"/>
        <w:rPr>
          <w:rFonts w:ascii="Calibri" w:hAnsi="Calibri"/>
        </w:rPr>
      </w:pPr>
      <w:r w:rsidRPr="00AB315F">
        <w:rPr>
          <w:rFonts w:ascii="Calibri" w:hAnsi="Calibri"/>
        </w:rPr>
        <w:t>Neste caso, a região Sul parece ser aquela que menos tolera a prática, já Centro Oeste e Norte são as regiões onde a aceitação é maior.</w:t>
      </w:r>
    </w:p>
    <w:p w14:paraId="7FB1297C" w14:textId="5B873CC8" w:rsidR="00344FCC" w:rsidRDefault="00492E59" w:rsidP="001A5860">
      <w:pPr>
        <w:spacing w:line="360" w:lineRule="auto"/>
        <w:ind w:firstLine="708"/>
        <w:jc w:val="both"/>
        <w:rPr>
          <w:rFonts w:ascii="Calibri" w:hAnsi="Calibri"/>
        </w:rPr>
      </w:pPr>
      <w:r w:rsidRPr="00AB315F">
        <w:rPr>
          <w:rFonts w:ascii="Calibri" w:hAnsi="Calibri"/>
        </w:rPr>
        <w:t xml:space="preserve">Os resultados da regressão </w:t>
      </w:r>
      <w:r w:rsidR="00FD55AE" w:rsidRPr="00AB315F">
        <w:rPr>
          <w:rFonts w:ascii="Calibri" w:hAnsi="Calibri"/>
        </w:rPr>
        <w:t>multinominal</w:t>
      </w:r>
      <w:r w:rsidRPr="00AB315F">
        <w:rPr>
          <w:rFonts w:ascii="Calibri" w:hAnsi="Calibri"/>
        </w:rPr>
        <w:t xml:space="preserve"> comprovam que pessoas que leem notícias em jornais ou na internet todos os dias possuem mais chances de serem mais intolerantes do que aqueles que não leem ou o fazem com uma baixa e média frequência.</w:t>
      </w:r>
    </w:p>
    <w:p w14:paraId="2AC890A0" w14:textId="77777777" w:rsidR="00BB655D" w:rsidRDefault="00BB655D" w:rsidP="001A5860">
      <w:pPr>
        <w:spacing w:line="360" w:lineRule="auto"/>
        <w:ind w:firstLine="708"/>
        <w:jc w:val="both"/>
        <w:rPr>
          <w:rFonts w:ascii="Calibri" w:hAnsi="Calibri"/>
        </w:rPr>
      </w:pPr>
    </w:p>
    <w:p w14:paraId="6B611679" w14:textId="77777777" w:rsidR="00BB655D" w:rsidRDefault="00BB655D" w:rsidP="001A5860">
      <w:pPr>
        <w:spacing w:line="360" w:lineRule="auto"/>
        <w:ind w:firstLine="708"/>
        <w:jc w:val="both"/>
        <w:rPr>
          <w:rFonts w:ascii="Calibri" w:hAnsi="Calibri"/>
        </w:rPr>
      </w:pPr>
    </w:p>
    <w:p w14:paraId="06A823AF" w14:textId="77777777" w:rsidR="00BB655D" w:rsidRDefault="00BB655D" w:rsidP="001A5860">
      <w:pPr>
        <w:spacing w:line="360" w:lineRule="auto"/>
        <w:ind w:firstLine="708"/>
        <w:jc w:val="both"/>
        <w:rPr>
          <w:rFonts w:ascii="Calibri" w:hAnsi="Calibri"/>
        </w:rPr>
      </w:pPr>
    </w:p>
    <w:p w14:paraId="7B6DB0A2" w14:textId="77777777" w:rsidR="00BB655D" w:rsidRDefault="00BB655D" w:rsidP="001A5860">
      <w:pPr>
        <w:spacing w:line="360" w:lineRule="auto"/>
        <w:ind w:firstLine="708"/>
        <w:jc w:val="both"/>
        <w:rPr>
          <w:rFonts w:ascii="Calibri" w:hAnsi="Calibri"/>
        </w:rPr>
      </w:pPr>
    </w:p>
    <w:p w14:paraId="3A1E42AB" w14:textId="77777777" w:rsidR="00BB655D" w:rsidRDefault="00BB655D" w:rsidP="001A5860">
      <w:pPr>
        <w:spacing w:line="360" w:lineRule="auto"/>
        <w:ind w:firstLine="708"/>
        <w:jc w:val="both"/>
        <w:rPr>
          <w:rFonts w:ascii="Calibri" w:hAnsi="Calibri"/>
        </w:rPr>
      </w:pPr>
    </w:p>
    <w:p w14:paraId="35F071DD" w14:textId="008FC470" w:rsidR="00BB655D" w:rsidRPr="00BB655D" w:rsidRDefault="00BB655D" w:rsidP="00BB655D">
      <w:pPr>
        <w:spacing w:line="360" w:lineRule="auto"/>
        <w:jc w:val="center"/>
        <w:rPr>
          <w:rFonts w:asciiTheme="minorHAnsi" w:hAnsiTheme="minorHAnsi"/>
          <w:b/>
        </w:rPr>
      </w:pPr>
      <w:r w:rsidRPr="00BB655D">
        <w:rPr>
          <w:rFonts w:ascii="Calibri" w:hAnsi="Calibri"/>
          <w:b/>
        </w:rPr>
        <w:lastRenderedPageBreak/>
        <w:t>Gráfico 12. Margem de probabilidades para “Lê notícias nos jornais e revistas”</w:t>
      </w:r>
    </w:p>
    <w:p w14:paraId="5B72B4E1" w14:textId="2C78A116" w:rsidR="00BB655D" w:rsidRDefault="00492E59" w:rsidP="00BB655D">
      <w:pPr>
        <w:spacing w:line="360" w:lineRule="auto"/>
        <w:jc w:val="center"/>
        <w:rPr>
          <w:rFonts w:ascii="Calibri" w:hAnsi="Calibri"/>
          <w:sz w:val="20"/>
          <w:szCs w:val="22"/>
        </w:rPr>
      </w:pPr>
      <w:r w:rsidRPr="00AB315F">
        <w:rPr>
          <w:rFonts w:asciiTheme="minorHAnsi" w:hAnsiTheme="minorHAnsi"/>
          <w:noProof/>
        </w:rPr>
        <w:drawing>
          <wp:inline distT="0" distB="0" distL="0" distR="0" wp14:anchorId="7E84DE8C" wp14:editId="0FE53ED3">
            <wp:extent cx="4114800" cy="2992714"/>
            <wp:effectExtent l="0" t="0" r="0" b="0"/>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jornais alta predicao.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136618" cy="3008582"/>
                    </a:xfrm>
                    <a:prstGeom prst="rect">
                      <a:avLst/>
                    </a:prstGeom>
                  </pic:spPr>
                </pic:pic>
              </a:graphicData>
            </a:graphic>
          </wp:inline>
        </w:drawing>
      </w:r>
    </w:p>
    <w:p w14:paraId="3A8C1C3B" w14:textId="6EBE2A14" w:rsidR="00BB655D" w:rsidRPr="001F728A" w:rsidRDefault="00BB655D" w:rsidP="00BB655D">
      <w:pPr>
        <w:spacing w:line="360" w:lineRule="auto"/>
        <w:ind w:left="708" w:firstLine="708"/>
        <w:rPr>
          <w:rFonts w:ascii="Calibri" w:hAnsi="Calibri"/>
          <w:sz w:val="20"/>
          <w:szCs w:val="22"/>
        </w:rPr>
      </w:pPr>
      <w:r w:rsidRPr="001F728A">
        <w:rPr>
          <w:rFonts w:ascii="Calibri" w:hAnsi="Calibri"/>
          <w:sz w:val="20"/>
          <w:szCs w:val="22"/>
        </w:rPr>
        <w:t>Fonte</w:t>
      </w:r>
      <w:r>
        <w:rPr>
          <w:rFonts w:ascii="Calibri" w:hAnsi="Calibri"/>
          <w:sz w:val="20"/>
          <w:szCs w:val="22"/>
        </w:rPr>
        <w:t xml:space="preserve">: </w:t>
      </w:r>
      <w:r w:rsidR="00FD55AE">
        <w:rPr>
          <w:rFonts w:ascii="Calibri" w:hAnsi="Calibri"/>
          <w:sz w:val="20"/>
          <w:szCs w:val="22"/>
        </w:rPr>
        <w:t xml:space="preserve">LAPOP 2008 - </w:t>
      </w:r>
      <w:r>
        <w:rPr>
          <w:rFonts w:ascii="Calibri" w:hAnsi="Calibri"/>
          <w:sz w:val="20"/>
          <w:szCs w:val="22"/>
        </w:rPr>
        <w:t>elaboração própria</w:t>
      </w:r>
    </w:p>
    <w:p w14:paraId="68A7D308" w14:textId="77777777" w:rsidR="00492E59" w:rsidRPr="00AB315F" w:rsidRDefault="00492E59" w:rsidP="00492E59">
      <w:pPr>
        <w:spacing w:line="360" w:lineRule="auto"/>
        <w:jc w:val="center"/>
        <w:rPr>
          <w:rFonts w:asciiTheme="minorHAnsi" w:hAnsiTheme="minorHAnsi"/>
        </w:rPr>
      </w:pPr>
    </w:p>
    <w:p w14:paraId="0957C475" w14:textId="7AA9C2C7" w:rsidR="00492E59" w:rsidRPr="00AB315F" w:rsidRDefault="00EC4A80" w:rsidP="00EC4A80">
      <w:pPr>
        <w:spacing w:after="240" w:line="360" w:lineRule="auto"/>
        <w:ind w:firstLine="708"/>
        <w:jc w:val="both"/>
        <w:rPr>
          <w:rFonts w:asciiTheme="minorHAnsi" w:hAnsiTheme="minorHAnsi"/>
        </w:rPr>
      </w:pPr>
      <w:r w:rsidRPr="00AB315F">
        <w:rPr>
          <w:rFonts w:asciiTheme="minorHAnsi" w:hAnsiTheme="minorHAnsi"/>
        </w:rPr>
        <w:t>Entrevistado que leem jornais todos os dias tem duas vezes mais chances de considerar que “É corrupto, mas se justifica” do que declarar “Não é corrupto“, e quase três vezes mais chances de declararem “É corrupto, e ela deve ser castigada”. Ou seja, ler jornais com certa frequência aumenta em 2 vezes as chances de o entrevistado considerar o ato como corrupto, mas que não deve ser castigado, e em</w:t>
      </w:r>
      <w:r w:rsidR="00B42A7E">
        <w:rPr>
          <w:rFonts w:asciiTheme="minorHAnsi" w:hAnsiTheme="minorHAnsi"/>
        </w:rPr>
        <w:t xml:space="preserve"> </w:t>
      </w:r>
      <w:r w:rsidR="00FD55AE">
        <w:rPr>
          <w:rFonts w:asciiTheme="minorHAnsi" w:hAnsiTheme="minorHAnsi"/>
        </w:rPr>
        <w:t>3</w:t>
      </w:r>
      <w:r w:rsidR="00FD55AE" w:rsidRPr="00AB315F">
        <w:rPr>
          <w:rFonts w:asciiTheme="minorHAnsi" w:hAnsiTheme="minorHAnsi"/>
        </w:rPr>
        <w:t xml:space="preserve"> vezes</w:t>
      </w:r>
      <w:r w:rsidRPr="00AB315F">
        <w:rPr>
          <w:rFonts w:asciiTheme="minorHAnsi" w:hAnsiTheme="minorHAnsi"/>
        </w:rPr>
        <w:t xml:space="preserve"> a chances de considerar corrupto e achar que a conduta deve ser castigada. </w:t>
      </w:r>
    </w:p>
    <w:p w14:paraId="05ECC9DC" w14:textId="34E4E6C0" w:rsidR="00294959" w:rsidRPr="00AB315F" w:rsidRDefault="00EC4A80" w:rsidP="00EC4A80">
      <w:pPr>
        <w:spacing w:after="240" w:line="360" w:lineRule="auto"/>
        <w:ind w:firstLine="708"/>
        <w:jc w:val="both"/>
        <w:rPr>
          <w:rFonts w:asciiTheme="minorHAnsi" w:hAnsiTheme="minorHAnsi"/>
        </w:rPr>
      </w:pPr>
      <w:r w:rsidRPr="00AB315F">
        <w:rPr>
          <w:rFonts w:asciiTheme="minorHAnsi" w:hAnsiTheme="minorHAnsi"/>
        </w:rPr>
        <w:t xml:space="preserve">O mesmo acontece para entrevistados que leem </w:t>
      </w:r>
      <w:r w:rsidR="00FD55AE" w:rsidRPr="00AB315F">
        <w:rPr>
          <w:rFonts w:asciiTheme="minorHAnsi" w:hAnsiTheme="minorHAnsi"/>
        </w:rPr>
        <w:t>notícias</w:t>
      </w:r>
      <w:r w:rsidRPr="00AB315F">
        <w:rPr>
          <w:rFonts w:asciiTheme="minorHAnsi" w:hAnsiTheme="minorHAnsi"/>
        </w:rPr>
        <w:t xml:space="preserve"> na internet todos os dias. Estes possuem quase duas vezes mais chances de considerarem a prática como co</w:t>
      </w:r>
      <w:r w:rsidR="00AA03CC" w:rsidRPr="00AB315F">
        <w:rPr>
          <w:rFonts w:asciiTheme="minorHAnsi" w:hAnsiTheme="minorHAnsi"/>
        </w:rPr>
        <w:t xml:space="preserve">rrupta e que ela deve ser castigada do que consideraram que ela não é corrupta. </w:t>
      </w:r>
    </w:p>
    <w:p w14:paraId="5405C3E9" w14:textId="46BBE785" w:rsidR="00EC4A80" w:rsidRPr="00AB315F" w:rsidRDefault="00EC4A80" w:rsidP="00EC4A80">
      <w:pPr>
        <w:spacing w:after="240" w:line="360" w:lineRule="auto"/>
        <w:ind w:firstLine="708"/>
        <w:jc w:val="both"/>
        <w:rPr>
          <w:rFonts w:asciiTheme="minorHAnsi" w:hAnsiTheme="minorHAnsi"/>
        </w:rPr>
      </w:pPr>
      <w:r w:rsidRPr="00AB315F">
        <w:rPr>
          <w:rFonts w:asciiTheme="minorHAnsi" w:hAnsiTheme="minorHAnsi"/>
        </w:rPr>
        <w:t xml:space="preserve">Quanto as diferenças por regiões, </w:t>
      </w:r>
      <w:r w:rsidR="00AA03CC" w:rsidRPr="00AB315F">
        <w:rPr>
          <w:rFonts w:asciiTheme="minorHAnsi" w:hAnsiTheme="minorHAnsi"/>
        </w:rPr>
        <w:t xml:space="preserve">os entrevistados que vivem no Sul e no Nordeste, se comparados com aqueles que vivem no </w:t>
      </w:r>
      <w:r w:rsidR="00FD55AE" w:rsidRPr="00AB315F">
        <w:rPr>
          <w:rFonts w:asciiTheme="minorHAnsi" w:hAnsiTheme="minorHAnsi"/>
        </w:rPr>
        <w:t>Sudeste</w:t>
      </w:r>
      <w:r w:rsidR="00AA03CC" w:rsidRPr="00AB315F">
        <w:rPr>
          <w:rFonts w:asciiTheme="minorHAnsi" w:hAnsiTheme="minorHAnsi"/>
        </w:rPr>
        <w:t xml:space="preserve"> tem 2,17 e 2,57 mais chances de considerarem a prática corrupta e que deve ser castigada do que afirmarem o contrário.  Por sua vez, a zona rural, se comparada às capitais possuem 2,52 menos chances de considerarem a prática como corrupta e que deve ser castigada, ou seja, quando comparados às pessoas que vivem nas capitais, é mais provável que entrevistados da zona rural declarem que a prática não é corrupta em detrimento de serem intolerantes. </w:t>
      </w:r>
    </w:p>
    <w:p w14:paraId="4665D601" w14:textId="7ABF5FF2" w:rsidR="00441953" w:rsidRPr="00AB315F" w:rsidRDefault="00441953" w:rsidP="00EC4A80">
      <w:pPr>
        <w:spacing w:after="240" w:line="360" w:lineRule="auto"/>
        <w:ind w:firstLine="708"/>
        <w:jc w:val="both"/>
        <w:rPr>
          <w:rFonts w:asciiTheme="minorHAnsi" w:hAnsiTheme="minorHAnsi"/>
        </w:rPr>
      </w:pPr>
      <w:r w:rsidRPr="00AB315F">
        <w:rPr>
          <w:rFonts w:asciiTheme="minorHAnsi" w:hAnsiTheme="minorHAnsi"/>
        </w:rPr>
        <w:lastRenderedPageBreak/>
        <w:t xml:space="preserve">Encontra-se evidências de que subgrupos da população podem ter estio de resposta diferentes, especialmente quando o conceito de corrupção é considerado. Ademais as pessoas mais expostas ao fluxo de informações da internet e dos jornais tendem a conceituar as práticas como corruptas ser mais intolerantes. </w:t>
      </w:r>
    </w:p>
    <w:p w14:paraId="6EA415D2" w14:textId="77777777" w:rsidR="0005370B" w:rsidRPr="00AB315F" w:rsidRDefault="0005370B" w:rsidP="00EC4A80">
      <w:pPr>
        <w:spacing w:after="240" w:line="259" w:lineRule="auto"/>
        <w:rPr>
          <w:rFonts w:asciiTheme="minorHAnsi" w:hAnsiTheme="minorHAnsi"/>
          <w:b/>
        </w:rPr>
      </w:pPr>
      <w:r w:rsidRPr="00AB315F">
        <w:rPr>
          <w:rFonts w:asciiTheme="minorHAnsi" w:hAnsiTheme="minorHAnsi"/>
          <w:b/>
        </w:rPr>
        <w:br w:type="page"/>
      </w:r>
    </w:p>
    <w:p w14:paraId="6808ACF3" w14:textId="3C663A18" w:rsidR="00294959" w:rsidRPr="00AB315F" w:rsidRDefault="00BB655D" w:rsidP="006C2AAD">
      <w:pPr>
        <w:pStyle w:val="Ttulo1"/>
        <w:rPr>
          <w:b/>
          <w:color w:val="auto"/>
        </w:rPr>
      </w:pPr>
      <w:bookmarkStart w:id="29" w:name="_Toc456241262"/>
      <w:r>
        <w:rPr>
          <w:b/>
          <w:color w:val="auto"/>
        </w:rPr>
        <w:lastRenderedPageBreak/>
        <w:t>Conclusões</w:t>
      </w:r>
      <w:r w:rsidR="0005370B" w:rsidRPr="00AB315F">
        <w:rPr>
          <w:b/>
          <w:color w:val="auto"/>
        </w:rPr>
        <w:t>: Achados</w:t>
      </w:r>
      <w:bookmarkEnd w:id="29"/>
    </w:p>
    <w:p w14:paraId="2FDFDC2C" w14:textId="77777777" w:rsidR="00294959" w:rsidRPr="00AB315F" w:rsidRDefault="00294959" w:rsidP="00E32D94">
      <w:pPr>
        <w:spacing w:line="360" w:lineRule="auto"/>
        <w:jc w:val="both"/>
        <w:rPr>
          <w:rFonts w:asciiTheme="minorHAnsi" w:hAnsiTheme="minorHAnsi"/>
        </w:rPr>
      </w:pPr>
    </w:p>
    <w:p w14:paraId="3A0E622C" w14:textId="77F092B3" w:rsidR="00294959" w:rsidRPr="00AB315F" w:rsidRDefault="00F47DF3" w:rsidP="00E32D94">
      <w:pPr>
        <w:spacing w:line="360" w:lineRule="auto"/>
        <w:jc w:val="both"/>
        <w:rPr>
          <w:rFonts w:asciiTheme="minorHAnsi" w:hAnsiTheme="minorHAnsi"/>
        </w:rPr>
      </w:pPr>
      <w:r w:rsidRPr="00AB315F">
        <w:rPr>
          <w:rFonts w:asciiTheme="minorHAnsi" w:hAnsiTheme="minorHAnsi"/>
        </w:rPr>
        <w:tab/>
        <w:t>Dadas as limitações d</w:t>
      </w:r>
      <w:r w:rsidR="00A5542E" w:rsidRPr="00AB315F">
        <w:rPr>
          <w:rFonts w:asciiTheme="minorHAnsi" w:hAnsiTheme="minorHAnsi"/>
        </w:rPr>
        <w:t>este trabalho</w:t>
      </w:r>
      <w:r w:rsidR="00563F23">
        <w:rPr>
          <w:rFonts w:asciiTheme="minorHAnsi" w:hAnsiTheme="minorHAnsi"/>
        </w:rPr>
        <w:t>,</w:t>
      </w:r>
      <w:r w:rsidRPr="00AB315F">
        <w:rPr>
          <w:rFonts w:asciiTheme="minorHAnsi" w:hAnsiTheme="minorHAnsi"/>
        </w:rPr>
        <w:t xml:space="preserve"> em vista da não disponibilidade de dados ideais para realizar a análise de validade e confiabilidade, </w:t>
      </w:r>
      <w:r w:rsidR="00563F23">
        <w:rPr>
          <w:rFonts w:asciiTheme="minorHAnsi" w:hAnsiTheme="minorHAnsi"/>
        </w:rPr>
        <w:t>algumas considerações podem ser feitas sobre a existência de evidências para</w:t>
      </w:r>
      <w:r w:rsidRPr="00AB315F">
        <w:rPr>
          <w:rFonts w:asciiTheme="minorHAnsi" w:hAnsiTheme="minorHAnsi"/>
        </w:rPr>
        <w:t xml:space="preserve"> validação </w:t>
      </w:r>
      <w:r w:rsidR="00563F23">
        <w:rPr>
          <w:rFonts w:asciiTheme="minorHAnsi" w:hAnsiTheme="minorHAnsi"/>
        </w:rPr>
        <w:t>e confiabilidade do indicador</w:t>
      </w:r>
      <w:r w:rsidRPr="00AB315F">
        <w:rPr>
          <w:rFonts w:asciiTheme="minorHAnsi" w:hAnsiTheme="minorHAnsi"/>
        </w:rPr>
        <w:t>.</w:t>
      </w:r>
    </w:p>
    <w:p w14:paraId="12E8F241" w14:textId="66F9BD25" w:rsidR="00563F23" w:rsidRDefault="00BF1316" w:rsidP="00E32D94">
      <w:pPr>
        <w:spacing w:line="360" w:lineRule="auto"/>
        <w:jc w:val="both"/>
        <w:rPr>
          <w:rFonts w:asciiTheme="minorHAnsi" w:hAnsiTheme="minorHAnsi"/>
        </w:rPr>
      </w:pPr>
      <w:r w:rsidRPr="00AB315F">
        <w:rPr>
          <w:rFonts w:asciiTheme="minorHAnsi" w:hAnsiTheme="minorHAnsi"/>
        </w:rPr>
        <w:tab/>
        <w:t xml:space="preserve">Apesar do indicador de aceitação captar o conteúdo do conceito subjacente, acredita-se que a literatura deva dar mais atenção à sistematização do conceito de Aceitação da Corrupção antes de partir para mensurações da dimensão do fenômeno. </w:t>
      </w:r>
      <w:r w:rsidR="00DB4E85">
        <w:rPr>
          <w:rFonts w:asciiTheme="minorHAnsi" w:hAnsiTheme="minorHAnsi"/>
        </w:rPr>
        <w:t>Apesar de certa coerência na apresentação do conceito de aceitação entre os trabalhos que mobilizam a dimensão, a</w:t>
      </w:r>
      <w:r w:rsidR="00563F23">
        <w:rPr>
          <w:rFonts w:asciiTheme="minorHAnsi" w:hAnsiTheme="minorHAnsi"/>
        </w:rPr>
        <w:t xml:space="preserve"> bibliografia que trata do assunto se atem pouco ao conceito</w:t>
      </w:r>
      <w:r w:rsidR="00DB4E85">
        <w:rPr>
          <w:rFonts w:asciiTheme="minorHAnsi" w:hAnsiTheme="minorHAnsi"/>
        </w:rPr>
        <w:t>.</w:t>
      </w:r>
    </w:p>
    <w:p w14:paraId="723B85AC" w14:textId="38E5BAE9" w:rsidR="00BF1316" w:rsidRPr="00AB315F" w:rsidRDefault="00563F23" w:rsidP="00563F23">
      <w:pPr>
        <w:spacing w:line="360" w:lineRule="auto"/>
        <w:ind w:firstLine="708"/>
        <w:jc w:val="both"/>
        <w:rPr>
          <w:rFonts w:asciiTheme="minorHAnsi" w:hAnsiTheme="minorHAnsi"/>
        </w:rPr>
      </w:pPr>
      <w:r>
        <w:rPr>
          <w:rFonts w:asciiTheme="minorHAnsi" w:hAnsiTheme="minorHAnsi"/>
        </w:rPr>
        <w:t>Algumas observações podem ser feitas sobre a interpretação do conteúdo operacionalizado. O fato de tratar as práticas como corruptas não significa que os entrevistados façam o mesmo</w:t>
      </w:r>
      <w:r w:rsidR="00DB4E85">
        <w:rPr>
          <w:rFonts w:asciiTheme="minorHAnsi" w:hAnsiTheme="minorHAnsi"/>
        </w:rPr>
        <w:t>. O</w:t>
      </w:r>
      <w:r>
        <w:rPr>
          <w:rFonts w:asciiTheme="minorHAnsi" w:hAnsiTheme="minorHAnsi"/>
        </w:rPr>
        <w:t xml:space="preserve"> conteúdo das questões sempre deve estar sujeito ao efeito da desejabilidade social, o que</w:t>
      </w:r>
      <w:r w:rsidR="00DB4E85">
        <w:rPr>
          <w:rFonts w:asciiTheme="minorHAnsi" w:hAnsiTheme="minorHAnsi"/>
        </w:rPr>
        <w:t xml:space="preserve"> pode significar que a medida capta muito do “clima de opinião” sobre o tema em detrimento de uma preferência individual.</w:t>
      </w:r>
    </w:p>
    <w:p w14:paraId="1BCBE08F" w14:textId="36B04575" w:rsidR="003F57D8" w:rsidRPr="00AB315F" w:rsidRDefault="00BF1316" w:rsidP="00E32D94">
      <w:pPr>
        <w:spacing w:line="360" w:lineRule="auto"/>
        <w:jc w:val="both"/>
        <w:rPr>
          <w:rFonts w:asciiTheme="minorHAnsi" w:hAnsiTheme="minorHAnsi"/>
        </w:rPr>
      </w:pPr>
      <w:r w:rsidRPr="00AB315F">
        <w:rPr>
          <w:rFonts w:asciiTheme="minorHAnsi" w:hAnsiTheme="minorHAnsi"/>
        </w:rPr>
        <w:tab/>
      </w:r>
      <w:r w:rsidR="00DB4E85">
        <w:rPr>
          <w:rFonts w:asciiTheme="minorHAnsi" w:hAnsiTheme="minorHAnsi"/>
        </w:rPr>
        <w:t>Existem evidências de que</w:t>
      </w:r>
      <w:r w:rsidR="003F1F14">
        <w:rPr>
          <w:rFonts w:asciiTheme="minorHAnsi" w:hAnsiTheme="minorHAnsi"/>
        </w:rPr>
        <w:t xml:space="preserve"> um dos indicadores observáveis </w:t>
      </w:r>
      <w:r w:rsidR="00DB4E85">
        <w:rPr>
          <w:rFonts w:asciiTheme="minorHAnsi" w:hAnsiTheme="minorHAnsi"/>
        </w:rPr>
        <w:t xml:space="preserve">diverge de outros indicadores que mensuram </w:t>
      </w:r>
      <w:r w:rsidRPr="00AB315F">
        <w:rPr>
          <w:rFonts w:asciiTheme="minorHAnsi" w:hAnsiTheme="minorHAnsi"/>
        </w:rPr>
        <w:t>dimensões dife</w:t>
      </w:r>
      <w:r w:rsidR="00DB4E85">
        <w:rPr>
          <w:rFonts w:asciiTheme="minorHAnsi" w:hAnsiTheme="minorHAnsi"/>
        </w:rPr>
        <w:t xml:space="preserve">rentes do fenômeno da aceitação. </w:t>
      </w:r>
      <w:r w:rsidRPr="00AB315F">
        <w:rPr>
          <w:rFonts w:asciiTheme="minorHAnsi" w:hAnsiTheme="minorHAnsi"/>
        </w:rPr>
        <w:t xml:space="preserve"> </w:t>
      </w:r>
      <w:r w:rsidR="003F1F14">
        <w:rPr>
          <w:rFonts w:asciiTheme="minorHAnsi" w:hAnsiTheme="minorHAnsi"/>
        </w:rPr>
        <w:t>P</w:t>
      </w:r>
      <w:r w:rsidRPr="00AB315F">
        <w:rPr>
          <w:rFonts w:asciiTheme="minorHAnsi" w:hAnsiTheme="minorHAnsi"/>
        </w:rPr>
        <w:t>or outro lado</w:t>
      </w:r>
      <w:r w:rsidR="003F1F14">
        <w:rPr>
          <w:rFonts w:asciiTheme="minorHAnsi" w:hAnsiTheme="minorHAnsi"/>
        </w:rPr>
        <w:t>,</w:t>
      </w:r>
      <w:r w:rsidRPr="00AB315F">
        <w:rPr>
          <w:rFonts w:asciiTheme="minorHAnsi" w:hAnsiTheme="minorHAnsi"/>
        </w:rPr>
        <w:t xml:space="preserve"> evidências de validação convergente não foram encontradas.</w:t>
      </w:r>
    </w:p>
    <w:p w14:paraId="5AC0C7BB" w14:textId="28EE2863" w:rsidR="00BF1316" w:rsidRPr="00AB315F" w:rsidRDefault="00BF1316" w:rsidP="003F57D8">
      <w:pPr>
        <w:spacing w:line="360" w:lineRule="auto"/>
        <w:ind w:firstLine="708"/>
        <w:jc w:val="both"/>
        <w:rPr>
          <w:rFonts w:asciiTheme="minorHAnsi" w:hAnsiTheme="minorHAnsi"/>
        </w:rPr>
      </w:pPr>
      <w:r w:rsidRPr="00AB315F">
        <w:rPr>
          <w:rFonts w:asciiTheme="minorHAnsi" w:hAnsiTheme="minorHAnsi"/>
        </w:rPr>
        <w:t xml:space="preserve"> A clara limitação dos dados pode evidenciar que os resultados de validação convergente e divergente devem ser avaliados com ressalvas. </w:t>
      </w:r>
      <w:r w:rsidR="003F57D8" w:rsidRPr="00AB315F">
        <w:rPr>
          <w:rFonts w:asciiTheme="minorHAnsi" w:hAnsiTheme="minorHAnsi"/>
        </w:rPr>
        <w:t>Mas os resultados da validação divergente são relevantes. Encontra-se que indicadores alternativos, os quais utilizam cenários para exemplificar uma situação de quebra de conduta, são mal correlacionados aos itens “aceitar propina” e “sonegar impostos”</w:t>
      </w:r>
      <w:r w:rsidR="003F1F14">
        <w:rPr>
          <w:rFonts w:asciiTheme="minorHAnsi" w:hAnsiTheme="minorHAnsi"/>
        </w:rPr>
        <w:t xml:space="preserve"> (indicadores observáveis da medida de aceitação)</w:t>
      </w:r>
      <w:r w:rsidR="003F57D8" w:rsidRPr="00AB315F">
        <w:rPr>
          <w:rFonts w:asciiTheme="minorHAnsi" w:hAnsiTheme="minorHAnsi"/>
        </w:rPr>
        <w:t>. A evidência de rejeição da</w:t>
      </w:r>
      <w:r w:rsidR="005F661C">
        <w:rPr>
          <w:rFonts w:asciiTheme="minorHAnsi" w:hAnsiTheme="minorHAnsi"/>
        </w:rPr>
        <w:t xml:space="preserve"> hipótese de</w:t>
      </w:r>
      <w:r w:rsidR="003F57D8" w:rsidRPr="00AB315F">
        <w:rPr>
          <w:rFonts w:asciiTheme="minorHAnsi" w:hAnsiTheme="minorHAnsi"/>
        </w:rPr>
        <w:t xml:space="preserve"> validade convergente pode </w:t>
      </w:r>
      <w:r w:rsidR="005F661C" w:rsidRPr="00AB315F">
        <w:rPr>
          <w:rFonts w:asciiTheme="minorHAnsi" w:hAnsiTheme="minorHAnsi"/>
        </w:rPr>
        <w:t xml:space="preserve">indicar um possível traço da carga de desejabilidade social que os itens carregam. Os indicadores alternativos que apresentam cenários não se relacionam bem com os indicadores de “oferecer propina” e “sonegar impostos”. O fato pode ser um indicativo de que os cenários descritos no momento da pergunta atenuam o desejo social de adesão à valores e normas compartilhadas em vista de uma situação de necessidade.  </w:t>
      </w:r>
    </w:p>
    <w:p w14:paraId="1585F851" w14:textId="334CB2A6" w:rsidR="00D23A80" w:rsidRPr="00AB315F" w:rsidRDefault="00D23A80" w:rsidP="003F57D8">
      <w:pPr>
        <w:spacing w:line="360" w:lineRule="auto"/>
        <w:ind w:firstLine="708"/>
        <w:jc w:val="both"/>
        <w:rPr>
          <w:rFonts w:asciiTheme="minorHAnsi" w:hAnsiTheme="minorHAnsi"/>
        </w:rPr>
      </w:pPr>
      <w:r w:rsidRPr="00AB315F">
        <w:rPr>
          <w:rFonts w:asciiTheme="minorHAnsi" w:hAnsiTheme="minorHAnsi"/>
        </w:rPr>
        <w:lastRenderedPageBreak/>
        <w:t>Por sua vez, a medi</w:t>
      </w:r>
      <w:r w:rsidR="003F1F14">
        <w:rPr>
          <w:rFonts w:asciiTheme="minorHAnsi" w:hAnsiTheme="minorHAnsi"/>
        </w:rPr>
        <w:t>da de aceitação se relaciona parcialmente</w:t>
      </w:r>
      <w:r w:rsidRPr="00AB315F">
        <w:rPr>
          <w:rFonts w:asciiTheme="minorHAnsi" w:hAnsiTheme="minorHAnsi"/>
        </w:rPr>
        <w:t xml:space="preserve"> com outros constructos envolvidos em uma relação causal com o fenômeno da tolerância à corrupção. Valores democráticos e pós-materialistas foram significativos para explicar a variação no nível de aceitação. Entretanto considera-se que a validação nomológica deva ser replicada comparando o resultado de indicadores alternativos de uma mesma base de dados</w:t>
      </w:r>
      <w:r w:rsidR="003F1F14">
        <w:rPr>
          <w:rFonts w:asciiTheme="minorHAnsi" w:hAnsiTheme="minorHAnsi"/>
        </w:rPr>
        <w:t>, o que ainda não é possível</w:t>
      </w:r>
      <w:r w:rsidRPr="00AB315F">
        <w:rPr>
          <w:rFonts w:asciiTheme="minorHAnsi" w:hAnsiTheme="minorHAnsi"/>
        </w:rPr>
        <w:t xml:space="preserve">.  </w:t>
      </w:r>
    </w:p>
    <w:p w14:paraId="56D92281" w14:textId="6DC7CDD5" w:rsidR="00B50A0B" w:rsidRPr="00AB315F" w:rsidRDefault="00B50A0B" w:rsidP="00B50A0B">
      <w:pPr>
        <w:spacing w:line="360" w:lineRule="auto"/>
        <w:ind w:firstLine="708"/>
        <w:jc w:val="both"/>
        <w:rPr>
          <w:rFonts w:asciiTheme="minorHAnsi" w:hAnsiTheme="minorHAnsi"/>
        </w:rPr>
      </w:pPr>
      <w:r w:rsidRPr="00AB315F">
        <w:rPr>
          <w:rFonts w:asciiTheme="minorHAnsi" w:hAnsiTheme="minorHAnsi"/>
        </w:rPr>
        <w:t xml:space="preserve">De outra forma também foi evidenciado que o conceito de corrupção pode variar segundo aspectos particulares de um contexto ou de uma população. Para o caso do Brasil pode-se dizer que diferenças </w:t>
      </w:r>
      <w:r w:rsidR="00FD55AE" w:rsidRPr="00AB315F">
        <w:rPr>
          <w:rFonts w:asciiTheme="minorHAnsi" w:hAnsiTheme="minorHAnsi"/>
        </w:rPr>
        <w:t>macrorregionais</w:t>
      </w:r>
      <w:r w:rsidRPr="00AB315F">
        <w:rPr>
          <w:rFonts w:asciiTheme="minorHAnsi" w:hAnsiTheme="minorHAnsi"/>
        </w:rPr>
        <w:t xml:space="preserve">, de entrevistados que vivem em zonas rurais contra aqueles que vivem em </w:t>
      </w:r>
      <w:r w:rsidR="003F1F14">
        <w:rPr>
          <w:rFonts w:asciiTheme="minorHAnsi" w:hAnsiTheme="minorHAnsi"/>
        </w:rPr>
        <w:t>capitais</w:t>
      </w:r>
      <w:r w:rsidRPr="00AB315F">
        <w:rPr>
          <w:rFonts w:asciiTheme="minorHAnsi" w:hAnsiTheme="minorHAnsi"/>
        </w:rPr>
        <w:t>, além da frequência de acesso à jornais e à internet para ler notícias aumentam as chances dos entrevistados de considerarem uma determinada prática como corrupta. A luz dos achados de Catterberg et al (2013) diferenças na conceituação de práticas pelos entrevistados também gera efeitos sobre o potencial da desejabilidade social.</w:t>
      </w:r>
    </w:p>
    <w:p w14:paraId="3780A359" w14:textId="1E14A3AF" w:rsidR="00D23A80" w:rsidRPr="00AB315F" w:rsidRDefault="00D23A80" w:rsidP="00D23A80">
      <w:pPr>
        <w:spacing w:line="360" w:lineRule="auto"/>
        <w:ind w:firstLine="708"/>
        <w:jc w:val="both"/>
        <w:rPr>
          <w:rFonts w:asciiTheme="minorHAnsi" w:hAnsiTheme="minorHAnsi"/>
        </w:rPr>
      </w:pPr>
      <w:r w:rsidRPr="00AB315F">
        <w:rPr>
          <w:rFonts w:asciiTheme="minorHAnsi" w:hAnsiTheme="minorHAnsi"/>
        </w:rPr>
        <w:t xml:space="preserve">Inclui-se à análise a possibilidade de que o acesso ao fluxo de informações sobre o tema da corrupção, principalmente quando feito por jornais e pela internet, podem afetar a forma como os entrevistados julgam as práticas de quebra de normas sociais. A mídia vincula discursos e emite juízos de valores os quais podem influenciar o debate público e, por conseguinte, a força que determinada norma de conduta possa ter. Este argumento vai de encontro ao conceito de desejo social, quanto mais exposto ao conteúdo midiático mais chances o entrevisto possui de ser afetado pela desejabilidade social, quando o tema tem um forte apelo moral, como é o caso da corrupção.  </w:t>
      </w:r>
    </w:p>
    <w:p w14:paraId="684E89D3" w14:textId="3559826E" w:rsidR="003F57D8" w:rsidRPr="00AB315F" w:rsidRDefault="003F57D8" w:rsidP="00E32D94">
      <w:pPr>
        <w:spacing w:line="360" w:lineRule="auto"/>
        <w:jc w:val="both"/>
        <w:rPr>
          <w:rFonts w:asciiTheme="minorHAnsi" w:hAnsiTheme="minorHAnsi"/>
        </w:rPr>
      </w:pPr>
      <w:r w:rsidRPr="00AB315F">
        <w:rPr>
          <w:rFonts w:asciiTheme="minorHAnsi" w:hAnsiTheme="minorHAnsi"/>
        </w:rPr>
        <w:tab/>
        <w:t xml:space="preserve"> A análise de validade não </w:t>
      </w:r>
      <w:r w:rsidR="00B50A0B" w:rsidRPr="00AB315F">
        <w:rPr>
          <w:rFonts w:asciiTheme="minorHAnsi" w:hAnsiTheme="minorHAnsi"/>
        </w:rPr>
        <w:t xml:space="preserve">levantou repostas muito conclusivas por conta das limitações de informações. Todavia tem-se evidencias para rejeitar os critérios de confiabilidade da medida de aceitação. </w:t>
      </w:r>
    </w:p>
    <w:p w14:paraId="7CD1DA7B" w14:textId="4B56280C" w:rsidR="000C1AED" w:rsidRPr="00AB315F" w:rsidRDefault="00B50A0B" w:rsidP="000C1AED">
      <w:pPr>
        <w:spacing w:after="240" w:line="360" w:lineRule="auto"/>
        <w:ind w:firstLine="708"/>
        <w:jc w:val="both"/>
        <w:rPr>
          <w:rFonts w:asciiTheme="minorHAnsi" w:hAnsiTheme="minorHAnsi"/>
        </w:rPr>
      </w:pPr>
      <w:r w:rsidRPr="00AB315F">
        <w:rPr>
          <w:rFonts w:asciiTheme="minorHAnsi" w:hAnsiTheme="minorHAnsi"/>
        </w:rPr>
        <w:tab/>
        <w:t xml:space="preserve">Os testes de consistência interna </w:t>
      </w:r>
      <w:r w:rsidR="00F47E00">
        <w:rPr>
          <w:rFonts w:asciiTheme="minorHAnsi" w:hAnsiTheme="minorHAnsi"/>
        </w:rPr>
        <w:t xml:space="preserve">através de análise fatorial confirmatória, para medida no caso brasileiro na rodada de 2006, </w:t>
      </w:r>
      <w:r w:rsidRPr="00AB315F">
        <w:rPr>
          <w:rFonts w:asciiTheme="minorHAnsi" w:hAnsiTheme="minorHAnsi"/>
        </w:rPr>
        <w:t>ficar</w:t>
      </w:r>
      <w:r w:rsidR="00F47E00">
        <w:rPr>
          <w:rFonts w:asciiTheme="minorHAnsi" w:hAnsiTheme="minorHAnsi"/>
        </w:rPr>
        <w:t xml:space="preserve">am abaixo de limites aceitáveis. Ainda que com várias limitações, percebe-se que, ao longo do tempo, </w:t>
      </w:r>
      <w:r w:rsidRPr="00AB315F">
        <w:rPr>
          <w:rFonts w:asciiTheme="minorHAnsi" w:hAnsiTheme="minorHAnsi"/>
        </w:rPr>
        <w:t xml:space="preserve">a consistência </w:t>
      </w:r>
      <w:r w:rsidR="00F47E00">
        <w:rPr>
          <w:rFonts w:asciiTheme="minorHAnsi" w:hAnsiTheme="minorHAnsi"/>
        </w:rPr>
        <w:t>interna da medida de aceitação sofre variações. O total da variância explicada do fator subjacente oscila especialmente parra a série do México e Argentina.</w:t>
      </w:r>
      <w:r w:rsidRPr="00AB315F">
        <w:rPr>
          <w:rFonts w:asciiTheme="minorHAnsi" w:hAnsiTheme="minorHAnsi"/>
        </w:rPr>
        <w:t xml:space="preserve"> Este achado está em consonância com as preocupações </w:t>
      </w:r>
      <w:r w:rsidR="00FD55AE" w:rsidRPr="00AB315F">
        <w:rPr>
          <w:rFonts w:asciiTheme="minorHAnsi" w:hAnsiTheme="minorHAnsi"/>
        </w:rPr>
        <w:t>de converse</w:t>
      </w:r>
      <w:r w:rsidRPr="00AB315F">
        <w:rPr>
          <w:rFonts w:asciiTheme="minorHAnsi" w:hAnsiTheme="minorHAnsi"/>
        </w:rPr>
        <w:t xml:space="preserve"> (1964) sobre os possíveis problemas de </w:t>
      </w:r>
      <w:r w:rsidR="000C1AED">
        <w:rPr>
          <w:rFonts w:asciiTheme="minorHAnsi" w:hAnsiTheme="minorHAnsi"/>
        </w:rPr>
        <w:t>“não-</w:t>
      </w:r>
      <w:r w:rsidRPr="00AB315F">
        <w:rPr>
          <w:rFonts w:asciiTheme="minorHAnsi" w:hAnsiTheme="minorHAnsi"/>
        </w:rPr>
        <w:t>atitude</w:t>
      </w:r>
      <w:r w:rsidR="000C1AED">
        <w:rPr>
          <w:rFonts w:asciiTheme="minorHAnsi" w:hAnsiTheme="minorHAnsi"/>
        </w:rPr>
        <w:t xml:space="preserve">”, ademais a variação da taxa de “não-respostas”, </w:t>
      </w:r>
      <w:r w:rsidR="000C1AED">
        <w:rPr>
          <w:rFonts w:asciiTheme="minorHAnsi" w:hAnsiTheme="minorHAnsi"/>
        </w:rPr>
        <w:lastRenderedPageBreak/>
        <w:t>especialmente para o caso do México, pode contribuir para inconsistência dos indicadores observáveis</w:t>
      </w:r>
      <w:r w:rsidR="000C1AED" w:rsidRPr="00AB315F">
        <w:rPr>
          <w:rFonts w:asciiTheme="minorHAnsi" w:hAnsiTheme="minorHAnsi"/>
        </w:rPr>
        <w:t xml:space="preserve"> longo do tempo. </w:t>
      </w:r>
    </w:p>
    <w:p w14:paraId="3CF2C117" w14:textId="2D402C07" w:rsidR="000C1AED" w:rsidRDefault="000C1AED" w:rsidP="000C1AED">
      <w:pPr>
        <w:spacing w:after="240" w:line="360" w:lineRule="auto"/>
        <w:ind w:firstLine="708"/>
        <w:jc w:val="both"/>
        <w:rPr>
          <w:rFonts w:asciiTheme="minorHAnsi" w:hAnsiTheme="minorHAnsi"/>
        </w:rPr>
      </w:pPr>
      <w:r w:rsidRPr="00AB315F">
        <w:rPr>
          <w:rFonts w:asciiTheme="minorHAnsi" w:hAnsiTheme="minorHAnsi"/>
        </w:rPr>
        <w:t>Ainda que a consistência das medidas varie muito ao longo do tempo existe um aspecto em comum a todos os períodos considerando os contextos de Argentina, Chile e México. O indicador observável que mede a tolerância em “receber benefícios do governo sem que se tenha direito a eles” é o item que menor correlação linear aos demais e apresenta baixa correlação inter-</w:t>
      </w:r>
      <w:r>
        <w:rPr>
          <w:rFonts w:asciiTheme="minorHAnsi" w:hAnsiTheme="minorHAnsi"/>
        </w:rPr>
        <w:t xml:space="preserve">item aos fatores subjacentes. </w:t>
      </w:r>
      <w:r w:rsidRPr="00AB315F">
        <w:rPr>
          <w:rFonts w:asciiTheme="minorHAnsi" w:hAnsiTheme="minorHAnsi"/>
        </w:rPr>
        <w:t>Conforme apresentado na análise descritiva, o item “receber benefícios” é também o indicador que apresenta maior percentual de “não-resposta”.</w:t>
      </w:r>
      <w:r>
        <w:rPr>
          <w:rFonts w:asciiTheme="minorHAnsi" w:hAnsiTheme="minorHAnsi"/>
        </w:rPr>
        <w:t xml:space="preserve"> </w:t>
      </w:r>
      <w:r w:rsidRPr="00AB315F">
        <w:rPr>
          <w:rFonts w:asciiTheme="minorHAnsi" w:hAnsiTheme="minorHAnsi"/>
        </w:rPr>
        <w:t>As tabelas que apresentam os resultados completos das estimações das cargas fatoriais revelam que, exceto para o caso do Brasil, o item “benefícios” é o que possui menores cargas fatoriais e menores comunialidadades. No caso brasileiro o item que parece mais se distanciar do constructo subjacente é “Propina”.</w:t>
      </w:r>
    </w:p>
    <w:p w14:paraId="2FE29E4C" w14:textId="50467BAC" w:rsidR="00C75CCC" w:rsidRDefault="008458C4" w:rsidP="00C75CCC">
      <w:pPr>
        <w:spacing w:after="240" w:line="360" w:lineRule="auto"/>
        <w:ind w:firstLine="708"/>
        <w:jc w:val="both"/>
        <w:rPr>
          <w:rFonts w:asciiTheme="minorHAnsi" w:hAnsiTheme="minorHAnsi"/>
        </w:rPr>
      </w:pPr>
      <w:r>
        <w:rPr>
          <w:rFonts w:asciiTheme="minorHAnsi" w:hAnsiTheme="minorHAnsi"/>
        </w:rPr>
        <w:t>Apesar das limitações da análise, pondera-se que a medida de aceitação da corrupção pode não possuir consistência</w:t>
      </w:r>
      <w:r w:rsidR="004458EC">
        <w:rPr>
          <w:rFonts w:asciiTheme="minorHAnsi" w:hAnsiTheme="minorHAnsi"/>
        </w:rPr>
        <w:t xml:space="preserve"> interna entre os indicadores observáveis, e ainda, critérios de validade devem ser novamente avaliados com a disponibilidade de indicadores alternativos em uma mesma base de dados. </w:t>
      </w:r>
      <w:r w:rsidR="003A5ADC">
        <w:rPr>
          <w:rFonts w:asciiTheme="minorHAnsi" w:hAnsiTheme="minorHAnsi"/>
        </w:rPr>
        <w:t>A</w:t>
      </w:r>
      <w:r w:rsidR="004458EC">
        <w:rPr>
          <w:rFonts w:asciiTheme="minorHAnsi" w:hAnsiTheme="minorHAnsi"/>
        </w:rPr>
        <w:t>inda que preliminar</w:t>
      </w:r>
      <w:r w:rsidR="003A5ADC">
        <w:rPr>
          <w:rFonts w:asciiTheme="minorHAnsi" w:hAnsiTheme="minorHAnsi"/>
        </w:rPr>
        <w:t>es</w:t>
      </w:r>
      <w:r w:rsidR="004458EC">
        <w:rPr>
          <w:rFonts w:asciiTheme="minorHAnsi" w:hAnsiTheme="minorHAnsi"/>
        </w:rPr>
        <w:t xml:space="preserve">, os resultados podem sugerir cautela </w:t>
      </w:r>
      <w:r w:rsidR="003A5ADC">
        <w:rPr>
          <w:rFonts w:asciiTheme="minorHAnsi" w:hAnsiTheme="minorHAnsi"/>
        </w:rPr>
        <w:t>na</w:t>
      </w:r>
      <w:r w:rsidR="004458EC">
        <w:rPr>
          <w:rFonts w:asciiTheme="minorHAnsi" w:hAnsiTheme="minorHAnsi"/>
        </w:rPr>
        <w:t xml:space="preserve"> utiliza</w:t>
      </w:r>
      <w:r w:rsidR="003A5ADC">
        <w:rPr>
          <w:rFonts w:asciiTheme="minorHAnsi" w:hAnsiTheme="minorHAnsi"/>
        </w:rPr>
        <w:t>ção</w:t>
      </w:r>
      <w:r w:rsidR="004458EC">
        <w:rPr>
          <w:rFonts w:asciiTheme="minorHAnsi" w:hAnsiTheme="minorHAnsi"/>
        </w:rPr>
        <w:t xml:space="preserve"> </w:t>
      </w:r>
      <w:r w:rsidR="003A5ADC">
        <w:rPr>
          <w:rFonts w:asciiTheme="minorHAnsi" w:hAnsiTheme="minorHAnsi"/>
        </w:rPr>
        <w:t>d</w:t>
      </w:r>
      <w:r w:rsidR="004458EC">
        <w:rPr>
          <w:rFonts w:asciiTheme="minorHAnsi" w:hAnsiTheme="minorHAnsi"/>
        </w:rPr>
        <w:t>a medida de aceitação para determinar relações de causa efeito, especialmente em análises comparadas.</w:t>
      </w:r>
      <w:r w:rsidR="00C75CCC">
        <w:rPr>
          <w:rFonts w:asciiTheme="minorHAnsi" w:hAnsiTheme="minorHAnsi"/>
        </w:rPr>
        <w:t xml:space="preserve"> O efeito de desejabilidade social pode estar vinculado ao “clima de opinião” próprio de cada contexto. Portanto ainda que sistemático, viés de desejabilidade social deve variar em análises comparadas. Os outros erros, possivelmente vinculados às taxas de “não-resposta” podem comprometer a consistência interna dos indicadores, especialmente se analisados a correlação inter-intem do indicador de aceitação ao suporno (propina) e os demais indicadores observáveis. Quanto à escala de re</w:t>
      </w:r>
      <w:r w:rsidR="002A4805">
        <w:rPr>
          <w:rFonts w:asciiTheme="minorHAnsi" w:hAnsiTheme="minorHAnsi"/>
        </w:rPr>
        <w:t>spostas, por um lado a escala contínua não pode captar se a atitude em questão é considerada corrupta ou não, por outro, agrega amplitude às respostas dos entrevistados.</w:t>
      </w:r>
    </w:p>
    <w:p w14:paraId="5068670F" w14:textId="77777777" w:rsidR="002A4805" w:rsidRDefault="002A4805" w:rsidP="00C75CCC">
      <w:pPr>
        <w:spacing w:after="240" w:line="360" w:lineRule="auto"/>
        <w:ind w:firstLine="708"/>
        <w:jc w:val="both"/>
        <w:rPr>
          <w:rFonts w:asciiTheme="minorHAnsi" w:hAnsiTheme="minorHAnsi"/>
        </w:rPr>
      </w:pPr>
    </w:p>
    <w:p w14:paraId="6921B25C" w14:textId="77777777" w:rsidR="000A21A7" w:rsidRPr="00AB315F" w:rsidRDefault="000A21A7">
      <w:pPr>
        <w:spacing w:after="160" w:line="259" w:lineRule="auto"/>
        <w:rPr>
          <w:rFonts w:asciiTheme="minorHAnsi" w:hAnsiTheme="minorHAnsi"/>
          <w:b/>
        </w:rPr>
      </w:pPr>
      <w:r w:rsidRPr="00AB315F">
        <w:rPr>
          <w:rFonts w:asciiTheme="minorHAnsi" w:hAnsiTheme="minorHAnsi"/>
          <w:b/>
        </w:rPr>
        <w:br w:type="page"/>
      </w:r>
    </w:p>
    <w:p w14:paraId="1D0B242D" w14:textId="654E896B" w:rsidR="00C803D0" w:rsidRPr="00AB315F" w:rsidRDefault="007F2C6A" w:rsidP="006C2AAD">
      <w:pPr>
        <w:pStyle w:val="Ttulo1"/>
        <w:rPr>
          <w:b/>
          <w:color w:val="auto"/>
        </w:rPr>
      </w:pPr>
      <w:bookmarkStart w:id="30" w:name="_Toc456241263"/>
      <w:r w:rsidRPr="00AB315F">
        <w:rPr>
          <w:b/>
          <w:color w:val="auto"/>
        </w:rPr>
        <w:lastRenderedPageBreak/>
        <w:t>Referências</w:t>
      </w:r>
      <w:r w:rsidR="00A33DA0" w:rsidRPr="00AB315F">
        <w:rPr>
          <w:b/>
          <w:color w:val="auto"/>
        </w:rPr>
        <w:t xml:space="preserve"> Bibliográficas</w:t>
      </w:r>
      <w:bookmarkEnd w:id="30"/>
    </w:p>
    <w:p w14:paraId="01406860" w14:textId="77777777" w:rsidR="00280A43" w:rsidRPr="00AB315F" w:rsidRDefault="00280A43" w:rsidP="00E32D94">
      <w:pPr>
        <w:spacing w:line="360" w:lineRule="auto"/>
        <w:jc w:val="both"/>
        <w:rPr>
          <w:rFonts w:asciiTheme="minorHAnsi" w:hAnsiTheme="minorHAnsi"/>
          <w:b/>
        </w:rPr>
      </w:pPr>
    </w:p>
    <w:p w14:paraId="24FFDE22" w14:textId="0CEF40CA" w:rsidR="00D23A80" w:rsidRPr="002F795F" w:rsidRDefault="00D23A80" w:rsidP="00D23A80">
      <w:pPr>
        <w:spacing w:line="276" w:lineRule="auto"/>
        <w:jc w:val="both"/>
        <w:rPr>
          <w:lang w:val="en-US"/>
        </w:rPr>
      </w:pPr>
      <w:r w:rsidRPr="007F2C6A">
        <w:t>Abbink, K</w:t>
      </w:r>
      <w:r w:rsidR="006E6F4C" w:rsidRPr="007F2C6A">
        <w:t xml:space="preserve">., Irlenbusch, B. &amp; Renner, E. </w:t>
      </w:r>
      <w:r w:rsidRPr="007F2C6A">
        <w:t xml:space="preserve">. </w:t>
      </w:r>
      <w:r w:rsidRPr="002F795F">
        <w:rPr>
          <w:lang w:val="en-US"/>
        </w:rPr>
        <w:t>An Experimental Bribery Game. Journal of Law, Economics, a</w:t>
      </w:r>
      <w:r w:rsidR="006E6F4C">
        <w:rPr>
          <w:lang w:val="en-US"/>
        </w:rPr>
        <w:t xml:space="preserve">nd Organization 18(2): 428-454, </w:t>
      </w:r>
      <w:r w:rsidR="006E6F4C" w:rsidRPr="006E6F4C">
        <w:rPr>
          <w:lang w:val="en-US"/>
        </w:rPr>
        <w:t>2002</w:t>
      </w:r>
    </w:p>
    <w:p w14:paraId="65AEB4B8" w14:textId="149FDEB0" w:rsidR="00D23A80" w:rsidRPr="002F795F" w:rsidRDefault="00D23A80" w:rsidP="00D23A80">
      <w:pPr>
        <w:spacing w:before="240"/>
        <w:jc w:val="both"/>
        <w:rPr>
          <w:lang w:val="en-US"/>
        </w:rPr>
      </w:pPr>
      <w:r w:rsidRPr="002F795F">
        <w:rPr>
          <w:lang w:val="en-US"/>
        </w:rPr>
        <w:t>Ad</w:t>
      </w:r>
      <w:r w:rsidR="006E6F4C">
        <w:rPr>
          <w:lang w:val="en-US"/>
        </w:rPr>
        <w:t>cock, Robert and Collier, David</w:t>
      </w:r>
      <w:r w:rsidRPr="002F795F">
        <w:rPr>
          <w:lang w:val="en-US"/>
        </w:rPr>
        <w:t xml:space="preserve">. “Mensurement Validity: A shared Standard for Qualitative and Quantitative Research. </w:t>
      </w:r>
      <w:r w:rsidRPr="002F795F">
        <w:rPr>
          <w:i/>
          <w:lang w:val="en-US"/>
        </w:rPr>
        <w:t>American Political Science Review</w:t>
      </w:r>
      <w:r w:rsidRPr="002F795F">
        <w:rPr>
          <w:lang w:val="en-US"/>
        </w:rPr>
        <w:t xml:space="preserve"> 95:3 529-54</w:t>
      </w:r>
      <w:r w:rsidR="006E6F4C">
        <w:rPr>
          <w:lang w:val="en-US"/>
        </w:rPr>
        <w:t xml:space="preserve">, </w:t>
      </w:r>
      <w:r w:rsidR="006E6F4C" w:rsidRPr="002F795F">
        <w:rPr>
          <w:lang w:val="en-US"/>
        </w:rPr>
        <w:t>2001</w:t>
      </w:r>
    </w:p>
    <w:p w14:paraId="7A57F385" w14:textId="174B4741" w:rsidR="00D23A80" w:rsidRPr="002F795F" w:rsidRDefault="00D23A80" w:rsidP="00D23A80">
      <w:pPr>
        <w:autoSpaceDE w:val="0"/>
        <w:autoSpaceDN w:val="0"/>
        <w:adjustRightInd w:val="0"/>
        <w:spacing w:before="240"/>
        <w:jc w:val="both"/>
        <w:rPr>
          <w:lang w:val="en-US"/>
        </w:rPr>
      </w:pPr>
      <w:r w:rsidRPr="002F795F">
        <w:rPr>
          <w:lang w:val="en-US"/>
        </w:rPr>
        <w:t xml:space="preserve">Almond, G.; Verba, S.. </w:t>
      </w:r>
      <w:r w:rsidRPr="002F795F">
        <w:rPr>
          <w:i/>
          <w:lang w:val="en-US"/>
        </w:rPr>
        <w:t>The civic culture: political attitudes and democracy in five nations</w:t>
      </w:r>
      <w:r w:rsidRPr="002F795F">
        <w:rPr>
          <w:lang w:val="en-US"/>
        </w:rPr>
        <w:t>. Prince</w:t>
      </w:r>
      <w:r w:rsidR="006E6F4C">
        <w:rPr>
          <w:lang w:val="en-US"/>
        </w:rPr>
        <w:t xml:space="preserve">ton: Princeton University Press, </w:t>
      </w:r>
      <w:r w:rsidR="006E6F4C" w:rsidRPr="002F795F">
        <w:rPr>
          <w:lang w:val="en-US"/>
        </w:rPr>
        <w:t>1989</w:t>
      </w:r>
    </w:p>
    <w:p w14:paraId="2EA3CCEF" w14:textId="77777777" w:rsidR="00D23A80" w:rsidRPr="002F795F" w:rsidRDefault="00D23A80" w:rsidP="00D23A80">
      <w:pPr>
        <w:spacing w:line="276" w:lineRule="auto"/>
        <w:jc w:val="both"/>
        <w:rPr>
          <w:lang w:val="en-US"/>
        </w:rPr>
      </w:pPr>
    </w:p>
    <w:p w14:paraId="3E99D597" w14:textId="77777777" w:rsidR="00D23A80" w:rsidRPr="002F795F" w:rsidRDefault="00D23A80" w:rsidP="00D23A80">
      <w:pPr>
        <w:spacing w:line="276" w:lineRule="auto"/>
        <w:jc w:val="both"/>
      </w:pPr>
      <w:r w:rsidRPr="002F795F">
        <w:rPr>
          <w:lang w:val="en-US"/>
        </w:rPr>
        <w:t xml:space="preserve">Armantier,O. e Boly,A. Can Corruption Be Studied in the Lab? Comparing a Field and a Lab Experiment. </w:t>
      </w:r>
      <w:r w:rsidRPr="002F795F">
        <w:t xml:space="preserve">AFDB – 2008. Disponível em </w:t>
      </w:r>
      <w:hyperlink r:id="rId25" w:history="1">
        <w:r w:rsidRPr="002F795F">
          <w:rPr>
            <w:rStyle w:val="Hyperlink"/>
            <w:color w:val="auto"/>
          </w:rPr>
          <w:t>http://www.afdb.org/fileadmin/uploads/afdb/Documents/Knowledge/30754246-EN-3.1.3-BOLY-CAN-CORRUPTION-BE-STUDIED-IN-THE-LAB-BOLY-AUGUST-08.PDF</w:t>
        </w:r>
      </w:hyperlink>
    </w:p>
    <w:p w14:paraId="254FF083" w14:textId="51291341" w:rsidR="00D23A80" w:rsidRPr="002F795F" w:rsidRDefault="00D23A80" w:rsidP="00D23A80">
      <w:pPr>
        <w:autoSpaceDE w:val="0"/>
        <w:autoSpaceDN w:val="0"/>
        <w:adjustRightInd w:val="0"/>
        <w:spacing w:before="240"/>
        <w:jc w:val="both"/>
        <w:rPr>
          <w:lang w:val="en-US"/>
        </w:rPr>
      </w:pPr>
      <w:r w:rsidRPr="002F795F">
        <w:rPr>
          <w:lang w:val="en-US"/>
        </w:rPr>
        <w:t xml:space="preserve">Bertrand, M., and S. Mullainathan. 2001 “Do People Mean What They Say? Implications for Subjective Survey Data,” </w:t>
      </w:r>
      <w:r w:rsidRPr="002F795F">
        <w:rPr>
          <w:i/>
          <w:iCs/>
          <w:lang w:val="en-US"/>
        </w:rPr>
        <w:t xml:space="preserve">American Economic Review (P &amp; P) </w:t>
      </w:r>
      <w:r w:rsidRPr="002F795F">
        <w:rPr>
          <w:lang w:val="en-US"/>
        </w:rPr>
        <w:t>91(2), 67-72</w:t>
      </w:r>
      <w:r w:rsidR="006E6F4C">
        <w:rPr>
          <w:lang w:val="en-US"/>
        </w:rPr>
        <w:t xml:space="preserve">, </w:t>
      </w:r>
      <w:r w:rsidR="006E6F4C" w:rsidRPr="002F795F">
        <w:rPr>
          <w:lang w:val="en-US"/>
        </w:rPr>
        <w:t>2001</w:t>
      </w:r>
    </w:p>
    <w:p w14:paraId="2B0F8380" w14:textId="77777777" w:rsidR="00683A7B" w:rsidRPr="002F795F" w:rsidRDefault="00683A7B" w:rsidP="00683A7B">
      <w:pPr>
        <w:spacing w:line="276" w:lineRule="auto"/>
        <w:jc w:val="both"/>
        <w:rPr>
          <w:lang w:val="en-US"/>
        </w:rPr>
      </w:pPr>
    </w:p>
    <w:p w14:paraId="0D34905B" w14:textId="7E94F2CA" w:rsidR="00683A7B" w:rsidRPr="002F795F" w:rsidRDefault="00683A7B" w:rsidP="00683A7B">
      <w:pPr>
        <w:spacing w:line="276" w:lineRule="auto"/>
        <w:jc w:val="both"/>
        <w:rPr>
          <w:lang w:val="en-US"/>
        </w:rPr>
      </w:pPr>
      <w:r w:rsidRPr="002F795F">
        <w:rPr>
          <w:lang w:val="en-US"/>
        </w:rPr>
        <w:t xml:space="preserve">Bishop, George F.; Tuchfarber, Alfred J.; and Olendick, Robert W.: 1986.  "Opinions on Fictitious Issues: The Pressure to Answer Survey Questions," Public Opinion Quarterly </w:t>
      </w:r>
      <w:r w:rsidR="006E6F4C">
        <w:rPr>
          <w:lang w:val="en-US"/>
        </w:rPr>
        <w:t xml:space="preserve">Vol. 50, No. 2 (Summer): 240-50, </w:t>
      </w:r>
      <w:r w:rsidR="006E6F4C" w:rsidRPr="002F795F">
        <w:rPr>
          <w:lang w:val="en-US"/>
        </w:rPr>
        <w:t>1986</w:t>
      </w:r>
    </w:p>
    <w:p w14:paraId="7BAF290C" w14:textId="4D9A767C" w:rsidR="00683A7B" w:rsidRDefault="00683A7B" w:rsidP="00683A7B">
      <w:pPr>
        <w:autoSpaceDE w:val="0"/>
        <w:autoSpaceDN w:val="0"/>
        <w:adjustRightInd w:val="0"/>
        <w:spacing w:before="240"/>
        <w:jc w:val="both"/>
        <w:rPr>
          <w:lang w:val="en-US"/>
        </w:rPr>
      </w:pPr>
      <w:r w:rsidRPr="002F795F">
        <w:rPr>
          <w:lang w:val="en-US"/>
        </w:rPr>
        <w:t xml:space="preserve">Bradburn, N.M.. “Response Effects,” </w:t>
      </w:r>
      <w:r w:rsidRPr="002F795F">
        <w:rPr>
          <w:i/>
          <w:iCs/>
          <w:lang w:val="en-US"/>
        </w:rPr>
        <w:t>in</w:t>
      </w:r>
      <w:r w:rsidRPr="002F795F">
        <w:rPr>
          <w:lang w:val="en-US"/>
        </w:rPr>
        <w:t xml:space="preserve">: Rossi, P.H., J.D. Wright, and A.B. Anderson (eds): </w:t>
      </w:r>
      <w:r w:rsidRPr="002F795F">
        <w:rPr>
          <w:i/>
          <w:iCs/>
          <w:lang w:val="en-US"/>
        </w:rPr>
        <w:t>Handbook of Survey Research</w:t>
      </w:r>
      <w:r w:rsidR="006E6F4C">
        <w:rPr>
          <w:lang w:val="en-US"/>
        </w:rPr>
        <w:t>, Academic Press, NY,</w:t>
      </w:r>
      <w:r w:rsidR="006E6F4C" w:rsidRPr="006E6F4C">
        <w:rPr>
          <w:lang w:val="en-US"/>
        </w:rPr>
        <w:t xml:space="preserve"> </w:t>
      </w:r>
      <w:r w:rsidR="006E6F4C" w:rsidRPr="002F795F">
        <w:rPr>
          <w:lang w:val="en-US"/>
        </w:rPr>
        <w:t>1983</w:t>
      </w:r>
    </w:p>
    <w:p w14:paraId="65F6C88A" w14:textId="6E3EB6CB" w:rsidR="006E6F4C" w:rsidRPr="002F795F" w:rsidRDefault="006E6F4C" w:rsidP="00683A7B">
      <w:pPr>
        <w:autoSpaceDE w:val="0"/>
        <w:autoSpaceDN w:val="0"/>
        <w:adjustRightInd w:val="0"/>
        <w:spacing w:before="240"/>
        <w:jc w:val="both"/>
        <w:rPr>
          <w:lang w:val="en-US"/>
        </w:rPr>
      </w:pPr>
      <w:r w:rsidRPr="006E6F4C">
        <w:rPr>
          <w:lang w:val="en-US"/>
        </w:rPr>
        <w:t>BOLLEN, K. A. Structural Equations with Latent Variables. Wiley Series in Probability and Mathematical Statistics. Nova York: Wiley, 1989.</w:t>
      </w:r>
    </w:p>
    <w:p w14:paraId="2B6A28DA" w14:textId="77777777" w:rsidR="00683A7B" w:rsidRDefault="00683A7B" w:rsidP="00683A7B">
      <w:pPr>
        <w:spacing w:line="276" w:lineRule="auto"/>
        <w:jc w:val="both"/>
        <w:rPr>
          <w:lang w:val="en-US"/>
        </w:rPr>
      </w:pPr>
    </w:p>
    <w:p w14:paraId="547E38D9" w14:textId="77777777" w:rsidR="00D05E9E" w:rsidRDefault="00D05E9E" w:rsidP="00683A7B">
      <w:pPr>
        <w:spacing w:line="276" w:lineRule="auto"/>
        <w:jc w:val="both"/>
        <w:rPr>
          <w:lang w:val="en-US"/>
        </w:rPr>
      </w:pPr>
      <w:r w:rsidRPr="00D05E9E">
        <w:rPr>
          <w:lang w:val="en-US"/>
        </w:rPr>
        <w:t xml:space="preserve">BROWN, T. A., Confirmatory Factor Analysis for Applied Research. New York, Guilford Press, 2006. </w:t>
      </w:r>
    </w:p>
    <w:p w14:paraId="05A8AEEB" w14:textId="77777777" w:rsidR="00D05E9E" w:rsidRDefault="00D05E9E" w:rsidP="00683A7B">
      <w:pPr>
        <w:spacing w:line="276" w:lineRule="auto"/>
        <w:jc w:val="both"/>
        <w:rPr>
          <w:lang w:val="en-US"/>
        </w:rPr>
      </w:pPr>
    </w:p>
    <w:p w14:paraId="55EE4044" w14:textId="0957BADF" w:rsidR="00D05E9E" w:rsidRDefault="00D05E9E" w:rsidP="00683A7B">
      <w:pPr>
        <w:spacing w:line="276" w:lineRule="auto"/>
        <w:jc w:val="both"/>
        <w:rPr>
          <w:lang w:val="en-US"/>
        </w:rPr>
      </w:pPr>
      <w:r w:rsidRPr="00D05E9E">
        <w:rPr>
          <w:lang w:val="en-US"/>
        </w:rPr>
        <w:t>BYRNE, B. M. Structural equation modeling with AMOS: basic concepts, applications, and programming. 2nd ed. New York: Routledge, 2009.</w:t>
      </w:r>
    </w:p>
    <w:p w14:paraId="294EF0F2" w14:textId="77777777" w:rsidR="00D05E9E" w:rsidRPr="002F795F" w:rsidRDefault="00D05E9E" w:rsidP="00683A7B">
      <w:pPr>
        <w:spacing w:line="276" w:lineRule="auto"/>
        <w:jc w:val="both"/>
        <w:rPr>
          <w:lang w:val="en-US"/>
        </w:rPr>
      </w:pPr>
    </w:p>
    <w:p w14:paraId="10551743" w14:textId="1156CD92" w:rsidR="00683A7B" w:rsidRPr="006E6F4C" w:rsidRDefault="00683A7B" w:rsidP="00683A7B">
      <w:pPr>
        <w:spacing w:line="276" w:lineRule="auto"/>
        <w:jc w:val="both"/>
      </w:pPr>
      <w:r w:rsidRPr="002F795F">
        <w:rPr>
          <w:lang w:val="en-US"/>
        </w:rPr>
        <w:t xml:space="preserve">Carmines, Edward G., and James A. Stimson.. “The Two Faces of Issue Voting.” </w:t>
      </w:r>
      <w:r w:rsidRPr="006E6F4C">
        <w:t>American Po</w:t>
      </w:r>
      <w:r w:rsidR="006E6F4C" w:rsidRPr="006E6F4C">
        <w:t>litical Science Review 79:78–91, 1980</w:t>
      </w:r>
    </w:p>
    <w:p w14:paraId="305E4705" w14:textId="77777777" w:rsidR="002F795F" w:rsidRPr="006E6F4C" w:rsidRDefault="002F795F" w:rsidP="00683A7B">
      <w:pPr>
        <w:spacing w:line="276" w:lineRule="auto"/>
        <w:jc w:val="both"/>
      </w:pPr>
    </w:p>
    <w:p w14:paraId="2BD75512" w14:textId="4E59253C" w:rsidR="002F795F" w:rsidRPr="002F795F" w:rsidRDefault="002F795F" w:rsidP="00683A7B">
      <w:pPr>
        <w:spacing w:line="276" w:lineRule="auto"/>
        <w:jc w:val="both"/>
      </w:pPr>
      <w:r w:rsidRPr="002F795F">
        <w:t>Catterberg, Gabriela y Alejandro Moreno, “Con</w:t>
      </w:r>
      <w:r w:rsidRPr="002F795F">
        <w:rPr>
          <w:lang w:val="en-US"/>
        </w:rPr>
        <w:t>ﬁ</w:t>
      </w:r>
      <w:r w:rsidRPr="002F795F">
        <w:t>anza interpersonal, intereses privados y corrupción en América Latina: las experiencias de Argentina y México”, em M. Braun y C. Straw, Opinión Pública: una mirada desde Amér</w:t>
      </w:r>
      <w:r w:rsidR="006E6F4C">
        <w:t xml:space="preserve">ica Latina, Buenos Aires, Emecé, </w:t>
      </w:r>
      <w:r w:rsidR="006E6F4C" w:rsidRPr="002F795F">
        <w:t>2009</w:t>
      </w:r>
    </w:p>
    <w:p w14:paraId="43B614DD" w14:textId="77777777" w:rsidR="00A01858" w:rsidRPr="002F795F" w:rsidRDefault="00A01858" w:rsidP="00683A7B">
      <w:pPr>
        <w:spacing w:line="276" w:lineRule="auto"/>
        <w:jc w:val="both"/>
      </w:pPr>
    </w:p>
    <w:p w14:paraId="1114C6F3" w14:textId="70678286" w:rsidR="00A01858" w:rsidRPr="007F2C6A" w:rsidRDefault="00A01858" w:rsidP="00683A7B">
      <w:pPr>
        <w:spacing w:line="276" w:lineRule="auto"/>
        <w:jc w:val="both"/>
        <w:rPr>
          <w:lang w:val="en-US"/>
        </w:rPr>
      </w:pPr>
      <w:r w:rsidRPr="002F795F">
        <w:lastRenderedPageBreak/>
        <w:t>Catterberg,G., Moreno, A. e Zuasnábar.</w:t>
      </w:r>
      <w:r w:rsidR="002F795F" w:rsidRPr="002F795F">
        <w:t xml:space="preserve"> </w:t>
      </w:r>
      <w:r w:rsidRPr="002F795F">
        <w:t xml:space="preserve">¿Qué miden las encuestas sobre corrupción en América Latina? Evidencias de Argentina, México y Uruguay. Revista Legislativa de Estudios Sociales y de Opinión Pública, vol. 6, núm. 11, ene-jun. </w:t>
      </w:r>
      <w:r w:rsidRPr="007F2C6A">
        <w:rPr>
          <w:lang w:val="en-US"/>
        </w:rPr>
        <w:t>2013, pp. 87-106.</w:t>
      </w:r>
      <w:r w:rsidR="006E6F4C" w:rsidRPr="007F2C6A">
        <w:rPr>
          <w:lang w:val="en-US"/>
        </w:rPr>
        <w:t xml:space="preserve"> 2013</w:t>
      </w:r>
      <w:r w:rsidRPr="007F2C6A">
        <w:rPr>
          <w:lang w:val="en-US"/>
        </w:rPr>
        <w:t xml:space="preserve"> </w:t>
      </w:r>
    </w:p>
    <w:p w14:paraId="3A936319" w14:textId="77777777" w:rsidR="0073433F" w:rsidRPr="007F2C6A" w:rsidRDefault="0073433F" w:rsidP="00683A7B">
      <w:pPr>
        <w:spacing w:line="276" w:lineRule="auto"/>
        <w:jc w:val="both"/>
        <w:rPr>
          <w:lang w:val="en-US"/>
        </w:rPr>
      </w:pPr>
    </w:p>
    <w:p w14:paraId="434D934B" w14:textId="52283277" w:rsidR="0073433F" w:rsidRPr="005D065B" w:rsidRDefault="0073433F" w:rsidP="00683A7B">
      <w:pPr>
        <w:spacing w:line="276" w:lineRule="auto"/>
        <w:jc w:val="both"/>
        <w:rPr>
          <w:lang w:val="en-US"/>
        </w:rPr>
      </w:pPr>
      <w:r w:rsidRPr="0073433F">
        <w:rPr>
          <w:lang w:val="en-US"/>
        </w:rPr>
        <w:t xml:space="preserve">COSTELLO, A. B; OSBORNE, J. W. “Best practices in exploratory factor analysis: Four recommendations for getting the most from your analysis.” </w:t>
      </w:r>
      <w:r w:rsidRPr="005D065B">
        <w:rPr>
          <w:lang w:val="en-US"/>
        </w:rPr>
        <w:t>Practical Assessment Research &amp; Evaluation, 10, 7, 13-24, 2005.</w:t>
      </w:r>
    </w:p>
    <w:p w14:paraId="083FDA94" w14:textId="77777777" w:rsidR="00683A7B" w:rsidRPr="005D065B" w:rsidRDefault="00683A7B" w:rsidP="00683A7B">
      <w:pPr>
        <w:spacing w:line="276" w:lineRule="auto"/>
        <w:jc w:val="both"/>
        <w:rPr>
          <w:lang w:val="en-US"/>
        </w:rPr>
      </w:pPr>
    </w:p>
    <w:p w14:paraId="6702B14A" w14:textId="2032044E" w:rsidR="00683A7B" w:rsidRPr="002F795F" w:rsidRDefault="002F795F" w:rsidP="00683A7B">
      <w:pPr>
        <w:rPr>
          <w:lang w:val="en-US"/>
        </w:rPr>
      </w:pPr>
      <w:r w:rsidRPr="002F795F">
        <w:rPr>
          <w:lang w:val="en-US"/>
        </w:rPr>
        <w:t>DeVellis, R. F.</w:t>
      </w:r>
      <w:r w:rsidR="00683A7B" w:rsidRPr="002F795F">
        <w:rPr>
          <w:lang w:val="en-US"/>
        </w:rPr>
        <w:t>. Scale development: Theory and applications . Newbury Park, CA: SAGE Publicat</w:t>
      </w:r>
      <w:r w:rsidR="006E6F4C">
        <w:rPr>
          <w:lang w:val="en-US"/>
        </w:rPr>
        <w:t xml:space="preserve">ions, </w:t>
      </w:r>
      <w:r w:rsidR="006E6F4C" w:rsidRPr="002F795F">
        <w:rPr>
          <w:lang w:val="en-US"/>
        </w:rPr>
        <w:t>1991</w:t>
      </w:r>
    </w:p>
    <w:p w14:paraId="06CA952E" w14:textId="3CF91F6F" w:rsidR="00D23A80" w:rsidRPr="002F795F" w:rsidRDefault="00D23A80" w:rsidP="00D23A80">
      <w:pPr>
        <w:autoSpaceDE w:val="0"/>
        <w:autoSpaceDN w:val="0"/>
        <w:adjustRightInd w:val="0"/>
        <w:spacing w:before="240"/>
        <w:jc w:val="both"/>
        <w:rPr>
          <w:lang w:val="en-US"/>
        </w:rPr>
      </w:pPr>
      <w:r w:rsidRPr="002F795F">
        <w:rPr>
          <w:lang w:val="en-US"/>
        </w:rPr>
        <w:t>Dobel, J. P.. The corruption of a state. The American Poli</w:t>
      </w:r>
      <w:r w:rsidR="006E6F4C">
        <w:rPr>
          <w:lang w:val="en-US"/>
        </w:rPr>
        <w:t xml:space="preserve">tical Science Review, 72:958-73, </w:t>
      </w:r>
      <w:r w:rsidR="006E6F4C" w:rsidRPr="002F795F">
        <w:rPr>
          <w:lang w:val="en-US"/>
        </w:rPr>
        <w:t>1976</w:t>
      </w:r>
      <w:r w:rsidR="006E6F4C">
        <w:rPr>
          <w:lang w:val="en-US"/>
        </w:rPr>
        <w:t>.</w:t>
      </w:r>
    </w:p>
    <w:p w14:paraId="24C9B30B" w14:textId="031DB86B" w:rsidR="00D23A80" w:rsidRPr="002F795F" w:rsidRDefault="00D23A80" w:rsidP="00D23A80">
      <w:pPr>
        <w:spacing w:before="240"/>
        <w:jc w:val="both"/>
      </w:pPr>
      <w:r w:rsidRPr="002F795F">
        <w:t xml:space="preserve">Filgueiras, Fernando. </w:t>
      </w:r>
      <w:r w:rsidRPr="002F795F">
        <w:rPr>
          <w:i/>
        </w:rPr>
        <w:t>Corrupção, democracia e legitimidade</w:t>
      </w:r>
      <w:r w:rsidRPr="002F795F">
        <w:t>. Belo Horizonte: Editora UFMG</w:t>
      </w:r>
      <w:r w:rsidR="006E6F4C">
        <w:t xml:space="preserve">, </w:t>
      </w:r>
      <w:r w:rsidR="006E6F4C" w:rsidRPr="002F795F">
        <w:t>2008.</w:t>
      </w:r>
    </w:p>
    <w:p w14:paraId="16062BC1" w14:textId="77777777" w:rsidR="00683A7B" w:rsidRPr="002F795F" w:rsidRDefault="00683A7B" w:rsidP="00683A7B">
      <w:pPr>
        <w:spacing w:line="276" w:lineRule="auto"/>
        <w:jc w:val="both"/>
      </w:pPr>
    </w:p>
    <w:p w14:paraId="321AD51F" w14:textId="77777777" w:rsidR="00683A7B" w:rsidRPr="002F795F" w:rsidRDefault="00683A7B" w:rsidP="00683A7B">
      <w:pPr>
        <w:spacing w:line="276" w:lineRule="auto"/>
        <w:jc w:val="both"/>
        <w:rPr>
          <w:lang w:val="en-US"/>
        </w:rPr>
      </w:pPr>
      <w:r w:rsidRPr="002F795F">
        <w:t>FILGUEIRAS, Fernando. A Corrupção na Política</w:t>
      </w:r>
      <w:r w:rsidRPr="002F795F">
        <w:rPr>
          <w:i/>
        </w:rPr>
        <w:t xml:space="preserve">: </w:t>
      </w:r>
      <w:r w:rsidRPr="002F795F">
        <w:t>Perspectivas Teóricas e Metodológicas</w:t>
      </w:r>
      <w:r w:rsidRPr="002F795F">
        <w:rPr>
          <w:b/>
        </w:rPr>
        <w:t xml:space="preserve">. </w:t>
      </w:r>
      <w:r w:rsidRPr="002F795F">
        <w:rPr>
          <w:b/>
          <w:lang w:val="en-US"/>
        </w:rPr>
        <w:t>Cadernos Cedes - IUPER</w:t>
      </w:r>
      <w:r w:rsidRPr="002F795F">
        <w:rPr>
          <w:lang w:val="en-US"/>
        </w:rPr>
        <w:t>, v. 5, 2006.</w:t>
      </w:r>
    </w:p>
    <w:p w14:paraId="4A6EC19B" w14:textId="77777777" w:rsidR="00683A7B" w:rsidRPr="002F795F" w:rsidRDefault="00683A7B" w:rsidP="00683A7B">
      <w:pPr>
        <w:spacing w:line="276" w:lineRule="auto"/>
        <w:jc w:val="both"/>
        <w:rPr>
          <w:lang w:val="en-US"/>
        </w:rPr>
      </w:pPr>
    </w:p>
    <w:p w14:paraId="36917E1A" w14:textId="5DB5D3D9" w:rsidR="00683A7B" w:rsidRPr="002F795F" w:rsidRDefault="00683A7B" w:rsidP="00683A7B">
      <w:pPr>
        <w:jc w:val="both"/>
        <w:rPr>
          <w:lang w:val="en-US"/>
        </w:rPr>
      </w:pPr>
      <w:r w:rsidRPr="002F795F">
        <w:rPr>
          <w:lang w:val="en-US"/>
        </w:rPr>
        <w:t xml:space="preserve">Frank, B. &amp; Schulze, G. G. Does Economics Make Citizens Corrupt? Journal of Economic Behavior &amp; </w:t>
      </w:r>
      <w:r w:rsidR="006E6F4C">
        <w:rPr>
          <w:lang w:val="en-US"/>
        </w:rPr>
        <w:t>Organization 43(1): 101-113. - 2000</w:t>
      </w:r>
      <w:r w:rsidRPr="002F795F">
        <w:rPr>
          <w:lang w:val="en-US"/>
        </w:rPr>
        <w:t>.</w:t>
      </w:r>
    </w:p>
    <w:p w14:paraId="069F7448" w14:textId="77777777" w:rsidR="00683A7B" w:rsidRPr="002F795F" w:rsidRDefault="00683A7B" w:rsidP="00683A7B">
      <w:pPr>
        <w:jc w:val="both"/>
        <w:rPr>
          <w:lang w:val="en-US"/>
        </w:rPr>
      </w:pPr>
    </w:p>
    <w:p w14:paraId="2E3C908D" w14:textId="56716674" w:rsidR="00683A7B" w:rsidRPr="007F2C6A" w:rsidRDefault="00683A7B" w:rsidP="00683A7B">
      <w:pPr>
        <w:jc w:val="both"/>
      </w:pPr>
      <w:r w:rsidRPr="002F795F">
        <w:rPr>
          <w:lang w:val="es-MX"/>
        </w:rPr>
        <w:t xml:space="preserve">Freiberg Hoffmann,  A., Stover, J. B., de la Iglesia, </w:t>
      </w:r>
      <w:r w:rsidR="006E6F4C">
        <w:rPr>
          <w:lang w:val="es-MX"/>
        </w:rPr>
        <w:t xml:space="preserve">G. y Fernández Liporace, M. </w:t>
      </w:r>
      <w:r w:rsidRPr="002F795F">
        <w:rPr>
          <w:lang w:val="es-MX"/>
        </w:rPr>
        <w:t>. Correlaciones policóricas y tetracóricas en estudios factoriales exploratorios y con</w:t>
      </w:r>
      <w:r w:rsidRPr="002F795F">
        <w:rPr>
          <w:lang w:val="en-US"/>
        </w:rPr>
        <w:t>ﬁ</w:t>
      </w:r>
      <w:r w:rsidRPr="002F795F">
        <w:rPr>
          <w:lang w:val="es-MX"/>
        </w:rPr>
        <w:t xml:space="preserve"> rmatorios. </w:t>
      </w:r>
      <w:r w:rsidRPr="007F2C6A">
        <w:t xml:space="preserve">Ciencias </w:t>
      </w:r>
      <w:r w:rsidR="006E6F4C" w:rsidRPr="007F2C6A">
        <w:t xml:space="preserve">Psicológicas VII (2): 151 – 164, </w:t>
      </w:r>
      <w:r w:rsidR="006E6F4C" w:rsidRPr="002F795F">
        <w:rPr>
          <w:lang w:val="es-MX"/>
        </w:rPr>
        <w:t>2013</w:t>
      </w:r>
    </w:p>
    <w:p w14:paraId="64823302" w14:textId="77777777" w:rsidR="00683A7B" w:rsidRPr="007F2C6A" w:rsidRDefault="00683A7B" w:rsidP="00683A7B">
      <w:pPr>
        <w:jc w:val="both"/>
      </w:pPr>
    </w:p>
    <w:p w14:paraId="71EBBFFF" w14:textId="37CCCC24" w:rsidR="00683A7B" w:rsidRPr="007F2C6A" w:rsidRDefault="00683A7B" w:rsidP="00683A7B">
      <w:pPr>
        <w:spacing w:line="276" w:lineRule="auto"/>
        <w:jc w:val="both"/>
      </w:pPr>
      <w:r w:rsidRPr="007F2C6A">
        <w:t>FURNHAM, A. Response bias, social desirability and dissimulation. Personality and Individual Differences, 7, 385 - 400. 198</w:t>
      </w:r>
      <w:r w:rsidR="0073433F" w:rsidRPr="007F2C6A">
        <w:t>, 1986.</w:t>
      </w:r>
    </w:p>
    <w:p w14:paraId="77FC6CE2" w14:textId="77777777" w:rsidR="00CE721F" w:rsidRPr="007F2C6A" w:rsidRDefault="00CE721F" w:rsidP="00683A7B">
      <w:pPr>
        <w:spacing w:line="276" w:lineRule="auto"/>
        <w:jc w:val="both"/>
      </w:pPr>
    </w:p>
    <w:p w14:paraId="5CE913C4" w14:textId="0F1371AB" w:rsidR="00CE721F" w:rsidRPr="002F795F" w:rsidRDefault="00CE721F" w:rsidP="00683A7B">
      <w:pPr>
        <w:spacing w:line="276" w:lineRule="auto"/>
        <w:jc w:val="both"/>
        <w:rPr>
          <w:lang w:val="en-US"/>
        </w:rPr>
      </w:pPr>
      <w:r w:rsidRPr="00CE721F">
        <w:t xml:space="preserve">FREITAS, A. L. P., RODRIGUES, S. G. A avaliação da confiabilidade de questionário: uma análise utilizando o coeficiente alfa de Cronbach. </w:t>
      </w:r>
      <w:r w:rsidRPr="00CE721F">
        <w:rPr>
          <w:lang w:val="en-US"/>
        </w:rPr>
        <w:t>XII SIMPEP – Bauru-SP, 2005</w:t>
      </w:r>
    </w:p>
    <w:p w14:paraId="68E682B6" w14:textId="502C94EB" w:rsidR="00D23A80" w:rsidRPr="002F795F" w:rsidRDefault="00D23A80" w:rsidP="00D23A80">
      <w:pPr>
        <w:tabs>
          <w:tab w:val="left" w:pos="0"/>
          <w:tab w:val="left" w:pos="540"/>
          <w:tab w:val="left" w:pos="4111"/>
        </w:tabs>
        <w:spacing w:before="240"/>
        <w:ind w:right="-1"/>
        <w:jc w:val="both"/>
        <w:rPr>
          <w:spacing w:val="-6"/>
          <w:lang w:val="en-US"/>
        </w:rPr>
      </w:pPr>
      <w:r w:rsidRPr="002F795F">
        <w:rPr>
          <w:rStyle w:val="nfase"/>
          <w:bCs/>
          <w:shd w:val="clear" w:color="auto" w:fill="FFFFFF"/>
          <w:lang w:val="en-US"/>
        </w:rPr>
        <w:t xml:space="preserve">Galtung, </w:t>
      </w:r>
      <w:r w:rsidRPr="002F795F">
        <w:rPr>
          <w:shd w:val="clear" w:color="auto" w:fill="FFFFFF"/>
          <w:lang w:val="en-US"/>
        </w:rPr>
        <w:t>Johan</w:t>
      </w:r>
      <w:r w:rsidRPr="002F795F">
        <w:rPr>
          <w:rStyle w:val="apple-converted-space"/>
          <w:shd w:val="clear" w:color="auto" w:fill="FFFFFF"/>
          <w:lang w:val="en-US"/>
        </w:rPr>
        <w:t>  </w:t>
      </w:r>
      <w:r w:rsidRPr="002F795F">
        <w:rPr>
          <w:shd w:val="clear" w:color="auto" w:fill="FFFFFF"/>
          <w:lang w:val="en-US"/>
        </w:rPr>
        <w:t>and Mari Holmboe</w:t>
      </w:r>
      <w:r w:rsidRPr="002F795F">
        <w:rPr>
          <w:rStyle w:val="apple-converted-space"/>
          <w:shd w:val="clear" w:color="auto" w:fill="FFFFFF"/>
          <w:lang w:val="en-US"/>
        </w:rPr>
        <w:t> </w:t>
      </w:r>
      <w:r w:rsidRPr="002F795F">
        <w:rPr>
          <w:rStyle w:val="nfase"/>
          <w:bCs/>
          <w:shd w:val="clear" w:color="auto" w:fill="FFFFFF"/>
          <w:lang w:val="en-US"/>
        </w:rPr>
        <w:t>Ruge</w:t>
      </w:r>
      <w:r w:rsidRPr="002F795F">
        <w:rPr>
          <w:shd w:val="clear" w:color="auto" w:fill="FFFFFF"/>
          <w:lang w:val="en-US"/>
        </w:rPr>
        <w:t>.</w:t>
      </w:r>
      <w:r w:rsidRPr="002F795F">
        <w:rPr>
          <w:rStyle w:val="nfase"/>
          <w:bCs/>
          <w:shd w:val="clear" w:color="auto" w:fill="FFFFFF"/>
          <w:lang w:val="en-US"/>
        </w:rPr>
        <w:t>.</w:t>
      </w:r>
      <w:r w:rsidRPr="002F795F">
        <w:rPr>
          <w:shd w:val="clear" w:color="auto" w:fill="FFFFFF"/>
          <w:lang w:val="en-US"/>
        </w:rPr>
        <w:t xml:space="preserve"> The Structure of Foreign News. Source: </w:t>
      </w:r>
      <w:r w:rsidRPr="002F795F">
        <w:rPr>
          <w:i/>
          <w:shd w:val="clear" w:color="auto" w:fill="FFFFFF"/>
          <w:lang w:val="en-US"/>
        </w:rPr>
        <w:t>Journal of Peace Research</w:t>
      </w:r>
      <w:r w:rsidRPr="002F795F">
        <w:rPr>
          <w:shd w:val="clear" w:color="auto" w:fill="FFFFFF"/>
          <w:lang w:val="en-US"/>
        </w:rPr>
        <w:t>, 2 (1) pp. 64-91</w:t>
      </w:r>
      <w:r w:rsidR="0073433F">
        <w:rPr>
          <w:shd w:val="clear" w:color="auto" w:fill="FFFFFF"/>
          <w:lang w:val="en-US"/>
        </w:rPr>
        <w:t xml:space="preserve">, </w:t>
      </w:r>
      <w:r w:rsidR="0073433F" w:rsidRPr="002F795F">
        <w:rPr>
          <w:rStyle w:val="nfase"/>
          <w:bCs/>
          <w:shd w:val="clear" w:color="auto" w:fill="FFFFFF"/>
          <w:lang w:val="en-US"/>
        </w:rPr>
        <w:t>1965</w:t>
      </w:r>
    </w:p>
    <w:p w14:paraId="0166094C" w14:textId="36B866A4" w:rsidR="00683A7B" w:rsidRPr="002F795F" w:rsidRDefault="00D23A80" w:rsidP="00D23A80">
      <w:pPr>
        <w:tabs>
          <w:tab w:val="left" w:pos="0"/>
          <w:tab w:val="left" w:pos="540"/>
          <w:tab w:val="left" w:pos="4111"/>
        </w:tabs>
        <w:spacing w:before="240"/>
        <w:ind w:right="-1"/>
        <w:jc w:val="both"/>
        <w:rPr>
          <w:lang w:val="en-US"/>
        </w:rPr>
      </w:pPr>
      <w:r w:rsidRPr="002F795F">
        <w:rPr>
          <w:lang w:val="en-US"/>
        </w:rPr>
        <w:t xml:space="preserve">Guimarães, Juarez. </w:t>
      </w:r>
      <w:r w:rsidRPr="002F795F">
        <w:rPr>
          <w:i/>
          <w:lang w:val="en-US"/>
        </w:rPr>
        <w:t>Interesse Público</w:t>
      </w:r>
      <w:r w:rsidRPr="002F795F">
        <w:rPr>
          <w:lang w:val="en-US"/>
        </w:rPr>
        <w:t xml:space="preserve">. In: Avritzer, Leonardo; Bignotto, Newton; </w:t>
      </w:r>
      <w:r w:rsidR="0073433F" w:rsidRPr="002F795F">
        <w:rPr>
          <w:lang w:val="en-US"/>
        </w:rPr>
        <w:t>2008</w:t>
      </w:r>
    </w:p>
    <w:p w14:paraId="6E317886" w14:textId="3C486ACB" w:rsidR="00D23A80" w:rsidRPr="002F795F" w:rsidRDefault="00D23A80" w:rsidP="00D23A80">
      <w:pPr>
        <w:tabs>
          <w:tab w:val="left" w:pos="0"/>
          <w:tab w:val="left" w:pos="540"/>
          <w:tab w:val="left" w:pos="4111"/>
        </w:tabs>
        <w:spacing w:before="240"/>
        <w:ind w:right="-1"/>
        <w:jc w:val="both"/>
        <w:rPr>
          <w:lang w:val="en-US"/>
        </w:rPr>
      </w:pPr>
      <w:r w:rsidRPr="005D065B">
        <w:rPr>
          <w:lang w:val="en-US"/>
        </w:rPr>
        <w:t xml:space="preserve">Guimarães, Juarez; starling, Heloísa. </w:t>
      </w:r>
      <w:r w:rsidRPr="002F795F">
        <w:t xml:space="preserve">(Org.). Corrupção: ensaios e crítica. </w:t>
      </w:r>
      <w:r w:rsidRPr="002F795F">
        <w:rPr>
          <w:lang w:val="en-US"/>
        </w:rPr>
        <w:t>Belo Horizonte: Editora da UFMG,.</w:t>
      </w:r>
      <w:r w:rsidR="0073433F">
        <w:rPr>
          <w:lang w:val="en-US"/>
        </w:rPr>
        <w:t>2013</w:t>
      </w:r>
    </w:p>
    <w:p w14:paraId="29EE55D3" w14:textId="77777777" w:rsidR="00683A7B" w:rsidRPr="002F795F" w:rsidRDefault="00683A7B" w:rsidP="00683A7B">
      <w:pPr>
        <w:spacing w:line="276" w:lineRule="auto"/>
        <w:jc w:val="both"/>
        <w:rPr>
          <w:lang w:val="en-US"/>
        </w:rPr>
      </w:pPr>
    </w:p>
    <w:p w14:paraId="51BAAC04" w14:textId="77777777" w:rsidR="00683A7B" w:rsidRPr="002F795F" w:rsidRDefault="00683A7B" w:rsidP="00683A7B">
      <w:pPr>
        <w:spacing w:line="276" w:lineRule="auto"/>
        <w:jc w:val="both"/>
        <w:rPr>
          <w:lang w:val="en-US"/>
        </w:rPr>
      </w:pPr>
      <w:r w:rsidRPr="002F795F">
        <w:rPr>
          <w:lang w:val="en-US"/>
        </w:rPr>
        <w:t>JARVIS, C. B.; MACKENZIE, S. B.; PODSAKOFF, P. M. A critical review of construct indicators and measurement model misspecification in Marketing and Consumer Research. Journal of Consumer Research, v.30, n.2, p.199-218, Set. 2003.</w:t>
      </w:r>
    </w:p>
    <w:p w14:paraId="3F218B3F" w14:textId="77777777" w:rsidR="00683A7B" w:rsidRPr="002F795F" w:rsidRDefault="00683A7B" w:rsidP="00683A7B">
      <w:pPr>
        <w:spacing w:line="276" w:lineRule="auto"/>
        <w:jc w:val="both"/>
        <w:rPr>
          <w:lang w:val="en-US"/>
        </w:rPr>
      </w:pPr>
    </w:p>
    <w:p w14:paraId="5C6F912E" w14:textId="69F9A252" w:rsidR="00683A7B" w:rsidRPr="002F795F" w:rsidRDefault="00683A7B" w:rsidP="00683A7B">
      <w:pPr>
        <w:spacing w:line="276" w:lineRule="auto"/>
        <w:jc w:val="both"/>
        <w:rPr>
          <w:lang w:val="en-US"/>
        </w:rPr>
      </w:pPr>
      <w:r w:rsidRPr="002F795F">
        <w:rPr>
          <w:lang w:val="en-US"/>
        </w:rPr>
        <w:lastRenderedPageBreak/>
        <w:t>John B.; Hardee, Betty B.; and Batts, Valerie:.  "Has Racism Declined in America?  It Depends on Who is Asking and What is Asked," The Journal of Conflict Resolution, Vol. 25</w:t>
      </w:r>
      <w:r w:rsidR="0073433F">
        <w:rPr>
          <w:lang w:val="en-US"/>
        </w:rPr>
        <w:t xml:space="preserve">, No. 4 (December): pp. 563-579, </w:t>
      </w:r>
      <w:r w:rsidR="0073433F" w:rsidRPr="002F795F">
        <w:rPr>
          <w:lang w:val="en-US"/>
        </w:rPr>
        <w:t>1981</w:t>
      </w:r>
      <w:r w:rsidR="0073433F">
        <w:rPr>
          <w:lang w:val="en-US"/>
        </w:rPr>
        <w:t>.</w:t>
      </w:r>
    </w:p>
    <w:p w14:paraId="7AE9A8E8" w14:textId="49F6AF58" w:rsidR="00D23A80" w:rsidRPr="007F2C6A" w:rsidRDefault="0073433F" w:rsidP="00D23A80">
      <w:pPr>
        <w:spacing w:before="240"/>
        <w:jc w:val="both"/>
      </w:pPr>
      <w:r>
        <w:rPr>
          <w:lang w:val="en-US"/>
        </w:rPr>
        <w:t>Heidenheimer, Arnold</w:t>
      </w:r>
      <w:r w:rsidR="00D23A80" w:rsidRPr="002F795F">
        <w:rPr>
          <w:lang w:val="en-US"/>
        </w:rPr>
        <w:t xml:space="preserve">. </w:t>
      </w:r>
      <w:r w:rsidR="00D23A80" w:rsidRPr="002F795F">
        <w:rPr>
          <w:i/>
          <w:lang w:val="en-US"/>
        </w:rPr>
        <w:t>Political Corruption. Readings In Comparative Analyses</w:t>
      </w:r>
      <w:r w:rsidR="00D23A80" w:rsidRPr="002F795F">
        <w:rPr>
          <w:lang w:val="en-US"/>
        </w:rPr>
        <w:t xml:space="preserve">. </w:t>
      </w:r>
      <w:r w:rsidR="00D23A80" w:rsidRPr="007F2C6A">
        <w:t>New Y</w:t>
      </w:r>
      <w:r w:rsidRPr="007F2C6A">
        <w:t>ork: Holt, Rinehart and Winston, 1979</w:t>
      </w:r>
    </w:p>
    <w:p w14:paraId="29EA0A0C" w14:textId="737386E7" w:rsidR="00CE721F" w:rsidRPr="007F2C6A" w:rsidRDefault="00CE721F" w:rsidP="00D23A80">
      <w:pPr>
        <w:spacing w:before="240"/>
        <w:jc w:val="both"/>
      </w:pPr>
      <w:r w:rsidRPr="00CE721F">
        <w:t xml:space="preserve">HORA, H. R. M.; MONTEIRO, G. T. R.; ARICA, J. Confiabilidade em Questionários para Qualidade: Um estudo com o Coeficiente Alfa de Cronbach. </w:t>
      </w:r>
      <w:r w:rsidRPr="007F2C6A">
        <w:t>Produto &amp; Produção, v.11, n.2, p.85-103, 2010.</w:t>
      </w:r>
    </w:p>
    <w:p w14:paraId="3E0E616D" w14:textId="77777777" w:rsidR="0073433F" w:rsidRPr="0073433F" w:rsidRDefault="00D23A80" w:rsidP="0073433F">
      <w:pPr>
        <w:spacing w:before="240"/>
        <w:jc w:val="both"/>
      </w:pPr>
      <w:r w:rsidRPr="007F2C6A">
        <w:t xml:space="preserve">Huntington, Samuel P.. </w:t>
      </w:r>
      <w:r w:rsidRPr="007F2C6A">
        <w:rPr>
          <w:i/>
        </w:rPr>
        <w:t>Modernização e corrupção</w:t>
      </w:r>
      <w:r w:rsidRPr="007F2C6A">
        <w:t xml:space="preserve">. </w:t>
      </w:r>
      <w:r w:rsidRPr="002F795F">
        <w:t>In: A ordem política nas sociedades em mudança. São Paulo: EDUSP; Rio de Janeiro: Forense-Universitária</w:t>
      </w:r>
      <w:r w:rsidR="0073433F">
        <w:t>,</w:t>
      </w:r>
      <w:r w:rsidR="0073433F" w:rsidRPr="0073433F">
        <w:t xml:space="preserve"> 1975.</w:t>
      </w:r>
    </w:p>
    <w:p w14:paraId="6DFFF7EE" w14:textId="48BC6205" w:rsidR="00D23A80" w:rsidRPr="0073433F" w:rsidRDefault="00D23A80" w:rsidP="0073433F">
      <w:pPr>
        <w:spacing w:before="240"/>
        <w:jc w:val="both"/>
        <w:rPr>
          <w:lang w:val="en-US"/>
        </w:rPr>
      </w:pPr>
      <w:r w:rsidRPr="005D065B">
        <w:rPr>
          <w:spacing w:val="-6"/>
        </w:rPr>
        <w:t xml:space="preserve">Jain, A. K. Corruption: A Review. </w:t>
      </w:r>
      <w:r w:rsidRPr="002F795F">
        <w:rPr>
          <w:i/>
          <w:spacing w:val="-6"/>
          <w:lang w:val="en-US"/>
        </w:rPr>
        <w:t>Journal of Economic Surveys</w:t>
      </w:r>
      <w:r w:rsidRPr="002F795F">
        <w:rPr>
          <w:spacing w:val="-6"/>
          <w:lang w:val="en-US"/>
        </w:rPr>
        <w:t>,2001</w:t>
      </w:r>
    </w:p>
    <w:p w14:paraId="0FD744FF" w14:textId="77777777" w:rsidR="00D23A80" w:rsidRPr="002F795F" w:rsidRDefault="00D23A80" w:rsidP="00D23A80">
      <w:pPr>
        <w:pStyle w:val="Corpodetexto2"/>
        <w:tabs>
          <w:tab w:val="left" w:pos="540"/>
        </w:tabs>
        <w:spacing w:before="240" w:after="0" w:line="240" w:lineRule="auto"/>
        <w:jc w:val="both"/>
        <w:rPr>
          <w:rFonts w:ascii="Times New Roman" w:hAnsi="Times New Roman" w:cs="Times New Roman"/>
          <w:spacing w:val="-6"/>
          <w:sz w:val="24"/>
          <w:szCs w:val="24"/>
          <w:lang w:val="en-US"/>
        </w:rPr>
      </w:pPr>
      <w:r w:rsidRPr="002F795F">
        <w:rPr>
          <w:rFonts w:ascii="Times New Roman" w:hAnsi="Times New Roman" w:cs="Times New Roman"/>
          <w:spacing w:val="-6"/>
          <w:sz w:val="24"/>
          <w:szCs w:val="24"/>
          <w:lang w:val="en-US"/>
        </w:rPr>
        <w:t>Kauffman, D</w:t>
      </w:r>
      <w:r w:rsidRPr="002F795F">
        <w:rPr>
          <w:rFonts w:ascii="Times New Roman" w:hAnsi="Times New Roman" w:cs="Times New Roman"/>
          <w:i/>
          <w:spacing w:val="-6"/>
          <w:sz w:val="24"/>
          <w:szCs w:val="24"/>
          <w:lang w:val="en-US"/>
        </w:rPr>
        <w:t xml:space="preserve">. </w:t>
      </w:r>
      <w:r w:rsidRPr="002F795F">
        <w:rPr>
          <w:rFonts w:ascii="Times New Roman" w:hAnsi="Times New Roman" w:cs="Times New Roman"/>
          <w:spacing w:val="-6"/>
          <w:sz w:val="24"/>
          <w:szCs w:val="24"/>
          <w:lang w:val="en-US"/>
        </w:rPr>
        <w:t>Corruption</w:t>
      </w:r>
      <w:r w:rsidRPr="002F795F">
        <w:rPr>
          <w:rFonts w:ascii="Times New Roman" w:hAnsi="Times New Roman" w:cs="Times New Roman"/>
          <w:i/>
          <w:spacing w:val="-6"/>
          <w:sz w:val="24"/>
          <w:szCs w:val="24"/>
          <w:lang w:val="en-US"/>
        </w:rPr>
        <w:t xml:space="preserve">: </w:t>
      </w:r>
      <w:r w:rsidRPr="002F795F">
        <w:rPr>
          <w:rFonts w:ascii="Times New Roman" w:hAnsi="Times New Roman" w:cs="Times New Roman"/>
          <w:spacing w:val="-6"/>
          <w:sz w:val="24"/>
          <w:szCs w:val="24"/>
          <w:lang w:val="en-US"/>
        </w:rPr>
        <w:t>the Facts Foreing Policy, 1997.</w:t>
      </w:r>
    </w:p>
    <w:p w14:paraId="507EB4E4" w14:textId="2F9BA0AB" w:rsidR="00D23A80" w:rsidRPr="005D065B" w:rsidRDefault="00D23A80" w:rsidP="00D23A80">
      <w:pPr>
        <w:pStyle w:val="Corpodetexto2"/>
        <w:tabs>
          <w:tab w:val="left" w:pos="540"/>
        </w:tabs>
        <w:spacing w:before="240" w:after="0" w:line="240" w:lineRule="auto"/>
        <w:jc w:val="both"/>
        <w:rPr>
          <w:rFonts w:ascii="Times New Roman" w:hAnsi="Times New Roman" w:cs="Times New Roman"/>
          <w:spacing w:val="-6"/>
          <w:sz w:val="24"/>
          <w:szCs w:val="24"/>
        </w:rPr>
      </w:pPr>
      <w:r w:rsidRPr="002F795F">
        <w:rPr>
          <w:rFonts w:ascii="Times New Roman" w:hAnsi="Times New Roman" w:cs="Times New Roman"/>
          <w:sz w:val="24"/>
          <w:szCs w:val="24"/>
          <w:lang w:val="en-US"/>
        </w:rPr>
        <w:t xml:space="preserve">King, Gary; Robert, Keohane and Sidney Verba. </w:t>
      </w:r>
      <w:r w:rsidRPr="002F795F">
        <w:rPr>
          <w:rFonts w:ascii="Times New Roman" w:hAnsi="Times New Roman" w:cs="Times New Roman"/>
          <w:i/>
          <w:sz w:val="24"/>
          <w:szCs w:val="24"/>
          <w:lang w:val="en-US"/>
        </w:rPr>
        <w:t>Desinnig Social Inquiry</w:t>
      </w:r>
      <w:r w:rsidR="0073433F">
        <w:rPr>
          <w:rFonts w:ascii="Times New Roman" w:hAnsi="Times New Roman" w:cs="Times New Roman"/>
          <w:sz w:val="24"/>
          <w:szCs w:val="24"/>
          <w:lang w:val="en-US"/>
        </w:rPr>
        <w:t xml:space="preserve">. Princeton University Press, </w:t>
      </w:r>
      <w:r w:rsidR="0073433F" w:rsidRPr="002F795F">
        <w:rPr>
          <w:rFonts w:ascii="Times New Roman" w:hAnsi="Times New Roman" w:cs="Times New Roman"/>
          <w:sz w:val="24"/>
          <w:szCs w:val="24"/>
          <w:lang w:val="en-US"/>
        </w:rPr>
        <w:t xml:space="preserve">. </w:t>
      </w:r>
      <w:r w:rsidR="0073433F" w:rsidRPr="005D065B">
        <w:rPr>
          <w:rFonts w:ascii="Times New Roman" w:hAnsi="Times New Roman" w:cs="Times New Roman"/>
          <w:sz w:val="24"/>
          <w:szCs w:val="24"/>
        </w:rPr>
        <w:t>1994</w:t>
      </w:r>
    </w:p>
    <w:p w14:paraId="27EE68E5" w14:textId="697CF237" w:rsidR="00D23A80" w:rsidRPr="002F795F" w:rsidRDefault="00D23A80" w:rsidP="00D23A80">
      <w:pPr>
        <w:tabs>
          <w:tab w:val="left" w:pos="0"/>
          <w:tab w:val="left" w:pos="540"/>
          <w:tab w:val="left" w:pos="4111"/>
        </w:tabs>
        <w:spacing w:before="240"/>
        <w:ind w:right="-1"/>
        <w:jc w:val="both"/>
        <w:rPr>
          <w:spacing w:val="-6"/>
          <w:lang w:val="en-US"/>
        </w:rPr>
      </w:pPr>
      <w:r w:rsidRPr="002F795F">
        <w:rPr>
          <w:spacing w:val="-6"/>
        </w:rPr>
        <w:t xml:space="preserve">La Porta, R., Lopez de Silanes, Shleifer, a. &amp; Vishny, R. W.. </w:t>
      </w:r>
      <w:r w:rsidRPr="002F795F">
        <w:rPr>
          <w:spacing w:val="-6"/>
          <w:lang w:val="en-US"/>
        </w:rPr>
        <w:t xml:space="preserve">The Quality of Government. </w:t>
      </w:r>
      <w:r w:rsidRPr="002F795F">
        <w:rPr>
          <w:i/>
          <w:spacing w:val="-6"/>
          <w:lang w:val="en-US"/>
        </w:rPr>
        <w:t>Journal of Law, Economics, and Organization</w:t>
      </w:r>
      <w:r w:rsidRPr="002F795F">
        <w:rPr>
          <w:spacing w:val="-6"/>
          <w:lang w:val="en-US"/>
        </w:rPr>
        <w:t>. Oxford, v. 15, n. 1, p. 222-279</w:t>
      </w:r>
      <w:r w:rsidR="0073433F">
        <w:rPr>
          <w:spacing w:val="-6"/>
          <w:lang w:val="en-US"/>
        </w:rPr>
        <w:t xml:space="preserve">, </w:t>
      </w:r>
      <w:r w:rsidR="0073433F" w:rsidRPr="005D065B">
        <w:rPr>
          <w:spacing w:val="-6"/>
          <w:lang w:val="en-US"/>
        </w:rPr>
        <w:t>1999</w:t>
      </w:r>
    </w:p>
    <w:p w14:paraId="003AD969" w14:textId="62EE11B6" w:rsidR="00D23A80" w:rsidRPr="002F795F" w:rsidRDefault="00D23A80" w:rsidP="00D23A80">
      <w:pPr>
        <w:tabs>
          <w:tab w:val="left" w:pos="0"/>
          <w:tab w:val="left" w:pos="540"/>
          <w:tab w:val="left" w:pos="4111"/>
        </w:tabs>
        <w:spacing w:before="240"/>
        <w:ind w:right="-1"/>
        <w:jc w:val="both"/>
        <w:rPr>
          <w:spacing w:val="-6"/>
          <w:lang w:val="en-US"/>
        </w:rPr>
      </w:pPr>
      <w:r w:rsidRPr="002F795F">
        <w:rPr>
          <w:spacing w:val="-6"/>
          <w:lang w:val="en-US"/>
        </w:rPr>
        <w:t>Lambsdorff, Johann Graf.. Causes and Consequences of Corruption: What Do We Know from a Cross-Section of Countries? In: International Handbook on The Economics of Corruption.Ed. Susan Rose-Ac</w:t>
      </w:r>
      <w:r w:rsidR="0073433F">
        <w:rPr>
          <w:spacing w:val="-6"/>
          <w:lang w:val="en-US"/>
        </w:rPr>
        <w:t xml:space="preserve">kerman. Edward Elgar Publishing, </w:t>
      </w:r>
      <w:r w:rsidR="0073433F" w:rsidRPr="002F795F">
        <w:rPr>
          <w:spacing w:val="-6"/>
          <w:lang w:val="en-US"/>
        </w:rPr>
        <w:t>2006</w:t>
      </w:r>
    </w:p>
    <w:p w14:paraId="622B7FC4" w14:textId="77777777" w:rsidR="00683A7B" w:rsidRPr="002F795F" w:rsidRDefault="00683A7B" w:rsidP="00683A7B">
      <w:pPr>
        <w:rPr>
          <w:lang w:val="en-US"/>
        </w:rPr>
      </w:pPr>
    </w:p>
    <w:p w14:paraId="10EDC0E4" w14:textId="57984E47" w:rsidR="00683A7B" w:rsidRPr="0073433F" w:rsidRDefault="00683A7B" w:rsidP="00683A7B">
      <w:pPr>
        <w:rPr>
          <w:lang w:val="en-US"/>
        </w:rPr>
      </w:pPr>
      <w:r w:rsidRPr="005D065B">
        <w:rPr>
          <w:lang w:val="en-US"/>
        </w:rPr>
        <w:t xml:space="preserve">Lee, W. e Guven, C.. </w:t>
      </w:r>
      <w:r w:rsidRPr="002F795F">
        <w:rPr>
          <w:lang w:val="en-US"/>
        </w:rPr>
        <w:t>Engaging in Corruption:The Influence of Cultural Values and Contagion Effects at the Micro Level - Discussion</w:t>
      </w:r>
      <w:r w:rsidR="0073433F">
        <w:rPr>
          <w:lang w:val="en-US"/>
        </w:rPr>
        <w:t xml:space="preserve"> Paper Series No.7685 – October, </w:t>
      </w:r>
      <w:r w:rsidR="0073433F" w:rsidRPr="0073433F">
        <w:rPr>
          <w:lang w:val="en-US"/>
        </w:rPr>
        <w:t>2013</w:t>
      </w:r>
      <w:r w:rsidR="0073433F">
        <w:rPr>
          <w:lang w:val="en-US"/>
        </w:rPr>
        <w:t>.</w:t>
      </w:r>
    </w:p>
    <w:p w14:paraId="0C0DA786" w14:textId="77777777" w:rsidR="00683A7B" w:rsidRPr="002F795F" w:rsidRDefault="00683A7B" w:rsidP="00683A7B">
      <w:pPr>
        <w:rPr>
          <w:lang w:val="en-US"/>
        </w:rPr>
      </w:pPr>
    </w:p>
    <w:p w14:paraId="6CB337CE" w14:textId="6A89A4DF" w:rsidR="00D23A80" w:rsidRPr="002F795F" w:rsidRDefault="00D23A80" w:rsidP="00D23A80">
      <w:pPr>
        <w:tabs>
          <w:tab w:val="left" w:pos="0"/>
          <w:tab w:val="left" w:pos="540"/>
          <w:tab w:val="left" w:pos="4111"/>
        </w:tabs>
        <w:spacing w:before="240"/>
        <w:ind w:right="-1"/>
        <w:jc w:val="both"/>
        <w:rPr>
          <w:spacing w:val="-6"/>
        </w:rPr>
      </w:pPr>
      <w:r w:rsidRPr="002F795F">
        <w:rPr>
          <w:spacing w:val="-6"/>
        </w:rPr>
        <w:t xml:space="preserve">Mauro, Paolo. Os efeitos da corrupção sobre crescimento, investimentos e gastos do governo: uma análise de países representativos. In: Elliot, Kinberly Ann (Org.). </w:t>
      </w:r>
      <w:r w:rsidRPr="002F795F">
        <w:rPr>
          <w:i/>
          <w:spacing w:val="-6"/>
        </w:rPr>
        <w:t>A corrupção e a economia global</w:t>
      </w:r>
      <w:r w:rsidR="0073433F">
        <w:rPr>
          <w:spacing w:val="-6"/>
        </w:rPr>
        <w:t xml:space="preserve">. Brasília: Ed. da UnB, </w:t>
      </w:r>
      <w:r w:rsidR="0073433F" w:rsidRPr="002F795F">
        <w:rPr>
          <w:spacing w:val="-6"/>
        </w:rPr>
        <w:t>2002</w:t>
      </w:r>
    </w:p>
    <w:p w14:paraId="3270CF8D" w14:textId="40D2E348" w:rsidR="00D23A80" w:rsidRPr="002F795F" w:rsidRDefault="00D23A80" w:rsidP="00D23A80">
      <w:pPr>
        <w:tabs>
          <w:tab w:val="left" w:pos="0"/>
          <w:tab w:val="left" w:pos="540"/>
          <w:tab w:val="left" w:pos="4111"/>
        </w:tabs>
        <w:spacing w:before="240"/>
        <w:ind w:right="-1"/>
        <w:jc w:val="both"/>
        <w:rPr>
          <w:spacing w:val="-6"/>
          <w:lang w:val="en-US"/>
        </w:rPr>
      </w:pPr>
      <w:r w:rsidRPr="002F795F">
        <w:rPr>
          <w:spacing w:val="-6"/>
          <w:lang w:val="en-US"/>
        </w:rPr>
        <w:t xml:space="preserve">McCOMBS, Maxwell; SHAW, Donald..  “The Agenda Setting Function of Mass  Media.” </w:t>
      </w:r>
      <w:r w:rsidRPr="002F795F">
        <w:rPr>
          <w:i/>
          <w:spacing w:val="-6"/>
          <w:lang w:val="en-US"/>
        </w:rPr>
        <w:t>In Public Opinion Quarterly.</w:t>
      </w:r>
      <w:r w:rsidRPr="002F795F">
        <w:rPr>
          <w:spacing w:val="-6"/>
          <w:lang w:val="en-US"/>
        </w:rPr>
        <w:t xml:space="preserve"> – Vol 36(2)</w:t>
      </w:r>
      <w:r w:rsidR="0073433F">
        <w:rPr>
          <w:spacing w:val="-6"/>
          <w:lang w:val="en-US"/>
        </w:rPr>
        <w:t xml:space="preserve">”, University of Chicago Press, </w:t>
      </w:r>
      <w:r w:rsidR="0073433F" w:rsidRPr="002F795F">
        <w:rPr>
          <w:spacing w:val="-6"/>
          <w:lang w:val="en-US"/>
        </w:rPr>
        <w:t>1972</w:t>
      </w:r>
    </w:p>
    <w:p w14:paraId="273719D8" w14:textId="38F36C84" w:rsidR="00A01858" w:rsidRPr="002F795F" w:rsidRDefault="00A01858" w:rsidP="00D23A80">
      <w:pPr>
        <w:tabs>
          <w:tab w:val="left" w:pos="0"/>
          <w:tab w:val="left" w:pos="540"/>
          <w:tab w:val="left" w:pos="4111"/>
        </w:tabs>
        <w:spacing w:before="240"/>
        <w:ind w:right="-1"/>
        <w:jc w:val="both"/>
        <w:rPr>
          <w:spacing w:val="-6"/>
          <w:lang w:val="en-US"/>
        </w:rPr>
      </w:pPr>
      <w:r w:rsidRPr="002F795F">
        <w:rPr>
          <w:spacing w:val="-6"/>
          <w:lang w:val="en-US"/>
        </w:rPr>
        <w:t>Moreno, Alejandro. “Corruption and Democracy: A Cultural Assesment”, Comparative Sociology, vol. I, num</w:t>
      </w:r>
      <w:r w:rsidR="0073433F">
        <w:rPr>
          <w:spacing w:val="-6"/>
          <w:lang w:val="en-US"/>
        </w:rPr>
        <w:t xml:space="preserve">. 3-4, pp. 495-507, </w:t>
      </w:r>
      <w:r w:rsidR="0073433F" w:rsidRPr="002F795F">
        <w:rPr>
          <w:spacing w:val="-6"/>
          <w:lang w:val="en-US"/>
        </w:rPr>
        <w:t>2002</w:t>
      </w:r>
    </w:p>
    <w:p w14:paraId="2CD723DF" w14:textId="33E456B9" w:rsidR="00D23A80" w:rsidRPr="002F795F" w:rsidRDefault="00D23A80" w:rsidP="00D23A80">
      <w:pPr>
        <w:tabs>
          <w:tab w:val="left" w:pos="0"/>
          <w:tab w:val="left" w:pos="540"/>
          <w:tab w:val="left" w:pos="4111"/>
        </w:tabs>
        <w:spacing w:before="240"/>
        <w:ind w:right="-1"/>
        <w:jc w:val="both"/>
        <w:rPr>
          <w:spacing w:val="-6"/>
          <w:lang w:val="en-US"/>
        </w:rPr>
      </w:pPr>
      <w:r w:rsidRPr="002F795F">
        <w:rPr>
          <w:spacing w:val="-6"/>
          <w:lang w:val="en-US"/>
        </w:rPr>
        <w:t xml:space="preserve">Myrdal, Gunnar.. </w:t>
      </w:r>
      <w:r w:rsidRPr="002F795F">
        <w:rPr>
          <w:i/>
          <w:spacing w:val="-6"/>
          <w:lang w:val="en-US"/>
        </w:rPr>
        <w:t>Objectivity in Social Research</w:t>
      </w:r>
      <w:r w:rsidR="0073433F">
        <w:rPr>
          <w:spacing w:val="-6"/>
          <w:lang w:val="en-US"/>
        </w:rPr>
        <w:t>. New York: Pantheon Books,</w:t>
      </w:r>
      <w:r w:rsidR="0073433F" w:rsidRPr="0073433F">
        <w:rPr>
          <w:spacing w:val="-6"/>
          <w:lang w:val="en-US"/>
        </w:rPr>
        <w:t xml:space="preserve"> </w:t>
      </w:r>
      <w:r w:rsidR="0073433F" w:rsidRPr="002F795F">
        <w:rPr>
          <w:spacing w:val="-6"/>
          <w:lang w:val="en-US"/>
        </w:rPr>
        <w:t>1969</w:t>
      </w:r>
    </w:p>
    <w:p w14:paraId="5487FF12" w14:textId="0DB8A49F" w:rsidR="00D23A80" w:rsidRPr="002F795F" w:rsidRDefault="00D23A80" w:rsidP="00D23A80">
      <w:pPr>
        <w:autoSpaceDE w:val="0"/>
        <w:autoSpaceDN w:val="0"/>
        <w:adjustRightInd w:val="0"/>
        <w:spacing w:before="240"/>
        <w:jc w:val="both"/>
        <w:rPr>
          <w:lang w:val="en-US"/>
        </w:rPr>
      </w:pPr>
      <w:r w:rsidRPr="002F795F">
        <w:rPr>
          <w:lang w:val="en-US"/>
        </w:rPr>
        <w:t xml:space="preserve">Nisbett, R. E., and T. D. Wilson. “Telling More Than We Can Know: Verbal Reports on Mental Processes,” </w:t>
      </w:r>
      <w:r w:rsidRPr="002F795F">
        <w:rPr>
          <w:i/>
          <w:iCs/>
          <w:lang w:val="en-US"/>
        </w:rPr>
        <w:t xml:space="preserve">Psychological Review </w:t>
      </w:r>
      <w:r w:rsidR="0073433F">
        <w:rPr>
          <w:lang w:val="en-US"/>
        </w:rPr>
        <w:t xml:space="preserve">84(3), 231-259, </w:t>
      </w:r>
      <w:r w:rsidR="0073433F" w:rsidRPr="002F795F">
        <w:rPr>
          <w:lang w:val="en-US"/>
        </w:rPr>
        <w:t>1977</w:t>
      </w:r>
    </w:p>
    <w:p w14:paraId="08B8D7F0" w14:textId="04A8EE85" w:rsidR="00A01858" w:rsidRPr="002F795F" w:rsidRDefault="00A01858" w:rsidP="00D23A80">
      <w:pPr>
        <w:autoSpaceDE w:val="0"/>
        <w:autoSpaceDN w:val="0"/>
        <w:adjustRightInd w:val="0"/>
        <w:spacing w:before="240"/>
        <w:jc w:val="both"/>
        <w:rPr>
          <w:lang w:val="en-US"/>
        </w:rPr>
      </w:pPr>
      <w:r w:rsidRPr="002F795F">
        <w:rPr>
          <w:lang w:val="en-US"/>
        </w:rPr>
        <w:t>Noelle</w:t>
      </w:r>
      <w:r w:rsidRPr="002F795F">
        <w:rPr>
          <w:rFonts w:ascii="Cambria Math" w:hAnsi="Cambria Math" w:cs="Cambria Math"/>
          <w:lang w:val="en-US"/>
        </w:rPr>
        <w:t>‐</w:t>
      </w:r>
      <w:r w:rsidRPr="002F795F">
        <w:rPr>
          <w:lang w:val="en-US"/>
        </w:rPr>
        <w:t>Neumann, E.  The Spiral of Silence: Public Opinion, Our ition, Chicago: University of Chicago Press.  N Social Skin, 2nd ed</w:t>
      </w:r>
      <w:r w:rsidR="0073433F">
        <w:rPr>
          <w:lang w:val="en-US"/>
        </w:rPr>
        <w:t xml:space="preserve">, </w:t>
      </w:r>
      <w:r w:rsidR="0073433F" w:rsidRPr="002F795F">
        <w:rPr>
          <w:lang w:val="en-US"/>
        </w:rPr>
        <w:t>1993</w:t>
      </w:r>
    </w:p>
    <w:p w14:paraId="233AE97D" w14:textId="33C93151" w:rsidR="00683A7B" w:rsidRPr="002F795F" w:rsidRDefault="00683A7B" w:rsidP="00D23A80">
      <w:pPr>
        <w:autoSpaceDE w:val="0"/>
        <w:autoSpaceDN w:val="0"/>
        <w:adjustRightInd w:val="0"/>
        <w:spacing w:before="240"/>
        <w:jc w:val="both"/>
        <w:rPr>
          <w:lang w:val="en-US"/>
        </w:rPr>
      </w:pPr>
      <w:r w:rsidRPr="002F795F">
        <w:rPr>
          <w:lang w:val="en-US"/>
        </w:rPr>
        <w:t>Nu</w:t>
      </w:r>
      <w:r w:rsidR="0073433F">
        <w:rPr>
          <w:lang w:val="en-US"/>
        </w:rPr>
        <w:t xml:space="preserve">nnally, J. C., &amp; Bernstein, I. </w:t>
      </w:r>
      <w:r w:rsidRPr="002F795F">
        <w:rPr>
          <w:lang w:val="en-US"/>
        </w:rPr>
        <w:t>. Psychometric the</w:t>
      </w:r>
      <w:r w:rsidR="0073433F">
        <w:rPr>
          <w:lang w:val="en-US"/>
        </w:rPr>
        <w:t xml:space="preserve">ory. New York: McGraw-Hill, </w:t>
      </w:r>
      <w:r w:rsidR="0073433F" w:rsidRPr="002F795F">
        <w:rPr>
          <w:lang w:val="en-US"/>
        </w:rPr>
        <w:t>1994</w:t>
      </w:r>
    </w:p>
    <w:p w14:paraId="0051464F" w14:textId="34EFEECA" w:rsidR="00D23A80" w:rsidRPr="002F795F" w:rsidRDefault="00D23A80" w:rsidP="00D23A80">
      <w:pPr>
        <w:autoSpaceDE w:val="0"/>
        <w:autoSpaceDN w:val="0"/>
        <w:adjustRightInd w:val="0"/>
        <w:spacing w:before="240"/>
        <w:jc w:val="both"/>
        <w:rPr>
          <w:spacing w:val="-6"/>
          <w:lang w:val="en-US"/>
        </w:rPr>
      </w:pPr>
      <w:r w:rsidRPr="002F795F">
        <w:rPr>
          <w:lang w:val="en-US"/>
        </w:rPr>
        <w:lastRenderedPageBreak/>
        <w:t xml:space="preserve">Olken, B.A..  “Corruption Perceptions vs. Corruption Reality,” </w:t>
      </w:r>
      <w:r w:rsidRPr="002F795F">
        <w:rPr>
          <w:i/>
          <w:iCs/>
          <w:lang w:val="en-US"/>
        </w:rPr>
        <w:t xml:space="preserve">Journal of Public Economics </w:t>
      </w:r>
      <w:r w:rsidR="0073433F">
        <w:rPr>
          <w:lang w:val="en-US"/>
        </w:rPr>
        <w:t xml:space="preserve">93(7-8), 950-964, </w:t>
      </w:r>
      <w:r w:rsidR="0073433F" w:rsidRPr="002F795F">
        <w:rPr>
          <w:lang w:val="en-US"/>
        </w:rPr>
        <w:t>2009</w:t>
      </w:r>
      <w:r w:rsidR="0073433F">
        <w:rPr>
          <w:lang w:val="en-US"/>
        </w:rPr>
        <w:t>.</w:t>
      </w:r>
    </w:p>
    <w:p w14:paraId="5456202A" w14:textId="77777777" w:rsidR="00683A7B" w:rsidRPr="002F795F" w:rsidRDefault="00683A7B" w:rsidP="00683A7B">
      <w:pPr>
        <w:spacing w:line="276" w:lineRule="auto"/>
        <w:jc w:val="both"/>
        <w:rPr>
          <w:lang w:val="en-US"/>
        </w:rPr>
      </w:pPr>
    </w:p>
    <w:p w14:paraId="00ABA7EF" w14:textId="5B589C14" w:rsidR="00683A7B" w:rsidRPr="002F795F" w:rsidRDefault="00683A7B" w:rsidP="00683A7B">
      <w:pPr>
        <w:spacing w:line="276" w:lineRule="auto"/>
        <w:jc w:val="both"/>
        <w:rPr>
          <w:lang w:val="en-US"/>
        </w:rPr>
      </w:pPr>
      <w:r w:rsidRPr="002F795F">
        <w:rPr>
          <w:lang w:val="en-US"/>
        </w:rPr>
        <w:t>O'Neill, Harry W.:.  "Response Style Influence in Public Opinion Surveys," Public Opinion Quarerly Vol. 31, No. 1 (Spring): 95-102.</w:t>
      </w:r>
    </w:p>
    <w:p w14:paraId="49030656" w14:textId="52FD899A" w:rsidR="00D23A80" w:rsidRDefault="00D23A80" w:rsidP="00D23A80">
      <w:pPr>
        <w:tabs>
          <w:tab w:val="left" w:pos="0"/>
          <w:tab w:val="left" w:pos="540"/>
          <w:tab w:val="left" w:pos="4111"/>
        </w:tabs>
        <w:spacing w:before="240"/>
        <w:ind w:right="-1"/>
        <w:jc w:val="both"/>
        <w:rPr>
          <w:lang w:val="en-US"/>
        </w:rPr>
      </w:pPr>
      <w:r w:rsidRPr="002F795F">
        <w:rPr>
          <w:spacing w:val="-6"/>
          <w:lang w:val="en-US"/>
        </w:rPr>
        <w:t xml:space="preserve">Peters, J. G. &amp; Welch, S. Political corruption in America: a search for definitions and a theory. </w:t>
      </w:r>
      <w:r w:rsidRPr="002F795F">
        <w:rPr>
          <w:i/>
          <w:spacing w:val="-6"/>
          <w:lang w:val="en-US"/>
        </w:rPr>
        <w:t>The American Political Science Review</w:t>
      </w:r>
      <w:r w:rsidR="0073433F">
        <w:rPr>
          <w:spacing w:val="-6"/>
          <w:lang w:val="en-US"/>
        </w:rPr>
        <w:t>, 72:974-84,</w:t>
      </w:r>
      <w:r w:rsidR="0073433F" w:rsidRPr="0073433F">
        <w:rPr>
          <w:lang w:val="en-US"/>
        </w:rPr>
        <w:t xml:space="preserve"> </w:t>
      </w:r>
      <w:r w:rsidR="0073433F" w:rsidRPr="002F795F">
        <w:rPr>
          <w:lang w:val="en-US"/>
        </w:rPr>
        <w:t>1967</w:t>
      </w:r>
      <w:r w:rsidR="0073433F">
        <w:rPr>
          <w:lang w:val="en-US"/>
        </w:rPr>
        <w:t>.</w:t>
      </w:r>
    </w:p>
    <w:p w14:paraId="640A0D52" w14:textId="45C059F0" w:rsidR="00CE721F" w:rsidRPr="002F795F" w:rsidRDefault="00CE721F" w:rsidP="00D23A80">
      <w:pPr>
        <w:tabs>
          <w:tab w:val="left" w:pos="0"/>
          <w:tab w:val="left" w:pos="540"/>
          <w:tab w:val="left" w:pos="4111"/>
        </w:tabs>
        <w:spacing w:before="240"/>
        <w:ind w:right="-1"/>
        <w:jc w:val="both"/>
        <w:rPr>
          <w:spacing w:val="-6"/>
          <w:lang w:val="en-US"/>
        </w:rPr>
      </w:pPr>
      <w:r w:rsidRPr="00CE721F">
        <w:rPr>
          <w:spacing w:val="-6"/>
          <w:lang w:val="en-US"/>
        </w:rPr>
        <w:t>PETERSON, R. A. A meta-analysis of Cronbach's coefficient alfa, Journal of Consumer Research; ABI/INFORM Global, Set 1994</w:t>
      </w:r>
    </w:p>
    <w:p w14:paraId="2F5EB6E5" w14:textId="77777777" w:rsidR="00683A7B" w:rsidRPr="002F795F" w:rsidRDefault="00683A7B" w:rsidP="00683A7B">
      <w:pPr>
        <w:spacing w:line="276" w:lineRule="auto"/>
        <w:jc w:val="both"/>
        <w:rPr>
          <w:lang w:val="en-US"/>
        </w:rPr>
      </w:pPr>
    </w:p>
    <w:p w14:paraId="19039A5B" w14:textId="26B878C5" w:rsidR="00683A7B" w:rsidRPr="002F795F" w:rsidRDefault="00683A7B" w:rsidP="00683A7B">
      <w:pPr>
        <w:spacing w:line="276" w:lineRule="auto"/>
        <w:jc w:val="both"/>
        <w:rPr>
          <w:lang w:val="en-US"/>
        </w:rPr>
      </w:pPr>
      <w:r w:rsidRPr="002F795F">
        <w:rPr>
          <w:lang w:val="en-US"/>
        </w:rPr>
        <w:t>Phillips, Derek L. and Clancy, Kevin J.:  "Some Effects of 'Social Desirability' in Survey Studies," American Journal of Sociology</w:t>
      </w:r>
      <w:r w:rsidR="0073433F">
        <w:rPr>
          <w:lang w:val="en-US"/>
        </w:rPr>
        <w:t xml:space="preserve"> Vol. 77, No. 5 (March): 921-40, </w:t>
      </w:r>
      <w:r w:rsidR="0073433F" w:rsidRPr="002F795F">
        <w:rPr>
          <w:lang w:val="en-US"/>
        </w:rPr>
        <w:t>1972</w:t>
      </w:r>
      <w:r w:rsidR="0073433F">
        <w:rPr>
          <w:lang w:val="en-US"/>
        </w:rPr>
        <w:t>.</w:t>
      </w:r>
    </w:p>
    <w:p w14:paraId="62169FF6" w14:textId="67CA7C44" w:rsidR="00683A7B" w:rsidRPr="002F795F" w:rsidRDefault="00683A7B" w:rsidP="00683A7B">
      <w:pPr>
        <w:tabs>
          <w:tab w:val="left" w:pos="0"/>
          <w:tab w:val="left" w:pos="540"/>
          <w:tab w:val="left" w:pos="4111"/>
        </w:tabs>
        <w:spacing w:before="240"/>
        <w:ind w:right="-1"/>
        <w:jc w:val="both"/>
        <w:rPr>
          <w:spacing w:val="-6"/>
          <w:lang w:val="en-US"/>
        </w:rPr>
      </w:pPr>
      <w:r w:rsidRPr="002F795F">
        <w:rPr>
          <w:lang w:val="en-US"/>
        </w:rPr>
        <w:t>Presser, Stanley and Stinson, Linda:.  "Data Collection Mode and Social Desirability Bias in Self-Reported Religious Attendance," American Sociological Review Vol. 63, No. 1 (February), pp. 137-145</w:t>
      </w:r>
      <w:r w:rsidR="0073433F">
        <w:rPr>
          <w:lang w:val="en-US"/>
        </w:rPr>
        <w:t xml:space="preserve">, </w:t>
      </w:r>
      <w:r w:rsidR="0073433F" w:rsidRPr="002F795F">
        <w:rPr>
          <w:lang w:val="en-US"/>
        </w:rPr>
        <w:t>1998</w:t>
      </w:r>
      <w:r w:rsidR="0073433F">
        <w:rPr>
          <w:lang w:val="en-US"/>
        </w:rPr>
        <w:t>.</w:t>
      </w:r>
    </w:p>
    <w:p w14:paraId="1416EF95" w14:textId="586C4B68" w:rsidR="00D23A80" w:rsidRPr="002F795F" w:rsidRDefault="00D23A80" w:rsidP="00D23A80">
      <w:pPr>
        <w:tabs>
          <w:tab w:val="left" w:pos="0"/>
          <w:tab w:val="left" w:pos="540"/>
        </w:tabs>
        <w:spacing w:before="240"/>
        <w:jc w:val="both"/>
        <w:rPr>
          <w:lang w:val="en-US"/>
        </w:rPr>
      </w:pPr>
      <w:r w:rsidRPr="002F795F">
        <w:rPr>
          <w:lang w:val="en-US"/>
        </w:rPr>
        <w:t>Treisman, Daniel.</w:t>
      </w:r>
      <w:r w:rsidRPr="002F795F">
        <w:rPr>
          <w:spacing w:val="-6"/>
          <w:lang w:val="en-US"/>
        </w:rPr>
        <w:t>.</w:t>
      </w:r>
      <w:r w:rsidRPr="002F795F">
        <w:rPr>
          <w:lang w:val="en-US"/>
        </w:rPr>
        <w:t xml:space="preserve"> What Have We Learned About the Causes of Corruption from Ten Years of Cross-National Empirical Research. </w:t>
      </w:r>
      <w:r w:rsidRPr="002F795F">
        <w:rPr>
          <w:i/>
          <w:lang w:val="en-US"/>
        </w:rPr>
        <w:t>Annual Review of Political Science</w:t>
      </w:r>
      <w:r w:rsidR="0073433F">
        <w:rPr>
          <w:lang w:val="en-US"/>
        </w:rPr>
        <w:t xml:space="preserve">, Vol. 10, pp. 211-244, </w:t>
      </w:r>
      <w:r w:rsidR="0073433F" w:rsidRPr="002F795F">
        <w:rPr>
          <w:spacing w:val="-6"/>
          <w:lang w:val="en-US"/>
        </w:rPr>
        <w:t>1978</w:t>
      </w:r>
    </w:p>
    <w:p w14:paraId="4EF1DCED" w14:textId="57709AED" w:rsidR="00D23A80" w:rsidRPr="002F795F" w:rsidRDefault="00D23A80" w:rsidP="00D23A80">
      <w:pPr>
        <w:spacing w:before="240"/>
        <w:jc w:val="both"/>
        <w:rPr>
          <w:lang w:val="en-US"/>
        </w:rPr>
      </w:pPr>
      <w:r w:rsidRPr="002F795F">
        <w:rPr>
          <w:lang w:val="en-US"/>
        </w:rPr>
        <w:t>Rose-ackerman, Susan. Corruption and Government: Causes, Consequences, and Reform. Cambrid</w:t>
      </w:r>
      <w:r w:rsidR="0073433F">
        <w:rPr>
          <w:lang w:val="en-US"/>
        </w:rPr>
        <w:t xml:space="preserve">ge: Cambridge University Press, </w:t>
      </w:r>
      <w:r w:rsidR="0073433F" w:rsidRPr="002F795F">
        <w:rPr>
          <w:lang w:val="en-US"/>
        </w:rPr>
        <w:t>1999</w:t>
      </w:r>
    </w:p>
    <w:p w14:paraId="2FB559F9" w14:textId="05BDEF0D" w:rsidR="00D23A80" w:rsidRPr="002F795F" w:rsidRDefault="00D23A80" w:rsidP="00D23A80">
      <w:pPr>
        <w:spacing w:before="240"/>
        <w:jc w:val="both"/>
        <w:rPr>
          <w:lang w:val="en-US"/>
        </w:rPr>
      </w:pPr>
      <w:r w:rsidRPr="002F795F">
        <w:rPr>
          <w:lang w:val="en-US"/>
        </w:rPr>
        <w:t xml:space="preserve">Sartori, Giovanni.. Conception Misinformation in comparative Politics. </w:t>
      </w:r>
      <w:r w:rsidRPr="002F795F">
        <w:rPr>
          <w:i/>
          <w:lang w:val="en-US"/>
        </w:rPr>
        <w:t>American Political Science Review</w:t>
      </w:r>
      <w:r w:rsidR="0073433F">
        <w:rPr>
          <w:lang w:val="en-US"/>
        </w:rPr>
        <w:t>. 64:4 1033-53,</w:t>
      </w:r>
      <w:r w:rsidR="0073433F" w:rsidRPr="0073433F">
        <w:rPr>
          <w:lang w:val="en-US"/>
        </w:rPr>
        <w:t xml:space="preserve"> </w:t>
      </w:r>
      <w:r w:rsidR="0073433F" w:rsidRPr="002F795F">
        <w:rPr>
          <w:lang w:val="en-US"/>
        </w:rPr>
        <w:t>1970</w:t>
      </w:r>
    </w:p>
    <w:p w14:paraId="5B49722F" w14:textId="299AD56F" w:rsidR="00D23A80" w:rsidRPr="002F795F" w:rsidRDefault="00D23A80" w:rsidP="00D23A80">
      <w:pPr>
        <w:spacing w:before="240"/>
        <w:jc w:val="both"/>
        <w:rPr>
          <w:lang w:val="en-US"/>
        </w:rPr>
      </w:pPr>
      <w:r w:rsidRPr="002F795F">
        <w:rPr>
          <w:lang w:val="en-US"/>
        </w:rPr>
        <w:t xml:space="preserve">Seligson, M. A.. The impact f corruption on regime legitimacy: A comparative study of four Latin American  countries, </w:t>
      </w:r>
      <w:r w:rsidRPr="002F795F">
        <w:rPr>
          <w:i/>
          <w:lang w:val="en-US"/>
        </w:rPr>
        <w:t>Jornal of Politics</w:t>
      </w:r>
      <w:r w:rsidR="0073433F">
        <w:rPr>
          <w:lang w:val="en-US"/>
        </w:rPr>
        <w:t>, 64: p. 408-433,</w:t>
      </w:r>
      <w:r w:rsidR="0073433F" w:rsidRPr="0073433F">
        <w:rPr>
          <w:lang w:val="en-US"/>
        </w:rPr>
        <w:t xml:space="preserve"> </w:t>
      </w:r>
      <w:r w:rsidR="0073433F" w:rsidRPr="002F795F">
        <w:rPr>
          <w:lang w:val="en-US"/>
        </w:rPr>
        <w:t>2002</w:t>
      </w:r>
    </w:p>
    <w:p w14:paraId="2BAE4EEA" w14:textId="2F97573C" w:rsidR="00D23A80" w:rsidRPr="002F795F" w:rsidRDefault="00D23A80" w:rsidP="00D23A80">
      <w:pPr>
        <w:autoSpaceDE w:val="0"/>
        <w:autoSpaceDN w:val="0"/>
        <w:adjustRightInd w:val="0"/>
        <w:spacing w:before="240"/>
        <w:jc w:val="both"/>
        <w:rPr>
          <w:spacing w:val="-6"/>
          <w:lang w:val="en-US"/>
        </w:rPr>
      </w:pPr>
      <w:r w:rsidRPr="002F795F">
        <w:rPr>
          <w:shd w:val="clear" w:color="auto" w:fill="FFFFFF"/>
        </w:rPr>
        <w:t xml:space="preserve">Speck, B.W. "Mensurando a corrupção: uma revisão de dados provenientes de pesquisas empíricas". </w:t>
      </w:r>
      <w:r w:rsidRPr="002F795F">
        <w:rPr>
          <w:shd w:val="clear" w:color="auto" w:fill="FFFFFF"/>
          <w:lang w:val="en-US"/>
        </w:rPr>
        <w:t xml:space="preserve">In: </w:t>
      </w:r>
      <w:r w:rsidRPr="002F795F">
        <w:rPr>
          <w:i/>
          <w:shd w:val="clear" w:color="auto" w:fill="FFFFFF"/>
          <w:lang w:val="en-US"/>
        </w:rPr>
        <w:t>Fundação Konrad-Adenauer</w:t>
      </w:r>
      <w:r w:rsidRPr="002F795F">
        <w:rPr>
          <w:shd w:val="clear" w:color="auto" w:fill="FFFFFF"/>
          <w:lang w:val="en-US"/>
        </w:rPr>
        <w:t>. O</w:t>
      </w:r>
      <w:r w:rsidR="0073433F">
        <w:rPr>
          <w:shd w:val="clear" w:color="auto" w:fill="FFFFFF"/>
          <w:lang w:val="en-US"/>
        </w:rPr>
        <w:t xml:space="preserve">p. cit. p.9-45, </w:t>
      </w:r>
      <w:r w:rsidR="0073433F" w:rsidRPr="007F2C6A">
        <w:rPr>
          <w:shd w:val="clear" w:color="auto" w:fill="FFFFFF"/>
          <w:lang w:val="en-US"/>
        </w:rPr>
        <w:t>2000.</w:t>
      </w:r>
    </w:p>
    <w:p w14:paraId="12B8EB4F" w14:textId="77777777" w:rsidR="00683A7B" w:rsidRPr="002F795F" w:rsidRDefault="00683A7B" w:rsidP="00683A7B">
      <w:pPr>
        <w:spacing w:line="276" w:lineRule="auto"/>
        <w:jc w:val="both"/>
        <w:rPr>
          <w:rStyle w:val="mathjaximage"/>
          <w:lang w:val="en-US"/>
        </w:rPr>
      </w:pPr>
    </w:p>
    <w:p w14:paraId="58D10D26" w14:textId="77777777" w:rsidR="00683A7B" w:rsidRPr="002F795F" w:rsidRDefault="00683A7B" w:rsidP="00683A7B">
      <w:pPr>
        <w:spacing w:line="276" w:lineRule="auto"/>
        <w:jc w:val="both"/>
        <w:rPr>
          <w:rStyle w:val="mathjaximage"/>
          <w:lang w:val="en-US"/>
        </w:rPr>
      </w:pPr>
      <w:r w:rsidRPr="002F795F">
        <w:rPr>
          <w:rStyle w:val="mathjaximage"/>
          <w:lang w:val="en-US"/>
        </w:rPr>
        <w:t>Shamir.J and Shamir. M. The Anatomy of Public Opinion By. Ann Arbor: University of Michigan Press, 2000</w:t>
      </w:r>
    </w:p>
    <w:p w14:paraId="5944B6A0" w14:textId="77777777" w:rsidR="00683A7B" w:rsidRPr="002F795F" w:rsidRDefault="00683A7B" w:rsidP="00683A7B">
      <w:pPr>
        <w:spacing w:line="276" w:lineRule="auto"/>
        <w:jc w:val="both"/>
        <w:rPr>
          <w:rStyle w:val="mathjaximage"/>
          <w:lang w:val="en-US"/>
        </w:rPr>
      </w:pPr>
    </w:p>
    <w:p w14:paraId="09E4E607" w14:textId="77777777" w:rsidR="00683A7B" w:rsidRDefault="00683A7B" w:rsidP="00683A7B">
      <w:pPr>
        <w:spacing w:line="276" w:lineRule="auto"/>
        <w:jc w:val="both"/>
      </w:pPr>
      <w:r w:rsidRPr="002F795F">
        <w:rPr>
          <w:lang w:val="en-US"/>
        </w:rPr>
        <w:t xml:space="preserve">SHULTZ, K.; CHAVEZ, D. The reliability and structure of a social desirability scale in English and in Spanish. </w:t>
      </w:r>
      <w:r w:rsidRPr="002F795F">
        <w:t>Educational and Psychological Measurement , 54, 935 - 940. 1994</w:t>
      </w:r>
    </w:p>
    <w:p w14:paraId="5EFD8703" w14:textId="77777777" w:rsidR="00683A7B" w:rsidRPr="002F795F" w:rsidRDefault="00683A7B" w:rsidP="00683A7B">
      <w:pPr>
        <w:tabs>
          <w:tab w:val="left" w:pos="-142"/>
          <w:tab w:val="left" w:pos="540"/>
        </w:tabs>
        <w:ind w:left="-142"/>
        <w:jc w:val="both"/>
      </w:pPr>
    </w:p>
    <w:p w14:paraId="3DE395FB" w14:textId="77777777" w:rsidR="00683A7B" w:rsidRPr="002F795F" w:rsidRDefault="00683A7B" w:rsidP="00683A7B">
      <w:pPr>
        <w:tabs>
          <w:tab w:val="left" w:pos="0"/>
          <w:tab w:val="left" w:pos="540"/>
        </w:tabs>
        <w:jc w:val="both"/>
      </w:pPr>
      <w:r w:rsidRPr="002F795F">
        <w:t>TELLES, Helcimara; FRAIHA, P e LOPES, N. Percepção da Corrupção nos Media e conduta Política em Eleições Municipais. In: Anais do Séptimo Encontro Alacip. Bogotá, 2013</w:t>
      </w:r>
    </w:p>
    <w:p w14:paraId="32AD963C" w14:textId="77777777" w:rsidR="007E27C5" w:rsidRPr="002F795F" w:rsidRDefault="007E27C5" w:rsidP="00683A7B">
      <w:pPr>
        <w:tabs>
          <w:tab w:val="left" w:pos="0"/>
          <w:tab w:val="left" w:pos="540"/>
        </w:tabs>
        <w:jc w:val="both"/>
      </w:pPr>
    </w:p>
    <w:p w14:paraId="6D507208" w14:textId="77777777" w:rsidR="007E27C5" w:rsidRPr="002F795F" w:rsidRDefault="007E27C5" w:rsidP="007E27C5">
      <w:pPr>
        <w:autoSpaceDE w:val="0"/>
        <w:autoSpaceDN w:val="0"/>
        <w:adjustRightInd w:val="0"/>
        <w:jc w:val="both"/>
        <w:rPr>
          <w:lang w:val="es-ES_tradnl"/>
        </w:rPr>
      </w:pPr>
      <w:r w:rsidRPr="00C75CCC">
        <w:t xml:space="preserve">TELLES, H., FRAIHA, P.S., LOPES, N.  </w:t>
      </w:r>
      <w:r w:rsidRPr="002F795F">
        <w:t xml:space="preserve">Meios de Comunicação, corrupção e redes sociais nas eleições para prefeito no Brasil. </w:t>
      </w:r>
      <w:r w:rsidRPr="002F795F">
        <w:rPr>
          <w:i/>
          <w:lang w:val="es-ES_tradnl"/>
        </w:rPr>
        <w:t xml:space="preserve">II Congreso Internacional en Comunicación </w:t>
      </w:r>
      <w:r w:rsidRPr="002F795F">
        <w:rPr>
          <w:i/>
          <w:lang w:val="es-ES_tradnl"/>
        </w:rPr>
        <w:lastRenderedPageBreak/>
        <w:t>Política y Estrategias de Campaña:</w:t>
      </w:r>
      <w:r w:rsidRPr="002F795F">
        <w:rPr>
          <w:lang w:val="es-ES_tradnl"/>
        </w:rPr>
        <w:t xml:space="preserve"> liderazgo y comunicación política Toluca (México), 3, 4 y 5 de octubre de 2013</w:t>
      </w:r>
    </w:p>
    <w:p w14:paraId="4D817690" w14:textId="77777777" w:rsidR="007E27C5" w:rsidRPr="002F795F" w:rsidRDefault="007E27C5" w:rsidP="007E27C5">
      <w:pPr>
        <w:autoSpaceDE w:val="0"/>
        <w:autoSpaceDN w:val="0"/>
        <w:adjustRightInd w:val="0"/>
        <w:jc w:val="both"/>
        <w:rPr>
          <w:lang w:val="es-ES_tradnl"/>
        </w:rPr>
      </w:pPr>
    </w:p>
    <w:p w14:paraId="1D63E968" w14:textId="7F429719" w:rsidR="00683A7B" w:rsidRDefault="00683A7B" w:rsidP="007E27C5">
      <w:pPr>
        <w:autoSpaceDE w:val="0"/>
        <w:autoSpaceDN w:val="0"/>
        <w:adjustRightInd w:val="0"/>
        <w:jc w:val="both"/>
        <w:rPr>
          <w:lang w:val="en-US"/>
        </w:rPr>
      </w:pPr>
      <w:r w:rsidRPr="002F795F">
        <w:rPr>
          <w:lang w:val="en-US"/>
        </w:rPr>
        <w:t>Tuchman, G.. Making News: A study in the construction o</w:t>
      </w:r>
      <w:r w:rsidR="0073433F">
        <w:rPr>
          <w:lang w:val="en-US"/>
        </w:rPr>
        <w:t xml:space="preserve">f reality. New York: Free Press, </w:t>
      </w:r>
      <w:r w:rsidR="0073433F" w:rsidRPr="002F795F">
        <w:rPr>
          <w:lang w:val="en-US"/>
        </w:rPr>
        <w:t>1978</w:t>
      </w:r>
      <w:r w:rsidRPr="002F795F">
        <w:rPr>
          <w:lang w:val="en-US"/>
        </w:rPr>
        <w:t xml:space="preserve">  </w:t>
      </w:r>
    </w:p>
    <w:p w14:paraId="4791E146" w14:textId="77777777" w:rsidR="00D05E9E" w:rsidRDefault="00D05E9E" w:rsidP="007E27C5">
      <w:pPr>
        <w:autoSpaceDE w:val="0"/>
        <w:autoSpaceDN w:val="0"/>
        <w:adjustRightInd w:val="0"/>
        <w:jc w:val="both"/>
        <w:rPr>
          <w:lang w:val="en-US"/>
        </w:rPr>
      </w:pPr>
    </w:p>
    <w:p w14:paraId="187E6C5C" w14:textId="15D92CA1" w:rsidR="00D05E9E" w:rsidRPr="002F795F" w:rsidRDefault="00D05E9E" w:rsidP="007E27C5">
      <w:pPr>
        <w:autoSpaceDE w:val="0"/>
        <w:autoSpaceDN w:val="0"/>
        <w:adjustRightInd w:val="0"/>
        <w:jc w:val="both"/>
        <w:rPr>
          <w:lang w:val="en-US"/>
        </w:rPr>
      </w:pPr>
      <w:r w:rsidRPr="00D05E9E">
        <w:rPr>
          <w:lang w:val="en-US"/>
        </w:rPr>
        <w:t>TUCKER, L. R; LEWIS, C. A reliability coefficient for maximum likelihood factor analysis. Psychometrika, California, v. 38, n. 1, p. 1-10, 1973.</w:t>
      </w:r>
    </w:p>
    <w:p w14:paraId="66F2604A" w14:textId="77777777" w:rsidR="00683A7B" w:rsidRDefault="00683A7B" w:rsidP="00683A7B">
      <w:pPr>
        <w:spacing w:line="276" w:lineRule="auto"/>
        <w:jc w:val="both"/>
        <w:rPr>
          <w:lang w:val="en-US"/>
        </w:rPr>
      </w:pPr>
    </w:p>
    <w:p w14:paraId="76FE0A3F" w14:textId="3DA5E02B" w:rsidR="00D05E9E" w:rsidRDefault="007F2C6A" w:rsidP="00683A7B">
      <w:pPr>
        <w:spacing w:line="276" w:lineRule="auto"/>
        <w:jc w:val="both"/>
        <w:rPr>
          <w:lang w:val="en-US"/>
        </w:rPr>
      </w:pPr>
      <w:r>
        <w:rPr>
          <w:lang w:val="en-US"/>
        </w:rPr>
        <w:t xml:space="preserve">Ullman, J.B. </w:t>
      </w:r>
      <w:r w:rsidR="00D05E9E" w:rsidRPr="00D05E9E">
        <w:rPr>
          <w:lang w:val="en-US"/>
        </w:rPr>
        <w:t>. Structural equation modeling. In B.G. Tabachnick &amp; L.S. Fidell (Eds.), Using multivariate statistics (pp. 653-771). Boston: Ally &amp; Bacon</w:t>
      </w:r>
      <w:r>
        <w:rPr>
          <w:lang w:val="en-US"/>
        </w:rPr>
        <w:t xml:space="preserve">, </w:t>
      </w:r>
      <w:r w:rsidRPr="00D05E9E">
        <w:rPr>
          <w:lang w:val="en-US"/>
        </w:rPr>
        <w:t>2001</w:t>
      </w:r>
    </w:p>
    <w:p w14:paraId="3D8FEFC5" w14:textId="77777777" w:rsidR="00D05E9E" w:rsidRPr="002F795F" w:rsidRDefault="00D05E9E" w:rsidP="00683A7B">
      <w:pPr>
        <w:spacing w:line="276" w:lineRule="auto"/>
        <w:jc w:val="both"/>
        <w:rPr>
          <w:lang w:val="en-US"/>
        </w:rPr>
      </w:pPr>
    </w:p>
    <w:p w14:paraId="7B64EFE4" w14:textId="7AEEE643" w:rsidR="00683A7B" w:rsidRDefault="00683A7B" w:rsidP="00683A7B">
      <w:pPr>
        <w:spacing w:line="276" w:lineRule="auto"/>
        <w:jc w:val="both"/>
        <w:rPr>
          <w:lang w:val="en-US"/>
        </w:rPr>
      </w:pPr>
      <w:r w:rsidRPr="002F795F">
        <w:rPr>
          <w:lang w:val="en-US"/>
        </w:rPr>
        <w:t>Weisberg, Herbert F.:.  The Total Survey Error Approach.  Chica</w:t>
      </w:r>
      <w:r w:rsidR="0073433F">
        <w:rPr>
          <w:lang w:val="en-US"/>
        </w:rPr>
        <w:t>go: University of Chicago Press,</w:t>
      </w:r>
      <w:r w:rsidR="0073433F" w:rsidRPr="0073433F">
        <w:rPr>
          <w:lang w:val="en-US"/>
        </w:rPr>
        <w:t xml:space="preserve"> </w:t>
      </w:r>
      <w:r w:rsidR="0073433F" w:rsidRPr="002F795F">
        <w:rPr>
          <w:lang w:val="en-US"/>
        </w:rPr>
        <w:t>2005</w:t>
      </w:r>
    </w:p>
    <w:p w14:paraId="6A53E514" w14:textId="77777777" w:rsidR="00683A7B" w:rsidRPr="002F795F" w:rsidRDefault="00683A7B" w:rsidP="00683A7B">
      <w:pPr>
        <w:spacing w:line="276" w:lineRule="auto"/>
        <w:jc w:val="both"/>
        <w:rPr>
          <w:lang w:val="en-US"/>
        </w:rPr>
      </w:pPr>
    </w:p>
    <w:p w14:paraId="2F8815CB" w14:textId="2A405150" w:rsidR="00683A7B" w:rsidRPr="002F795F" w:rsidRDefault="00683A7B" w:rsidP="00683A7B">
      <w:pPr>
        <w:spacing w:line="276" w:lineRule="auto"/>
        <w:jc w:val="both"/>
        <w:rPr>
          <w:lang w:val="en-US"/>
        </w:rPr>
      </w:pPr>
      <w:r w:rsidRPr="002F795F">
        <w:rPr>
          <w:lang w:val="en-US"/>
        </w:rPr>
        <w:t>Zaller, John:  The Nature and Origins of Mass Opinion.  New York: Cambrid</w:t>
      </w:r>
      <w:r w:rsidR="0073433F">
        <w:rPr>
          <w:lang w:val="en-US"/>
        </w:rPr>
        <w:t>ge University Press,</w:t>
      </w:r>
      <w:r w:rsidR="0073433F" w:rsidRPr="0073433F">
        <w:rPr>
          <w:lang w:val="en-US"/>
        </w:rPr>
        <w:t xml:space="preserve"> </w:t>
      </w:r>
      <w:r w:rsidR="0073433F" w:rsidRPr="002F795F">
        <w:rPr>
          <w:lang w:val="en-US"/>
        </w:rPr>
        <w:t>1992.</w:t>
      </w:r>
    </w:p>
    <w:p w14:paraId="05C959CB" w14:textId="77777777" w:rsidR="00683A7B" w:rsidRPr="00AB315F" w:rsidRDefault="00683A7B" w:rsidP="00D23A80">
      <w:pPr>
        <w:pStyle w:val="Corpodetexto2"/>
        <w:tabs>
          <w:tab w:val="left" w:pos="540"/>
        </w:tabs>
        <w:spacing w:before="240" w:after="0" w:line="240" w:lineRule="auto"/>
        <w:jc w:val="both"/>
        <w:rPr>
          <w:rFonts w:ascii="Times New Roman" w:hAnsi="Times New Roman" w:cs="Times New Roman"/>
          <w:sz w:val="24"/>
          <w:lang w:val="en-US"/>
        </w:rPr>
      </w:pPr>
    </w:p>
    <w:p w14:paraId="18866996" w14:textId="77777777" w:rsidR="00683A7B" w:rsidRPr="00AB315F" w:rsidRDefault="00683A7B" w:rsidP="00D23A80">
      <w:pPr>
        <w:pStyle w:val="Corpodetexto2"/>
        <w:tabs>
          <w:tab w:val="left" w:pos="540"/>
        </w:tabs>
        <w:spacing w:before="240" w:after="0" w:line="240" w:lineRule="auto"/>
        <w:jc w:val="both"/>
        <w:rPr>
          <w:rFonts w:ascii="Times New Roman" w:hAnsi="Times New Roman" w:cs="Times New Roman"/>
          <w:sz w:val="24"/>
          <w:lang w:val="en-US"/>
        </w:rPr>
      </w:pPr>
    </w:p>
    <w:p w14:paraId="2217E39C" w14:textId="77777777" w:rsidR="00D23A80" w:rsidRPr="00AB315F" w:rsidRDefault="00D23A80" w:rsidP="00E32D94">
      <w:pPr>
        <w:spacing w:line="276" w:lineRule="auto"/>
        <w:jc w:val="both"/>
        <w:rPr>
          <w:rFonts w:asciiTheme="minorHAnsi" w:hAnsiTheme="minorHAnsi"/>
          <w:lang w:val="en-US"/>
        </w:rPr>
      </w:pPr>
    </w:p>
    <w:p w14:paraId="09839531" w14:textId="1012E390" w:rsidR="00C26320" w:rsidRPr="00AB315F" w:rsidRDefault="00C26320" w:rsidP="00C26320">
      <w:pPr>
        <w:tabs>
          <w:tab w:val="left" w:pos="1710"/>
        </w:tabs>
        <w:spacing w:line="276" w:lineRule="auto"/>
        <w:jc w:val="both"/>
        <w:rPr>
          <w:rFonts w:asciiTheme="minorHAnsi" w:hAnsiTheme="minorHAnsi"/>
          <w:lang w:val="en-US"/>
        </w:rPr>
      </w:pPr>
      <w:r w:rsidRPr="00AB315F">
        <w:rPr>
          <w:rFonts w:asciiTheme="minorHAnsi" w:hAnsiTheme="minorHAnsi"/>
          <w:lang w:val="en-US"/>
        </w:rPr>
        <w:tab/>
      </w:r>
      <w:r w:rsidRPr="00AB315F">
        <w:rPr>
          <w:rFonts w:asciiTheme="minorHAnsi" w:hAnsiTheme="minorHAnsi"/>
          <w:lang w:val="en-US"/>
        </w:rPr>
        <w:br w:type="page"/>
      </w:r>
    </w:p>
    <w:p w14:paraId="3EC912DC" w14:textId="6F768E39" w:rsidR="0034387F" w:rsidRPr="00AB315F" w:rsidRDefault="004F2956" w:rsidP="004F2956">
      <w:pPr>
        <w:pStyle w:val="Ttulo1"/>
        <w:rPr>
          <w:b/>
          <w:color w:val="auto"/>
        </w:rPr>
      </w:pPr>
      <w:bookmarkStart w:id="31" w:name="_Toc456241264"/>
      <w:r w:rsidRPr="00AB315F">
        <w:rPr>
          <w:b/>
          <w:color w:val="auto"/>
        </w:rPr>
        <w:lastRenderedPageBreak/>
        <w:t>A</w:t>
      </w:r>
      <w:r w:rsidR="00F47DF3" w:rsidRPr="00AB315F">
        <w:rPr>
          <w:b/>
          <w:color w:val="auto"/>
        </w:rPr>
        <w:t>nexo</w:t>
      </w:r>
      <w:bookmarkEnd w:id="31"/>
    </w:p>
    <w:p w14:paraId="55D3077E" w14:textId="77777777" w:rsidR="005E586A" w:rsidRDefault="005E586A" w:rsidP="005E586A">
      <w:pPr>
        <w:jc w:val="both"/>
        <w:rPr>
          <w:rFonts w:asciiTheme="minorHAnsi" w:hAnsiTheme="minorHAnsi"/>
        </w:rPr>
      </w:pPr>
    </w:p>
    <w:p w14:paraId="4800F12F" w14:textId="24AC56B7" w:rsidR="006967AF" w:rsidRDefault="005E586A" w:rsidP="006967AF">
      <w:pPr>
        <w:rPr>
          <w:rFonts w:asciiTheme="minorHAnsi" w:hAnsiTheme="minorHAnsi"/>
        </w:rPr>
      </w:pPr>
      <w:r w:rsidRPr="005E586A">
        <w:rPr>
          <w:rFonts w:asciiTheme="minorHAnsi" w:hAnsiTheme="minorHAnsi"/>
        </w:rPr>
        <w:t>Análise Fatorial c</w:t>
      </w:r>
      <w:r>
        <w:rPr>
          <w:rFonts w:asciiTheme="minorHAnsi" w:hAnsiTheme="minorHAnsi"/>
        </w:rPr>
        <w:t>onfirmatória Indicador de Aceitação da Corrupção – WVS 2006 Brasil</w:t>
      </w:r>
    </w:p>
    <w:p w14:paraId="12A9C011" w14:textId="77777777" w:rsidR="005E586A" w:rsidRDefault="005E586A" w:rsidP="006967AF">
      <w:pPr>
        <w:rPr>
          <w:rFonts w:asciiTheme="minorHAnsi" w:hAnsiTheme="minorHAnsi"/>
        </w:rPr>
      </w:pPr>
    </w:p>
    <w:tbl>
      <w:tblPr>
        <w:tblW w:w="7706" w:type="dxa"/>
        <w:tblCellMar>
          <w:left w:w="70" w:type="dxa"/>
          <w:right w:w="70" w:type="dxa"/>
        </w:tblCellMar>
        <w:tblLook w:val="04A0" w:firstRow="1" w:lastRow="0" w:firstColumn="1" w:lastColumn="0" w:noHBand="0" w:noVBand="1"/>
      </w:tblPr>
      <w:tblGrid>
        <w:gridCol w:w="2167"/>
        <w:gridCol w:w="1285"/>
        <w:gridCol w:w="1202"/>
        <w:gridCol w:w="530"/>
        <w:gridCol w:w="653"/>
        <w:gridCol w:w="976"/>
        <w:gridCol w:w="976"/>
      </w:tblGrid>
      <w:tr w:rsidR="005E586A" w:rsidRPr="005D5DC8" w14:paraId="13020AD9" w14:textId="77777777" w:rsidTr="009E5478">
        <w:trPr>
          <w:trHeight w:val="300"/>
        </w:trPr>
        <w:tc>
          <w:tcPr>
            <w:tcW w:w="6730" w:type="dxa"/>
            <w:gridSpan w:val="6"/>
            <w:tcBorders>
              <w:top w:val="nil"/>
              <w:left w:val="nil"/>
              <w:bottom w:val="nil"/>
              <w:right w:val="nil"/>
            </w:tcBorders>
            <w:shd w:val="clear" w:color="auto" w:fill="auto"/>
            <w:noWrap/>
            <w:vAlign w:val="center"/>
            <w:hideMark/>
          </w:tcPr>
          <w:p w14:paraId="4CA5395B" w14:textId="06DA702C" w:rsidR="005E586A" w:rsidRPr="005D5DC8" w:rsidRDefault="005D5DC8" w:rsidP="005D5DC8">
            <w:pPr>
              <w:rPr>
                <w:rFonts w:ascii="Calibri" w:hAnsi="Calibri"/>
                <w:color w:val="000000"/>
                <w:sz w:val="22"/>
                <w:szCs w:val="22"/>
              </w:rPr>
            </w:pPr>
            <w:r w:rsidRPr="005D5DC8">
              <w:rPr>
                <w:rFonts w:ascii="Calibri" w:hAnsi="Calibri"/>
                <w:color w:val="000000"/>
                <w:sz w:val="22"/>
                <w:szCs w:val="22"/>
              </w:rPr>
              <w:t>Modelo de equações</w:t>
            </w:r>
            <w:r>
              <w:rPr>
                <w:rFonts w:ascii="Calibri" w:hAnsi="Calibri"/>
                <w:color w:val="000000"/>
                <w:sz w:val="22"/>
                <w:szCs w:val="22"/>
              </w:rPr>
              <w:t xml:space="preserve"> estruturais              Número de observações  = </w:t>
            </w:r>
            <w:r w:rsidR="005E586A" w:rsidRPr="005D5DC8">
              <w:rPr>
                <w:rFonts w:ascii="Calibri" w:hAnsi="Calibri"/>
                <w:color w:val="000000"/>
                <w:sz w:val="22"/>
                <w:szCs w:val="22"/>
              </w:rPr>
              <w:t>1452</w:t>
            </w:r>
          </w:p>
        </w:tc>
        <w:tc>
          <w:tcPr>
            <w:tcW w:w="976" w:type="dxa"/>
            <w:tcBorders>
              <w:top w:val="nil"/>
              <w:left w:val="nil"/>
              <w:bottom w:val="nil"/>
              <w:right w:val="nil"/>
            </w:tcBorders>
            <w:shd w:val="clear" w:color="auto" w:fill="auto"/>
            <w:noWrap/>
            <w:vAlign w:val="bottom"/>
            <w:hideMark/>
          </w:tcPr>
          <w:p w14:paraId="7996387D" w14:textId="77777777" w:rsidR="005E586A" w:rsidRPr="005D5DC8" w:rsidRDefault="005E586A" w:rsidP="005E586A">
            <w:pPr>
              <w:rPr>
                <w:rFonts w:ascii="Calibri" w:hAnsi="Calibri"/>
                <w:color w:val="000000"/>
                <w:sz w:val="22"/>
                <w:szCs w:val="22"/>
              </w:rPr>
            </w:pPr>
          </w:p>
        </w:tc>
      </w:tr>
      <w:tr w:rsidR="005E586A" w:rsidRPr="005E586A" w14:paraId="74E8A63E" w14:textId="77777777" w:rsidTr="00401A89">
        <w:trPr>
          <w:trHeight w:val="300"/>
        </w:trPr>
        <w:tc>
          <w:tcPr>
            <w:tcW w:w="2167" w:type="dxa"/>
            <w:tcBorders>
              <w:top w:val="nil"/>
              <w:left w:val="nil"/>
              <w:bottom w:val="single" w:sz="4" w:space="0" w:color="auto"/>
              <w:right w:val="nil"/>
            </w:tcBorders>
            <w:shd w:val="clear" w:color="auto" w:fill="auto"/>
            <w:noWrap/>
            <w:vAlign w:val="bottom"/>
            <w:hideMark/>
          </w:tcPr>
          <w:p w14:paraId="483CFE55" w14:textId="77777777" w:rsidR="005E586A" w:rsidRPr="005E586A" w:rsidRDefault="005E586A" w:rsidP="005E586A">
            <w:pPr>
              <w:rPr>
                <w:sz w:val="20"/>
                <w:szCs w:val="20"/>
              </w:rPr>
            </w:pPr>
          </w:p>
        </w:tc>
        <w:tc>
          <w:tcPr>
            <w:tcW w:w="1202" w:type="dxa"/>
            <w:tcBorders>
              <w:top w:val="nil"/>
              <w:left w:val="nil"/>
              <w:bottom w:val="single" w:sz="4" w:space="0" w:color="auto"/>
              <w:right w:val="nil"/>
            </w:tcBorders>
            <w:shd w:val="clear" w:color="auto" w:fill="auto"/>
            <w:noWrap/>
            <w:vAlign w:val="bottom"/>
            <w:hideMark/>
          </w:tcPr>
          <w:p w14:paraId="66F5D6B9" w14:textId="77777777" w:rsidR="005E586A" w:rsidRPr="005E586A" w:rsidRDefault="005E586A" w:rsidP="005E586A">
            <w:pPr>
              <w:rPr>
                <w:sz w:val="20"/>
                <w:szCs w:val="20"/>
              </w:rPr>
            </w:pPr>
          </w:p>
        </w:tc>
        <w:tc>
          <w:tcPr>
            <w:tcW w:w="1202" w:type="dxa"/>
            <w:tcBorders>
              <w:top w:val="nil"/>
              <w:left w:val="nil"/>
              <w:bottom w:val="single" w:sz="4" w:space="0" w:color="auto"/>
              <w:right w:val="nil"/>
            </w:tcBorders>
            <w:shd w:val="clear" w:color="auto" w:fill="auto"/>
            <w:noWrap/>
            <w:vAlign w:val="bottom"/>
            <w:hideMark/>
          </w:tcPr>
          <w:p w14:paraId="003B5ADE" w14:textId="77777777" w:rsidR="005E586A" w:rsidRPr="005E586A" w:rsidRDefault="005E586A" w:rsidP="005E586A">
            <w:pPr>
              <w:rPr>
                <w:sz w:val="20"/>
                <w:szCs w:val="20"/>
              </w:rPr>
            </w:pPr>
          </w:p>
        </w:tc>
        <w:tc>
          <w:tcPr>
            <w:tcW w:w="530" w:type="dxa"/>
            <w:tcBorders>
              <w:top w:val="nil"/>
              <w:left w:val="nil"/>
              <w:bottom w:val="single" w:sz="4" w:space="0" w:color="auto"/>
              <w:right w:val="nil"/>
            </w:tcBorders>
            <w:shd w:val="clear" w:color="auto" w:fill="auto"/>
            <w:noWrap/>
            <w:vAlign w:val="bottom"/>
            <w:hideMark/>
          </w:tcPr>
          <w:p w14:paraId="00199A18" w14:textId="77777777" w:rsidR="005E586A" w:rsidRPr="005E586A" w:rsidRDefault="005E586A" w:rsidP="005E586A">
            <w:pPr>
              <w:rPr>
                <w:sz w:val="20"/>
                <w:szCs w:val="20"/>
              </w:rPr>
            </w:pPr>
          </w:p>
        </w:tc>
        <w:tc>
          <w:tcPr>
            <w:tcW w:w="653" w:type="dxa"/>
            <w:tcBorders>
              <w:top w:val="nil"/>
              <w:left w:val="nil"/>
              <w:bottom w:val="single" w:sz="4" w:space="0" w:color="auto"/>
              <w:right w:val="nil"/>
            </w:tcBorders>
            <w:shd w:val="clear" w:color="auto" w:fill="auto"/>
            <w:noWrap/>
            <w:vAlign w:val="bottom"/>
            <w:hideMark/>
          </w:tcPr>
          <w:p w14:paraId="71393AF9" w14:textId="77777777" w:rsidR="005E586A" w:rsidRPr="005E586A" w:rsidRDefault="005E586A" w:rsidP="005E586A">
            <w:pPr>
              <w:rPr>
                <w:sz w:val="20"/>
                <w:szCs w:val="20"/>
              </w:rPr>
            </w:pPr>
          </w:p>
        </w:tc>
        <w:tc>
          <w:tcPr>
            <w:tcW w:w="976" w:type="dxa"/>
            <w:tcBorders>
              <w:top w:val="nil"/>
              <w:left w:val="nil"/>
              <w:bottom w:val="single" w:sz="4" w:space="0" w:color="auto"/>
              <w:right w:val="nil"/>
            </w:tcBorders>
            <w:shd w:val="clear" w:color="auto" w:fill="auto"/>
            <w:noWrap/>
            <w:vAlign w:val="bottom"/>
            <w:hideMark/>
          </w:tcPr>
          <w:p w14:paraId="3B9849C5" w14:textId="77777777" w:rsidR="005E586A" w:rsidRPr="005E586A" w:rsidRDefault="005E586A" w:rsidP="005E586A">
            <w:pPr>
              <w:rPr>
                <w:sz w:val="20"/>
                <w:szCs w:val="20"/>
              </w:rPr>
            </w:pPr>
          </w:p>
        </w:tc>
        <w:tc>
          <w:tcPr>
            <w:tcW w:w="976" w:type="dxa"/>
            <w:tcBorders>
              <w:top w:val="nil"/>
              <w:left w:val="nil"/>
              <w:bottom w:val="single" w:sz="4" w:space="0" w:color="auto"/>
              <w:right w:val="nil"/>
            </w:tcBorders>
            <w:shd w:val="clear" w:color="auto" w:fill="auto"/>
            <w:noWrap/>
            <w:vAlign w:val="bottom"/>
            <w:hideMark/>
          </w:tcPr>
          <w:p w14:paraId="5C52F0B1" w14:textId="77777777" w:rsidR="005E586A" w:rsidRPr="005E586A" w:rsidRDefault="005E586A" w:rsidP="005E586A">
            <w:pPr>
              <w:rPr>
                <w:sz w:val="20"/>
                <w:szCs w:val="20"/>
              </w:rPr>
            </w:pPr>
          </w:p>
        </w:tc>
      </w:tr>
      <w:tr w:rsidR="004A44C1" w:rsidRPr="005E586A" w14:paraId="79E4A0B1" w14:textId="77777777" w:rsidTr="00401A89">
        <w:trPr>
          <w:trHeight w:val="300"/>
        </w:trPr>
        <w:tc>
          <w:tcPr>
            <w:tcW w:w="2167" w:type="dxa"/>
            <w:tcBorders>
              <w:top w:val="single" w:sz="4" w:space="0" w:color="auto"/>
              <w:left w:val="nil"/>
              <w:bottom w:val="single" w:sz="4" w:space="0" w:color="auto"/>
              <w:right w:val="nil"/>
            </w:tcBorders>
            <w:shd w:val="clear" w:color="auto" w:fill="auto"/>
            <w:noWrap/>
            <w:vAlign w:val="bottom"/>
            <w:hideMark/>
          </w:tcPr>
          <w:p w14:paraId="1C3E809A" w14:textId="7FE20191" w:rsidR="004A44C1" w:rsidRPr="005D5DC8" w:rsidRDefault="004A44C1" w:rsidP="004A44C1">
            <w:pPr>
              <w:jc w:val="center"/>
              <w:rPr>
                <w:rFonts w:ascii="Calibri" w:hAnsi="Calibri"/>
                <w:b/>
                <w:color w:val="000000"/>
                <w:sz w:val="22"/>
                <w:szCs w:val="22"/>
              </w:rPr>
            </w:pPr>
          </w:p>
        </w:tc>
        <w:tc>
          <w:tcPr>
            <w:tcW w:w="1202" w:type="dxa"/>
            <w:tcBorders>
              <w:top w:val="single" w:sz="4" w:space="0" w:color="auto"/>
              <w:left w:val="nil"/>
              <w:bottom w:val="single" w:sz="4" w:space="0" w:color="auto"/>
              <w:right w:val="nil"/>
            </w:tcBorders>
            <w:shd w:val="clear" w:color="auto" w:fill="auto"/>
            <w:noWrap/>
            <w:vAlign w:val="bottom"/>
            <w:hideMark/>
          </w:tcPr>
          <w:p w14:paraId="24D852F6" w14:textId="37174AB8" w:rsidR="004A44C1" w:rsidRPr="005D5DC8" w:rsidRDefault="004A44C1" w:rsidP="004A44C1">
            <w:pPr>
              <w:jc w:val="center"/>
              <w:rPr>
                <w:rFonts w:ascii="Calibri" w:hAnsi="Calibri"/>
                <w:b/>
                <w:color w:val="000000"/>
                <w:sz w:val="22"/>
                <w:szCs w:val="22"/>
              </w:rPr>
            </w:pPr>
            <w:r w:rsidRPr="005D5DC8">
              <w:rPr>
                <w:rFonts w:ascii="Calibri" w:hAnsi="Calibri"/>
                <w:b/>
                <w:color w:val="000000"/>
                <w:sz w:val="22"/>
                <w:szCs w:val="22"/>
              </w:rPr>
              <w:t>Coef. Padronizado</w:t>
            </w:r>
          </w:p>
        </w:tc>
        <w:tc>
          <w:tcPr>
            <w:tcW w:w="1202" w:type="dxa"/>
            <w:tcBorders>
              <w:top w:val="single" w:sz="4" w:space="0" w:color="auto"/>
              <w:left w:val="nil"/>
              <w:bottom w:val="single" w:sz="4" w:space="0" w:color="auto"/>
              <w:right w:val="nil"/>
            </w:tcBorders>
            <w:shd w:val="clear" w:color="auto" w:fill="auto"/>
            <w:noWrap/>
            <w:vAlign w:val="bottom"/>
            <w:hideMark/>
          </w:tcPr>
          <w:p w14:paraId="19F377FE" w14:textId="1F0920EF" w:rsidR="004A44C1" w:rsidRPr="005D5DC8" w:rsidRDefault="004A44C1" w:rsidP="004A44C1">
            <w:pPr>
              <w:jc w:val="center"/>
              <w:rPr>
                <w:rFonts w:ascii="Calibri" w:hAnsi="Calibri"/>
                <w:b/>
                <w:color w:val="000000"/>
                <w:sz w:val="22"/>
                <w:szCs w:val="22"/>
              </w:rPr>
            </w:pPr>
            <w:r w:rsidRPr="005D5DC8">
              <w:rPr>
                <w:rFonts w:ascii="Calibri" w:hAnsi="Calibri"/>
                <w:b/>
                <w:color w:val="000000"/>
                <w:sz w:val="22"/>
                <w:szCs w:val="22"/>
              </w:rPr>
              <w:t>Err. Padrão</w:t>
            </w:r>
          </w:p>
        </w:tc>
        <w:tc>
          <w:tcPr>
            <w:tcW w:w="530" w:type="dxa"/>
            <w:tcBorders>
              <w:top w:val="single" w:sz="4" w:space="0" w:color="auto"/>
              <w:left w:val="nil"/>
              <w:bottom w:val="single" w:sz="4" w:space="0" w:color="auto"/>
              <w:right w:val="nil"/>
            </w:tcBorders>
            <w:shd w:val="clear" w:color="auto" w:fill="auto"/>
            <w:noWrap/>
            <w:vAlign w:val="bottom"/>
            <w:hideMark/>
          </w:tcPr>
          <w:p w14:paraId="2C4F0FD6" w14:textId="2BDDBB58" w:rsidR="004A44C1" w:rsidRPr="005D5DC8" w:rsidRDefault="004A44C1" w:rsidP="004A44C1">
            <w:pPr>
              <w:jc w:val="center"/>
              <w:rPr>
                <w:rFonts w:ascii="Calibri" w:hAnsi="Calibri"/>
                <w:b/>
                <w:color w:val="000000"/>
                <w:sz w:val="22"/>
                <w:szCs w:val="22"/>
              </w:rPr>
            </w:pPr>
            <w:r w:rsidRPr="005D5DC8">
              <w:rPr>
                <w:rFonts w:ascii="Calibri" w:hAnsi="Calibri"/>
                <w:b/>
                <w:color w:val="000000"/>
                <w:sz w:val="22"/>
                <w:szCs w:val="22"/>
              </w:rPr>
              <w:t>z</w:t>
            </w:r>
          </w:p>
        </w:tc>
        <w:tc>
          <w:tcPr>
            <w:tcW w:w="2605" w:type="dxa"/>
            <w:gridSpan w:val="3"/>
            <w:tcBorders>
              <w:top w:val="single" w:sz="4" w:space="0" w:color="auto"/>
              <w:left w:val="nil"/>
              <w:bottom w:val="single" w:sz="4" w:space="0" w:color="auto"/>
              <w:right w:val="nil"/>
            </w:tcBorders>
            <w:shd w:val="clear" w:color="auto" w:fill="auto"/>
            <w:noWrap/>
            <w:vAlign w:val="bottom"/>
            <w:hideMark/>
          </w:tcPr>
          <w:p w14:paraId="701F3FEF" w14:textId="751348EF" w:rsidR="004A44C1" w:rsidRPr="005D5DC8" w:rsidRDefault="004A44C1" w:rsidP="004A44C1">
            <w:pPr>
              <w:jc w:val="center"/>
              <w:rPr>
                <w:rFonts w:ascii="Calibri" w:hAnsi="Calibri"/>
                <w:b/>
                <w:color w:val="000000"/>
                <w:sz w:val="22"/>
                <w:szCs w:val="22"/>
              </w:rPr>
            </w:pPr>
            <w:r w:rsidRPr="005D5DC8">
              <w:rPr>
                <w:rFonts w:ascii="Calibri" w:hAnsi="Calibri"/>
                <w:b/>
                <w:color w:val="000000"/>
                <w:sz w:val="22"/>
                <w:szCs w:val="22"/>
              </w:rPr>
              <w:t xml:space="preserve">P&gt;z     [95% </w:t>
            </w:r>
            <w:r>
              <w:rPr>
                <w:rFonts w:ascii="Calibri" w:hAnsi="Calibri"/>
                <w:b/>
                <w:color w:val="000000"/>
                <w:sz w:val="22"/>
                <w:szCs w:val="22"/>
              </w:rPr>
              <w:t>Interv</w:t>
            </w:r>
            <w:r w:rsidRPr="005D5DC8">
              <w:rPr>
                <w:rFonts w:ascii="Calibri" w:hAnsi="Calibri"/>
                <w:b/>
                <w:color w:val="000000"/>
                <w:sz w:val="22"/>
                <w:szCs w:val="22"/>
              </w:rPr>
              <w:t>a. Conf]</w:t>
            </w:r>
          </w:p>
        </w:tc>
      </w:tr>
      <w:tr w:rsidR="005E586A" w:rsidRPr="005E586A" w14:paraId="36B9BA11" w14:textId="77777777" w:rsidTr="005D5DC8">
        <w:trPr>
          <w:trHeight w:val="300"/>
        </w:trPr>
        <w:tc>
          <w:tcPr>
            <w:tcW w:w="2167" w:type="dxa"/>
            <w:tcBorders>
              <w:top w:val="nil"/>
              <w:left w:val="nil"/>
              <w:bottom w:val="nil"/>
              <w:right w:val="nil"/>
            </w:tcBorders>
            <w:shd w:val="clear" w:color="auto" w:fill="auto"/>
            <w:noWrap/>
            <w:vAlign w:val="bottom"/>
            <w:hideMark/>
          </w:tcPr>
          <w:p w14:paraId="52F5A3A8" w14:textId="153A0CB1"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impostos_2006 &lt;-</w:t>
            </w:r>
          </w:p>
        </w:tc>
        <w:tc>
          <w:tcPr>
            <w:tcW w:w="1202" w:type="dxa"/>
            <w:tcBorders>
              <w:top w:val="nil"/>
              <w:left w:val="nil"/>
              <w:bottom w:val="single" w:sz="4" w:space="0" w:color="auto"/>
              <w:right w:val="single" w:sz="4" w:space="0" w:color="auto"/>
            </w:tcBorders>
            <w:shd w:val="clear" w:color="auto" w:fill="auto"/>
            <w:noWrap/>
            <w:vAlign w:val="bottom"/>
            <w:hideMark/>
          </w:tcPr>
          <w:p w14:paraId="34943987" w14:textId="77777777" w:rsidR="005E586A" w:rsidRPr="005E586A" w:rsidRDefault="005E586A" w:rsidP="005E586A">
            <w:pPr>
              <w:jc w:val="center"/>
              <w:rPr>
                <w:rFonts w:ascii="Calibri" w:hAnsi="Calibri"/>
                <w:color w:val="000000"/>
                <w:sz w:val="22"/>
                <w:szCs w:val="22"/>
              </w:rPr>
            </w:pPr>
          </w:p>
        </w:tc>
        <w:tc>
          <w:tcPr>
            <w:tcW w:w="1202" w:type="dxa"/>
            <w:tcBorders>
              <w:top w:val="nil"/>
              <w:left w:val="single" w:sz="4" w:space="0" w:color="auto"/>
              <w:bottom w:val="single" w:sz="4" w:space="0" w:color="auto"/>
              <w:right w:val="single" w:sz="4" w:space="0" w:color="auto"/>
            </w:tcBorders>
            <w:shd w:val="clear" w:color="auto" w:fill="auto"/>
            <w:noWrap/>
            <w:vAlign w:val="bottom"/>
            <w:hideMark/>
          </w:tcPr>
          <w:p w14:paraId="356FAD2F" w14:textId="77777777" w:rsidR="005E586A" w:rsidRPr="005E586A" w:rsidRDefault="005E586A" w:rsidP="005E586A">
            <w:pPr>
              <w:jc w:val="center"/>
              <w:rPr>
                <w:sz w:val="20"/>
                <w:szCs w:val="20"/>
              </w:rPr>
            </w:pPr>
          </w:p>
        </w:tc>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853C64F" w14:textId="77777777" w:rsidR="005E586A" w:rsidRPr="005E586A" w:rsidRDefault="005E586A" w:rsidP="005E586A">
            <w:pPr>
              <w:jc w:val="center"/>
              <w:rPr>
                <w:sz w:val="20"/>
                <w:szCs w:val="20"/>
              </w:rPr>
            </w:pPr>
          </w:p>
        </w:tc>
        <w:tc>
          <w:tcPr>
            <w:tcW w:w="653" w:type="dxa"/>
            <w:tcBorders>
              <w:top w:val="nil"/>
              <w:left w:val="single" w:sz="4" w:space="0" w:color="auto"/>
              <w:bottom w:val="single" w:sz="4" w:space="0" w:color="auto"/>
              <w:right w:val="single" w:sz="4" w:space="0" w:color="auto"/>
            </w:tcBorders>
            <w:shd w:val="clear" w:color="auto" w:fill="auto"/>
            <w:noWrap/>
            <w:vAlign w:val="bottom"/>
            <w:hideMark/>
          </w:tcPr>
          <w:p w14:paraId="60EB7D32" w14:textId="77777777" w:rsidR="005E586A" w:rsidRPr="005E586A" w:rsidRDefault="005E586A" w:rsidP="005E586A">
            <w:pPr>
              <w:jc w:val="center"/>
              <w:rPr>
                <w:sz w:val="20"/>
                <w:szCs w:val="20"/>
              </w:rPr>
            </w:pPr>
          </w:p>
        </w:tc>
        <w:tc>
          <w:tcPr>
            <w:tcW w:w="976" w:type="dxa"/>
            <w:tcBorders>
              <w:top w:val="nil"/>
              <w:left w:val="single" w:sz="4" w:space="0" w:color="auto"/>
              <w:bottom w:val="single" w:sz="4" w:space="0" w:color="auto"/>
              <w:right w:val="nil"/>
            </w:tcBorders>
            <w:shd w:val="clear" w:color="auto" w:fill="auto"/>
            <w:noWrap/>
            <w:vAlign w:val="bottom"/>
            <w:hideMark/>
          </w:tcPr>
          <w:p w14:paraId="452EBF5B" w14:textId="77777777" w:rsidR="005E586A" w:rsidRPr="005E586A" w:rsidRDefault="005E586A" w:rsidP="005E586A">
            <w:pPr>
              <w:jc w:val="center"/>
              <w:rPr>
                <w:sz w:val="20"/>
                <w:szCs w:val="20"/>
              </w:rPr>
            </w:pPr>
          </w:p>
        </w:tc>
        <w:tc>
          <w:tcPr>
            <w:tcW w:w="976" w:type="dxa"/>
            <w:tcBorders>
              <w:top w:val="nil"/>
              <w:left w:val="nil"/>
              <w:bottom w:val="nil"/>
              <w:right w:val="nil"/>
            </w:tcBorders>
            <w:shd w:val="clear" w:color="auto" w:fill="auto"/>
            <w:noWrap/>
            <w:vAlign w:val="bottom"/>
            <w:hideMark/>
          </w:tcPr>
          <w:p w14:paraId="2D6FD7E2" w14:textId="77777777" w:rsidR="005E586A" w:rsidRPr="005E586A" w:rsidRDefault="005E586A" w:rsidP="005E586A">
            <w:pPr>
              <w:jc w:val="center"/>
              <w:rPr>
                <w:sz w:val="20"/>
                <w:szCs w:val="20"/>
              </w:rPr>
            </w:pPr>
          </w:p>
        </w:tc>
      </w:tr>
      <w:tr w:rsidR="005E586A" w:rsidRPr="005E586A" w14:paraId="127F1151" w14:textId="77777777" w:rsidTr="005D5DC8">
        <w:trPr>
          <w:trHeight w:val="300"/>
        </w:trPr>
        <w:tc>
          <w:tcPr>
            <w:tcW w:w="2167" w:type="dxa"/>
            <w:tcBorders>
              <w:top w:val="nil"/>
              <w:left w:val="nil"/>
              <w:bottom w:val="nil"/>
              <w:right w:val="nil"/>
            </w:tcBorders>
            <w:shd w:val="clear" w:color="auto" w:fill="auto"/>
            <w:noWrap/>
            <w:vAlign w:val="bottom"/>
            <w:hideMark/>
          </w:tcPr>
          <w:p w14:paraId="0E23E42A"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ITC_2006</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11F4C566"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0,6026983</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459EFC"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0,0283802</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F12DF1"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21,2</w:t>
            </w: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7C7542"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0,000</w:t>
            </w: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03AB1E60"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0,547074</w:t>
            </w:r>
          </w:p>
        </w:tc>
        <w:tc>
          <w:tcPr>
            <w:tcW w:w="976" w:type="dxa"/>
            <w:tcBorders>
              <w:top w:val="nil"/>
              <w:left w:val="nil"/>
              <w:bottom w:val="nil"/>
              <w:right w:val="nil"/>
            </w:tcBorders>
            <w:shd w:val="clear" w:color="auto" w:fill="auto"/>
            <w:noWrap/>
            <w:vAlign w:val="bottom"/>
            <w:hideMark/>
          </w:tcPr>
          <w:p w14:paraId="56B9019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0,658323</w:t>
            </w:r>
          </w:p>
        </w:tc>
      </w:tr>
      <w:tr w:rsidR="005E586A" w:rsidRPr="005E586A" w14:paraId="4FC4A5A4" w14:textId="77777777" w:rsidTr="005D5DC8">
        <w:trPr>
          <w:trHeight w:val="300"/>
        </w:trPr>
        <w:tc>
          <w:tcPr>
            <w:tcW w:w="2167" w:type="dxa"/>
            <w:tcBorders>
              <w:top w:val="nil"/>
              <w:left w:val="nil"/>
              <w:bottom w:val="single" w:sz="4" w:space="0" w:color="auto"/>
              <w:right w:val="nil"/>
            </w:tcBorders>
            <w:shd w:val="clear" w:color="auto" w:fill="auto"/>
            <w:noWrap/>
            <w:vAlign w:val="bottom"/>
            <w:hideMark/>
          </w:tcPr>
          <w:p w14:paraId="2FC815E3"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_cons</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29FC678E"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1,205896</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1D6E01"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0,0344885</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11F7C7"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35</w:t>
            </w: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5B57D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0,000</w:t>
            </w: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2A45EF6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1,1383</w:t>
            </w:r>
          </w:p>
        </w:tc>
        <w:tc>
          <w:tcPr>
            <w:tcW w:w="976" w:type="dxa"/>
            <w:tcBorders>
              <w:top w:val="nil"/>
              <w:left w:val="nil"/>
              <w:bottom w:val="single" w:sz="4" w:space="0" w:color="auto"/>
              <w:right w:val="nil"/>
            </w:tcBorders>
            <w:shd w:val="clear" w:color="auto" w:fill="auto"/>
            <w:noWrap/>
            <w:vAlign w:val="bottom"/>
            <w:hideMark/>
          </w:tcPr>
          <w:p w14:paraId="57FE3F06"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1,273492</w:t>
            </w:r>
          </w:p>
        </w:tc>
      </w:tr>
      <w:tr w:rsidR="005E586A" w:rsidRPr="005E586A" w14:paraId="2552C4DD" w14:textId="77777777" w:rsidTr="005D5DC8">
        <w:trPr>
          <w:trHeight w:val="300"/>
        </w:trPr>
        <w:tc>
          <w:tcPr>
            <w:tcW w:w="2167" w:type="dxa"/>
            <w:tcBorders>
              <w:top w:val="nil"/>
              <w:left w:val="nil"/>
              <w:bottom w:val="nil"/>
              <w:right w:val="nil"/>
            </w:tcBorders>
            <w:shd w:val="clear" w:color="auto" w:fill="auto"/>
            <w:noWrap/>
            <w:vAlign w:val="bottom"/>
            <w:hideMark/>
          </w:tcPr>
          <w:p w14:paraId="461363F6" w14:textId="6F05A4D6"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propina_2006 &lt;-</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70EEB6F8" w14:textId="77777777" w:rsidR="005E586A" w:rsidRPr="005E586A" w:rsidRDefault="005E586A" w:rsidP="005E586A">
            <w:pPr>
              <w:jc w:val="center"/>
              <w:rPr>
                <w:rFonts w:ascii="Calibri" w:hAnsi="Calibri"/>
                <w:color w:val="000000"/>
                <w:sz w:val="22"/>
                <w:szCs w:val="22"/>
              </w:rPr>
            </w:pP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EE49CC" w14:textId="77777777" w:rsidR="005E586A" w:rsidRPr="005E586A" w:rsidRDefault="005E586A" w:rsidP="005E586A">
            <w:pPr>
              <w:jc w:val="center"/>
              <w:rPr>
                <w:sz w:val="20"/>
                <w:szCs w:val="20"/>
              </w:rPr>
            </w:pP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91DAC6" w14:textId="77777777" w:rsidR="005E586A" w:rsidRPr="005E586A" w:rsidRDefault="005E586A" w:rsidP="005E586A">
            <w:pPr>
              <w:jc w:val="center"/>
              <w:rPr>
                <w:sz w:val="20"/>
                <w:szCs w:val="20"/>
              </w:rPr>
            </w:pP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82923C" w14:textId="77777777" w:rsidR="005E586A" w:rsidRPr="005E586A" w:rsidRDefault="005E586A" w:rsidP="005E586A">
            <w:pPr>
              <w:jc w:val="center"/>
              <w:rPr>
                <w:sz w:val="20"/>
                <w:szCs w:val="20"/>
              </w:rPr>
            </w:pP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2A30B308" w14:textId="77777777" w:rsidR="005E586A" w:rsidRPr="005E586A" w:rsidRDefault="005E586A" w:rsidP="005E586A">
            <w:pPr>
              <w:jc w:val="center"/>
              <w:rPr>
                <w:sz w:val="20"/>
                <w:szCs w:val="20"/>
              </w:rPr>
            </w:pPr>
          </w:p>
        </w:tc>
        <w:tc>
          <w:tcPr>
            <w:tcW w:w="976" w:type="dxa"/>
            <w:tcBorders>
              <w:top w:val="nil"/>
              <w:left w:val="nil"/>
              <w:bottom w:val="nil"/>
              <w:right w:val="nil"/>
            </w:tcBorders>
            <w:shd w:val="clear" w:color="auto" w:fill="auto"/>
            <w:noWrap/>
            <w:vAlign w:val="bottom"/>
            <w:hideMark/>
          </w:tcPr>
          <w:p w14:paraId="29510C54" w14:textId="77777777" w:rsidR="005E586A" w:rsidRPr="005E586A" w:rsidRDefault="005E586A" w:rsidP="005E586A">
            <w:pPr>
              <w:jc w:val="center"/>
              <w:rPr>
                <w:sz w:val="20"/>
                <w:szCs w:val="20"/>
              </w:rPr>
            </w:pPr>
          </w:p>
        </w:tc>
      </w:tr>
      <w:tr w:rsidR="005E586A" w:rsidRPr="005E586A" w14:paraId="1EEA6826" w14:textId="77777777" w:rsidTr="005D5DC8">
        <w:trPr>
          <w:trHeight w:val="300"/>
        </w:trPr>
        <w:tc>
          <w:tcPr>
            <w:tcW w:w="2167" w:type="dxa"/>
            <w:tcBorders>
              <w:top w:val="nil"/>
              <w:left w:val="nil"/>
              <w:bottom w:val="nil"/>
              <w:right w:val="nil"/>
            </w:tcBorders>
            <w:shd w:val="clear" w:color="auto" w:fill="auto"/>
            <w:noWrap/>
            <w:vAlign w:val="bottom"/>
            <w:hideMark/>
          </w:tcPr>
          <w:p w14:paraId="73571DA9"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ITC_2006</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7019D241"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0,4900782</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A3FD2D"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0,0289157</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34810A"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17</w:t>
            </w: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47205E"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0,000</w:t>
            </w: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23B197C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0,433405</w:t>
            </w:r>
          </w:p>
        </w:tc>
        <w:tc>
          <w:tcPr>
            <w:tcW w:w="976" w:type="dxa"/>
            <w:tcBorders>
              <w:top w:val="nil"/>
              <w:left w:val="nil"/>
              <w:bottom w:val="nil"/>
              <w:right w:val="nil"/>
            </w:tcBorders>
            <w:shd w:val="clear" w:color="auto" w:fill="auto"/>
            <w:noWrap/>
            <w:vAlign w:val="bottom"/>
            <w:hideMark/>
          </w:tcPr>
          <w:p w14:paraId="6F18A121"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0,546752</w:t>
            </w:r>
          </w:p>
        </w:tc>
      </w:tr>
      <w:tr w:rsidR="005E586A" w:rsidRPr="005E586A" w14:paraId="1D48562C" w14:textId="77777777" w:rsidTr="005D5DC8">
        <w:trPr>
          <w:trHeight w:val="300"/>
        </w:trPr>
        <w:tc>
          <w:tcPr>
            <w:tcW w:w="2167" w:type="dxa"/>
            <w:tcBorders>
              <w:top w:val="nil"/>
              <w:left w:val="nil"/>
              <w:bottom w:val="single" w:sz="4" w:space="0" w:color="auto"/>
              <w:right w:val="nil"/>
            </w:tcBorders>
            <w:shd w:val="clear" w:color="auto" w:fill="auto"/>
            <w:noWrap/>
            <w:vAlign w:val="bottom"/>
            <w:hideMark/>
          </w:tcPr>
          <w:p w14:paraId="21AA48B5"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_cons</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1CB4057F"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1,01121</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43A663"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0,0322618</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53083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31,3</w:t>
            </w: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6F2789"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0,000</w:t>
            </w: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124C686C"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0,947979</w:t>
            </w:r>
          </w:p>
        </w:tc>
        <w:tc>
          <w:tcPr>
            <w:tcW w:w="976" w:type="dxa"/>
            <w:tcBorders>
              <w:top w:val="nil"/>
              <w:left w:val="nil"/>
              <w:bottom w:val="single" w:sz="4" w:space="0" w:color="auto"/>
              <w:right w:val="nil"/>
            </w:tcBorders>
            <w:shd w:val="clear" w:color="auto" w:fill="auto"/>
            <w:noWrap/>
            <w:vAlign w:val="bottom"/>
            <w:hideMark/>
          </w:tcPr>
          <w:p w14:paraId="184EACD0"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1,074442</w:t>
            </w:r>
          </w:p>
        </w:tc>
      </w:tr>
      <w:tr w:rsidR="005E586A" w:rsidRPr="005E586A" w14:paraId="12401CDC" w14:textId="77777777" w:rsidTr="005D5DC8">
        <w:trPr>
          <w:trHeight w:val="300"/>
        </w:trPr>
        <w:tc>
          <w:tcPr>
            <w:tcW w:w="2167" w:type="dxa"/>
            <w:tcBorders>
              <w:top w:val="nil"/>
              <w:left w:val="nil"/>
              <w:bottom w:val="nil"/>
              <w:right w:val="nil"/>
            </w:tcBorders>
            <w:shd w:val="clear" w:color="auto" w:fill="auto"/>
            <w:noWrap/>
            <w:vAlign w:val="bottom"/>
            <w:hideMark/>
          </w:tcPr>
          <w:p w14:paraId="7B1E88B5"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transporte_2006 &lt;-</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5D6F86D5" w14:textId="77777777" w:rsidR="005E586A" w:rsidRPr="005E586A" w:rsidRDefault="005E586A" w:rsidP="005E586A">
            <w:pPr>
              <w:jc w:val="center"/>
              <w:rPr>
                <w:rFonts w:ascii="Calibri" w:hAnsi="Calibri"/>
                <w:color w:val="000000"/>
                <w:sz w:val="22"/>
                <w:szCs w:val="22"/>
              </w:rPr>
            </w:pP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94759E" w14:textId="77777777" w:rsidR="005E586A" w:rsidRPr="005E586A" w:rsidRDefault="005E586A" w:rsidP="005E586A">
            <w:pPr>
              <w:jc w:val="center"/>
              <w:rPr>
                <w:sz w:val="20"/>
                <w:szCs w:val="20"/>
              </w:rPr>
            </w:pP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70F8E0" w14:textId="77777777" w:rsidR="005E586A" w:rsidRPr="005E586A" w:rsidRDefault="005E586A" w:rsidP="005E586A">
            <w:pPr>
              <w:jc w:val="center"/>
              <w:rPr>
                <w:sz w:val="20"/>
                <w:szCs w:val="20"/>
              </w:rPr>
            </w:pP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089859" w14:textId="77777777" w:rsidR="005E586A" w:rsidRPr="005E586A" w:rsidRDefault="005E586A" w:rsidP="005E586A">
            <w:pPr>
              <w:jc w:val="center"/>
              <w:rPr>
                <w:sz w:val="20"/>
                <w:szCs w:val="20"/>
              </w:rPr>
            </w:pP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55C9422E" w14:textId="77777777" w:rsidR="005E586A" w:rsidRPr="005E586A" w:rsidRDefault="005E586A" w:rsidP="005E586A">
            <w:pPr>
              <w:jc w:val="center"/>
              <w:rPr>
                <w:sz w:val="20"/>
                <w:szCs w:val="20"/>
              </w:rPr>
            </w:pPr>
          </w:p>
        </w:tc>
        <w:tc>
          <w:tcPr>
            <w:tcW w:w="976" w:type="dxa"/>
            <w:tcBorders>
              <w:top w:val="nil"/>
              <w:left w:val="nil"/>
              <w:bottom w:val="nil"/>
              <w:right w:val="nil"/>
            </w:tcBorders>
            <w:shd w:val="clear" w:color="auto" w:fill="auto"/>
            <w:noWrap/>
            <w:vAlign w:val="bottom"/>
            <w:hideMark/>
          </w:tcPr>
          <w:p w14:paraId="24FCD33A" w14:textId="77777777" w:rsidR="005E586A" w:rsidRPr="005E586A" w:rsidRDefault="005E586A" w:rsidP="005E586A">
            <w:pPr>
              <w:jc w:val="center"/>
              <w:rPr>
                <w:sz w:val="20"/>
                <w:szCs w:val="20"/>
              </w:rPr>
            </w:pPr>
          </w:p>
        </w:tc>
      </w:tr>
      <w:tr w:rsidR="005E586A" w:rsidRPr="005E586A" w14:paraId="658F82C5" w14:textId="77777777" w:rsidTr="005D5DC8">
        <w:trPr>
          <w:trHeight w:val="300"/>
        </w:trPr>
        <w:tc>
          <w:tcPr>
            <w:tcW w:w="2167" w:type="dxa"/>
            <w:tcBorders>
              <w:top w:val="nil"/>
              <w:left w:val="nil"/>
              <w:bottom w:val="nil"/>
              <w:right w:val="nil"/>
            </w:tcBorders>
            <w:shd w:val="clear" w:color="auto" w:fill="auto"/>
            <w:noWrap/>
            <w:vAlign w:val="bottom"/>
            <w:hideMark/>
          </w:tcPr>
          <w:p w14:paraId="409FCDA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ITC_2006</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4DA1868A"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0,549039</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B3342C"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0,0280448</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E5663C"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19,6</w:t>
            </w: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8FD501"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0,000</w:t>
            </w: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1CEB4C99"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0,494072</w:t>
            </w:r>
          </w:p>
        </w:tc>
        <w:tc>
          <w:tcPr>
            <w:tcW w:w="976" w:type="dxa"/>
            <w:tcBorders>
              <w:top w:val="nil"/>
              <w:left w:val="nil"/>
              <w:bottom w:val="nil"/>
              <w:right w:val="nil"/>
            </w:tcBorders>
            <w:shd w:val="clear" w:color="auto" w:fill="auto"/>
            <w:noWrap/>
            <w:vAlign w:val="bottom"/>
            <w:hideMark/>
          </w:tcPr>
          <w:p w14:paraId="09E65D21"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0,604006</w:t>
            </w:r>
          </w:p>
        </w:tc>
      </w:tr>
      <w:tr w:rsidR="005E586A" w:rsidRPr="005E586A" w14:paraId="655D79F0" w14:textId="77777777" w:rsidTr="005D5DC8">
        <w:trPr>
          <w:trHeight w:val="300"/>
        </w:trPr>
        <w:tc>
          <w:tcPr>
            <w:tcW w:w="2167" w:type="dxa"/>
            <w:tcBorders>
              <w:top w:val="nil"/>
              <w:left w:val="nil"/>
              <w:bottom w:val="single" w:sz="4" w:space="0" w:color="auto"/>
              <w:right w:val="nil"/>
            </w:tcBorders>
            <w:shd w:val="clear" w:color="auto" w:fill="auto"/>
            <w:noWrap/>
            <w:vAlign w:val="bottom"/>
            <w:hideMark/>
          </w:tcPr>
          <w:p w14:paraId="4D9899DB"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_cons</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72533BAD"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1,281932</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2542DF"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0,0354203</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835BEB"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36,2</w:t>
            </w: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6A50C4"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0,000</w:t>
            </w: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11A93590"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1,21251</w:t>
            </w:r>
          </w:p>
        </w:tc>
        <w:tc>
          <w:tcPr>
            <w:tcW w:w="976" w:type="dxa"/>
            <w:tcBorders>
              <w:top w:val="nil"/>
              <w:left w:val="nil"/>
              <w:bottom w:val="single" w:sz="4" w:space="0" w:color="auto"/>
              <w:right w:val="nil"/>
            </w:tcBorders>
            <w:shd w:val="clear" w:color="auto" w:fill="auto"/>
            <w:noWrap/>
            <w:vAlign w:val="bottom"/>
            <w:hideMark/>
          </w:tcPr>
          <w:p w14:paraId="23789E4B"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1,351355</w:t>
            </w:r>
          </w:p>
        </w:tc>
      </w:tr>
      <w:tr w:rsidR="005E586A" w:rsidRPr="005E586A" w14:paraId="3A159BF4" w14:textId="77777777" w:rsidTr="005D5DC8">
        <w:trPr>
          <w:trHeight w:val="300"/>
        </w:trPr>
        <w:tc>
          <w:tcPr>
            <w:tcW w:w="2167" w:type="dxa"/>
            <w:tcBorders>
              <w:top w:val="nil"/>
              <w:left w:val="nil"/>
              <w:bottom w:val="nil"/>
              <w:right w:val="nil"/>
            </w:tcBorders>
            <w:shd w:val="clear" w:color="auto" w:fill="auto"/>
            <w:noWrap/>
            <w:vAlign w:val="bottom"/>
            <w:hideMark/>
          </w:tcPr>
          <w:p w14:paraId="4E1BCC1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beneficio_2006 &lt;-</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1B71A1BE" w14:textId="77777777" w:rsidR="005E586A" w:rsidRPr="005E586A" w:rsidRDefault="005E586A" w:rsidP="005E586A">
            <w:pPr>
              <w:jc w:val="center"/>
              <w:rPr>
                <w:rFonts w:ascii="Calibri" w:hAnsi="Calibri"/>
                <w:color w:val="000000"/>
                <w:sz w:val="22"/>
                <w:szCs w:val="22"/>
              </w:rPr>
            </w:pP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56B483" w14:textId="77777777" w:rsidR="005E586A" w:rsidRPr="005E586A" w:rsidRDefault="005E586A" w:rsidP="005E586A">
            <w:pPr>
              <w:jc w:val="center"/>
              <w:rPr>
                <w:sz w:val="20"/>
                <w:szCs w:val="20"/>
              </w:rPr>
            </w:pP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57F22A" w14:textId="77777777" w:rsidR="005E586A" w:rsidRPr="005E586A" w:rsidRDefault="005E586A" w:rsidP="005E586A">
            <w:pPr>
              <w:jc w:val="center"/>
              <w:rPr>
                <w:sz w:val="20"/>
                <w:szCs w:val="20"/>
              </w:rPr>
            </w:pP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F1F061" w14:textId="77777777" w:rsidR="005E586A" w:rsidRPr="005E586A" w:rsidRDefault="005E586A" w:rsidP="005E586A">
            <w:pPr>
              <w:jc w:val="center"/>
              <w:rPr>
                <w:sz w:val="20"/>
                <w:szCs w:val="20"/>
              </w:rPr>
            </w:pP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5A9F78C7" w14:textId="77777777" w:rsidR="005E586A" w:rsidRPr="005E586A" w:rsidRDefault="005E586A" w:rsidP="005E586A">
            <w:pPr>
              <w:jc w:val="center"/>
              <w:rPr>
                <w:sz w:val="20"/>
                <w:szCs w:val="20"/>
              </w:rPr>
            </w:pPr>
          </w:p>
        </w:tc>
        <w:tc>
          <w:tcPr>
            <w:tcW w:w="976" w:type="dxa"/>
            <w:tcBorders>
              <w:top w:val="nil"/>
              <w:left w:val="nil"/>
              <w:bottom w:val="nil"/>
              <w:right w:val="nil"/>
            </w:tcBorders>
            <w:shd w:val="clear" w:color="auto" w:fill="auto"/>
            <w:noWrap/>
            <w:vAlign w:val="bottom"/>
            <w:hideMark/>
          </w:tcPr>
          <w:p w14:paraId="32E94555" w14:textId="77777777" w:rsidR="005E586A" w:rsidRPr="005E586A" w:rsidRDefault="005E586A" w:rsidP="005E586A">
            <w:pPr>
              <w:jc w:val="center"/>
              <w:rPr>
                <w:sz w:val="20"/>
                <w:szCs w:val="20"/>
              </w:rPr>
            </w:pPr>
          </w:p>
        </w:tc>
      </w:tr>
      <w:tr w:rsidR="005E586A" w:rsidRPr="005E586A" w14:paraId="612B90E2" w14:textId="77777777" w:rsidTr="005D5DC8">
        <w:trPr>
          <w:trHeight w:val="300"/>
        </w:trPr>
        <w:tc>
          <w:tcPr>
            <w:tcW w:w="2167" w:type="dxa"/>
            <w:tcBorders>
              <w:top w:val="nil"/>
              <w:left w:val="nil"/>
              <w:bottom w:val="nil"/>
              <w:right w:val="nil"/>
            </w:tcBorders>
            <w:shd w:val="clear" w:color="auto" w:fill="auto"/>
            <w:noWrap/>
            <w:vAlign w:val="bottom"/>
            <w:hideMark/>
          </w:tcPr>
          <w:p w14:paraId="6A0CC3D1"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ITC_2006</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06C12383"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0,6045358</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7C125C"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0,0286971</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D92EFC"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21,1</w:t>
            </w: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EC5209"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w:t>
            </w: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371410F7"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0,548291</w:t>
            </w:r>
          </w:p>
        </w:tc>
        <w:tc>
          <w:tcPr>
            <w:tcW w:w="976" w:type="dxa"/>
            <w:tcBorders>
              <w:top w:val="nil"/>
              <w:left w:val="nil"/>
              <w:bottom w:val="nil"/>
              <w:right w:val="nil"/>
            </w:tcBorders>
            <w:shd w:val="clear" w:color="auto" w:fill="auto"/>
            <w:noWrap/>
            <w:vAlign w:val="bottom"/>
            <w:hideMark/>
          </w:tcPr>
          <w:p w14:paraId="17DBAA93"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0,660781</w:t>
            </w:r>
          </w:p>
        </w:tc>
      </w:tr>
      <w:tr w:rsidR="005E586A" w:rsidRPr="005E586A" w14:paraId="51514A3F" w14:textId="77777777" w:rsidTr="005D5DC8">
        <w:trPr>
          <w:trHeight w:val="300"/>
        </w:trPr>
        <w:tc>
          <w:tcPr>
            <w:tcW w:w="2167" w:type="dxa"/>
            <w:tcBorders>
              <w:top w:val="nil"/>
              <w:left w:val="nil"/>
              <w:bottom w:val="single" w:sz="4" w:space="0" w:color="auto"/>
              <w:right w:val="nil"/>
            </w:tcBorders>
            <w:shd w:val="clear" w:color="auto" w:fill="auto"/>
            <w:noWrap/>
            <w:vAlign w:val="bottom"/>
            <w:hideMark/>
          </w:tcPr>
          <w:p w14:paraId="5F6212E1"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_cons</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507B2757"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1,124393</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A11A23"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0,0335269</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7468EA"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33,5</w:t>
            </w: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E99553"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w:t>
            </w: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0A127377"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1,058681</w:t>
            </w:r>
          </w:p>
        </w:tc>
        <w:tc>
          <w:tcPr>
            <w:tcW w:w="976" w:type="dxa"/>
            <w:tcBorders>
              <w:top w:val="nil"/>
              <w:left w:val="nil"/>
              <w:bottom w:val="single" w:sz="4" w:space="0" w:color="auto"/>
              <w:right w:val="nil"/>
            </w:tcBorders>
            <w:shd w:val="clear" w:color="auto" w:fill="auto"/>
            <w:noWrap/>
            <w:vAlign w:val="bottom"/>
            <w:hideMark/>
          </w:tcPr>
          <w:p w14:paraId="00E44C57"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1,190104</w:t>
            </w:r>
          </w:p>
        </w:tc>
      </w:tr>
      <w:tr w:rsidR="005E586A" w:rsidRPr="005E586A" w14:paraId="70379E5E" w14:textId="77777777" w:rsidTr="005D5DC8">
        <w:trPr>
          <w:trHeight w:val="300"/>
        </w:trPr>
        <w:tc>
          <w:tcPr>
            <w:tcW w:w="2167" w:type="dxa"/>
            <w:tcBorders>
              <w:top w:val="nil"/>
              <w:left w:val="nil"/>
              <w:bottom w:val="nil"/>
              <w:right w:val="nil"/>
            </w:tcBorders>
            <w:shd w:val="clear" w:color="auto" w:fill="auto"/>
            <w:noWrap/>
            <w:vAlign w:val="bottom"/>
            <w:hideMark/>
          </w:tcPr>
          <w:p w14:paraId="369A25E9" w14:textId="58EED545" w:rsidR="005E586A" w:rsidRPr="005E586A" w:rsidRDefault="005D5DC8" w:rsidP="005E586A">
            <w:pPr>
              <w:jc w:val="center"/>
              <w:rPr>
                <w:rFonts w:ascii="Calibri" w:hAnsi="Calibri"/>
                <w:color w:val="000000"/>
                <w:sz w:val="22"/>
                <w:szCs w:val="22"/>
              </w:rPr>
            </w:pPr>
            <w:r>
              <w:rPr>
                <w:rFonts w:ascii="Calibri" w:hAnsi="Calibri"/>
                <w:color w:val="000000"/>
                <w:sz w:val="22"/>
                <w:szCs w:val="22"/>
              </w:rPr>
              <w:t>Variança</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52AD2479" w14:textId="77777777" w:rsidR="005E586A" w:rsidRPr="005E586A" w:rsidRDefault="005E586A" w:rsidP="005E586A">
            <w:pPr>
              <w:jc w:val="center"/>
              <w:rPr>
                <w:rFonts w:ascii="Calibri" w:hAnsi="Calibri"/>
                <w:color w:val="000000"/>
                <w:sz w:val="22"/>
                <w:szCs w:val="22"/>
              </w:rPr>
            </w:pP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5D2513" w14:textId="77777777" w:rsidR="005E586A" w:rsidRPr="005E586A" w:rsidRDefault="005E586A" w:rsidP="005E586A">
            <w:pPr>
              <w:jc w:val="center"/>
              <w:rPr>
                <w:sz w:val="20"/>
                <w:szCs w:val="20"/>
              </w:rPr>
            </w:pP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64320E" w14:textId="77777777" w:rsidR="005E586A" w:rsidRPr="005E586A" w:rsidRDefault="005E586A" w:rsidP="005E586A">
            <w:pPr>
              <w:jc w:val="center"/>
              <w:rPr>
                <w:sz w:val="20"/>
                <w:szCs w:val="20"/>
              </w:rPr>
            </w:pP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E108FF" w14:textId="77777777" w:rsidR="005E586A" w:rsidRPr="005E586A" w:rsidRDefault="005E586A" w:rsidP="005E586A">
            <w:pPr>
              <w:jc w:val="center"/>
              <w:rPr>
                <w:sz w:val="20"/>
                <w:szCs w:val="20"/>
              </w:rPr>
            </w:pP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7D22E42B" w14:textId="77777777" w:rsidR="005E586A" w:rsidRPr="005E586A" w:rsidRDefault="005E586A" w:rsidP="005E586A">
            <w:pPr>
              <w:jc w:val="center"/>
              <w:rPr>
                <w:sz w:val="20"/>
                <w:szCs w:val="20"/>
              </w:rPr>
            </w:pPr>
          </w:p>
        </w:tc>
        <w:tc>
          <w:tcPr>
            <w:tcW w:w="976" w:type="dxa"/>
            <w:tcBorders>
              <w:top w:val="nil"/>
              <w:left w:val="nil"/>
              <w:bottom w:val="nil"/>
              <w:right w:val="nil"/>
            </w:tcBorders>
            <w:shd w:val="clear" w:color="auto" w:fill="auto"/>
            <w:noWrap/>
            <w:vAlign w:val="bottom"/>
            <w:hideMark/>
          </w:tcPr>
          <w:p w14:paraId="3E98350A" w14:textId="77777777" w:rsidR="005E586A" w:rsidRPr="005E586A" w:rsidRDefault="005E586A" w:rsidP="005E586A">
            <w:pPr>
              <w:jc w:val="center"/>
              <w:rPr>
                <w:sz w:val="20"/>
                <w:szCs w:val="20"/>
              </w:rPr>
            </w:pPr>
          </w:p>
        </w:tc>
      </w:tr>
      <w:tr w:rsidR="005E586A" w:rsidRPr="005E586A" w14:paraId="23F65E92" w14:textId="77777777" w:rsidTr="005D5DC8">
        <w:trPr>
          <w:trHeight w:val="300"/>
        </w:trPr>
        <w:tc>
          <w:tcPr>
            <w:tcW w:w="2167" w:type="dxa"/>
            <w:tcBorders>
              <w:top w:val="nil"/>
              <w:left w:val="nil"/>
              <w:bottom w:val="nil"/>
              <w:right w:val="nil"/>
            </w:tcBorders>
            <w:shd w:val="clear" w:color="auto" w:fill="auto"/>
            <w:noWrap/>
            <w:vAlign w:val="bottom"/>
            <w:hideMark/>
          </w:tcPr>
          <w:p w14:paraId="20C35EE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e.impostos_2006</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021CAD59"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0,6367548</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32D240"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0,0342094</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B8AD75" w14:textId="77777777" w:rsidR="005E586A" w:rsidRPr="005E586A" w:rsidRDefault="005E586A" w:rsidP="005E586A">
            <w:pPr>
              <w:jc w:val="center"/>
              <w:rPr>
                <w:rFonts w:ascii="Calibri" w:hAnsi="Calibri"/>
                <w:color w:val="000000"/>
                <w:sz w:val="22"/>
                <w:szCs w:val="22"/>
              </w:rPr>
            </w:pP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E32192" w14:textId="77777777" w:rsidR="005E586A" w:rsidRPr="005E586A" w:rsidRDefault="005E586A" w:rsidP="005E586A">
            <w:pPr>
              <w:jc w:val="center"/>
              <w:rPr>
                <w:sz w:val="20"/>
                <w:szCs w:val="20"/>
              </w:rPr>
            </w:pP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0C8B9D22"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0,573115</w:t>
            </w:r>
          </w:p>
        </w:tc>
        <w:tc>
          <w:tcPr>
            <w:tcW w:w="976" w:type="dxa"/>
            <w:tcBorders>
              <w:top w:val="nil"/>
              <w:left w:val="nil"/>
              <w:bottom w:val="nil"/>
              <w:right w:val="nil"/>
            </w:tcBorders>
            <w:shd w:val="clear" w:color="auto" w:fill="auto"/>
            <w:noWrap/>
            <w:vAlign w:val="bottom"/>
            <w:hideMark/>
          </w:tcPr>
          <w:p w14:paraId="6317D294"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0,707461</w:t>
            </w:r>
          </w:p>
        </w:tc>
      </w:tr>
      <w:tr w:rsidR="005E586A" w:rsidRPr="005E586A" w14:paraId="7B7929ED" w14:textId="77777777" w:rsidTr="005D5DC8">
        <w:trPr>
          <w:trHeight w:val="300"/>
        </w:trPr>
        <w:tc>
          <w:tcPr>
            <w:tcW w:w="2167" w:type="dxa"/>
            <w:tcBorders>
              <w:top w:val="nil"/>
              <w:left w:val="nil"/>
              <w:bottom w:val="nil"/>
              <w:right w:val="nil"/>
            </w:tcBorders>
            <w:shd w:val="clear" w:color="auto" w:fill="auto"/>
            <w:noWrap/>
            <w:vAlign w:val="bottom"/>
            <w:hideMark/>
          </w:tcPr>
          <w:p w14:paraId="3D96C29C"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e.propina_2006</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5BB49DA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0,7598233</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111EB5"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0,0283419</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D3D614" w14:textId="77777777" w:rsidR="005E586A" w:rsidRPr="005E586A" w:rsidRDefault="005E586A" w:rsidP="005E586A">
            <w:pPr>
              <w:jc w:val="center"/>
              <w:rPr>
                <w:rFonts w:ascii="Calibri" w:hAnsi="Calibri"/>
                <w:color w:val="000000"/>
                <w:sz w:val="22"/>
                <w:szCs w:val="22"/>
              </w:rPr>
            </w:pP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C88C51" w14:textId="77777777" w:rsidR="005E586A" w:rsidRPr="005E586A" w:rsidRDefault="005E586A" w:rsidP="005E586A">
            <w:pPr>
              <w:jc w:val="center"/>
              <w:rPr>
                <w:sz w:val="20"/>
                <w:szCs w:val="20"/>
              </w:rPr>
            </w:pP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67BBCB1A"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0,706256</w:t>
            </w:r>
          </w:p>
        </w:tc>
        <w:tc>
          <w:tcPr>
            <w:tcW w:w="976" w:type="dxa"/>
            <w:tcBorders>
              <w:top w:val="nil"/>
              <w:left w:val="nil"/>
              <w:bottom w:val="nil"/>
              <w:right w:val="nil"/>
            </w:tcBorders>
            <w:shd w:val="clear" w:color="auto" w:fill="auto"/>
            <w:noWrap/>
            <w:vAlign w:val="bottom"/>
            <w:hideMark/>
          </w:tcPr>
          <w:p w14:paraId="2A6B8FD2"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0,817453</w:t>
            </w:r>
          </w:p>
        </w:tc>
      </w:tr>
      <w:tr w:rsidR="005E586A" w:rsidRPr="005E586A" w14:paraId="26DD40B4" w14:textId="77777777" w:rsidTr="005D5DC8">
        <w:trPr>
          <w:trHeight w:val="300"/>
        </w:trPr>
        <w:tc>
          <w:tcPr>
            <w:tcW w:w="2167" w:type="dxa"/>
            <w:tcBorders>
              <w:top w:val="nil"/>
              <w:left w:val="nil"/>
              <w:bottom w:val="nil"/>
              <w:right w:val="nil"/>
            </w:tcBorders>
            <w:shd w:val="clear" w:color="auto" w:fill="auto"/>
            <w:noWrap/>
            <w:vAlign w:val="bottom"/>
            <w:hideMark/>
          </w:tcPr>
          <w:p w14:paraId="724A639A"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e.transporte_2006</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2ADC0A8D"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0,6985562</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8D8396"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0,0307954</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FDEC75" w14:textId="77777777" w:rsidR="005E586A" w:rsidRPr="005E586A" w:rsidRDefault="005E586A" w:rsidP="005E586A">
            <w:pPr>
              <w:jc w:val="center"/>
              <w:rPr>
                <w:rFonts w:ascii="Calibri" w:hAnsi="Calibri"/>
                <w:color w:val="000000"/>
                <w:sz w:val="22"/>
                <w:szCs w:val="22"/>
              </w:rPr>
            </w:pP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650B9C" w14:textId="77777777" w:rsidR="005E586A" w:rsidRPr="005E586A" w:rsidRDefault="005E586A" w:rsidP="005E586A">
            <w:pPr>
              <w:jc w:val="center"/>
              <w:rPr>
                <w:sz w:val="20"/>
                <w:szCs w:val="20"/>
              </w:rPr>
            </w:pP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7C7B47F8"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0,640732</w:t>
            </w:r>
          </w:p>
        </w:tc>
        <w:tc>
          <w:tcPr>
            <w:tcW w:w="976" w:type="dxa"/>
            <w:tcBorders>
              <w:top w:val="nil"/>
              <w:left w:val="nil"/>
              <w:bottom w:val="nil"/>
              <w:right w:val="nil"/>
            </w:tcBorders>
            <w:shd w:val="clear" w:color="auto" w:fill="auto"/>
            <w:noWrap/>
            <w:vAlign w:val="bottom"/>
            <w:hideMark/>
          </w:tcPr>
          <w:p w14:paraId="2084EF4E"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0,761598</w:t>
            </w:r>
          </w:p>
        </w:tc>
      </w:tr>
      <w:tr w:rsidR="005E586A" w:rsidRPr="005E586A" w14:paraId="53A03A8D" w14:textId="77777777" w:rsidTr="005D5DC8">
        <w:trPr>
          <w:trHeight w:val="300"/>
        </w:trPr>
        <w:tc>
          <w:tcPr>
            <w:tcW w:w="2167" w:type="dxa"/>
            <w:tcBorders>
              <w:top w:val="nil"/>
              <w:left w:val="nil"/>
              <w:bottom w:val="nil"/>
              <w:right w:val="nil"/>
            </w:tcBorders>
            <w:shd w:val="clear" w:color="auto" w:fill="auto"/>
            <w:noWrap/>
            <w:vAlign w:val="bottom"/>
            <w:hideMark/>
          </w:tcPr>
          <w:p w14:paraId="11080A2B"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e.beneficio_2006</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7C7ABFC0"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0,6345365</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B286E"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0,0346968</w:t>
            </w:r>
          </w:p>
        </w:tc>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EACB39" w14:textId="77777777" w:rsidR="005E586A" w:rsidRPr="005E586A" w:rsidRDefault="005E586A" w:rsidP="005E586A">
            <w:pPr>
              <w:jc w:val="center"/>
              <w:rPr>
                <w:rFonts w:ascii="Calibri" w:hAnsi="Calibri"/>
                <w:color w:val="000000"/>
                <w:sz w:val="22"/>
                <w:szCs w:val="22"/>
              </w:rPr>
            </w:pPr>
          </w:p>
        </w:tc>
        <w:tc>
          <w:tcPr>
            <w:tcW w:w="6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82F338" w14:textId="77777777" w:rsidR="005E586A" w:rsidRPr="005E586A" w:rsidRDefault="005E586A" w:rsidP="005E586A">
            <w:pPr>
              <w:jc w:val="center"/>
              <w:rPr>
                <w:sz w:val="20"/>
                <w:szCs w:val="20"/>
              </w:rPr>
            </w:pP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64B976F2"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0,570049</w:t>
            </w:r>
          </w:p>
        </w:tc>
        <w:tc>
          <w:tcPr>
            <w:tcW w:w="976" w:type="dxa"/>
            <w:tcBorders>
              <w:top w:val="nil"/>
              <w:left w:val="nil"/>
              <w:bottom w:val="nil"/>
              <w:right w:val="nil"/>
            </w:tcBorders>
            <w:shd w:val="clear" w:color="auto" w:fill="auto"/>
            <w:noWrap/>
            <w:vAlign w:val="bottom"/>
            <w:hideMark/>
          </w:tcPr>
          <w:p w14:paraId="3A150652"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0,706319</w:t>
            </w:r>
          </w:p>
        </w:tc>
      </w:tr>
      <w:tr w:rsidR="005E586A" w:rsidRPr="005E586A" w14:paraId="5AF278F2" w14:textId="77777777" w:rsidTr="005D5DC8">
        <w:trPr>
          <w:trHeight w:val="300"/>
        </w:trPr>
        <w:tc>
          <w:tcPr>
            <w:tcW w:w="2167" w:type="dxa"/>
            <w:tcBorders>
              <w:top w:val="nil"/>
              <w:left w:val="nil"/>
              <w:bottom w:val="single" w:sz="4" w:space="0" w:color="auto"/>
              <w:right w:val="nil"/>
            </w:tcBorders>
            <w:shd w:val="clear" w:color="auto" w:fill="auto"/>
            <w:noWrap/>
            <w:vAlign w:val="bottom"/>
            <w:hideMark/>
          </w:tcPr>
          <w:p w14:paraId="44F306FE"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ITC_2006</w:t>
            </w:r>
          </w:p>
        </w:tc>
        <w:tc>
          <w:tcPr>
            <w:tcW w:w="1202" w:type="dxa"/>
            <w:tcBorders>
              <w:top w:val="single" w:sz="4" w:space="0" w:color="auto"/>
              <w:left w:val="nil"/>
              <w:bottom w:val="single" w:sz="4" w:space="0" w:color="auto"/>
              <w:right w:val="single" w:sz="4" w:space="0" w:color="auto"/>
            </w:tcBorders>
            <w:shd w:val="clear" w:color="auto" w:fill="auto"/>
            <w:noWrap/>
            <w:vAlign w:val="bottom"/>
            <w:hideMark/>
          </w:tcPr>
          <w:p w14:paraId="3A601AF6"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1</w:t>
            </w:r>
          </w:p>
        </w:tc>
        <w:tc>
          <w:tcPr>
            <w:tcW w:w="1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F71D4C"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w:t>
            </w:r>
          </w:p>
        </w:tc>
        <w:tc>
          <w:tcPr>
            <w:tcW w:w="530" w:type="dxa"/>
            <w:tcBorders>
              <w:top w:val="single" w:sz="4" w:space="0" w:color="auto"/>
              <w:left w:val="single" w:sz="4" w:space="0" w:color="auto"/>
              <w:bottom w:val="nil"/>
              <w:right w:val="single" w:sz="4" w:space="0" w:color="auto"/>
            </w:tcBorders>
            <w:shd w:val="clear" w:color="auto" w:fill="auto"/>
            <w:noWrap/>
            <w:vAlign w:val="bottom"/>
            <w:hideMark/>
          </w:tcPr>
          <w:p w14:paraId="0A2B9C7E" w14:textId="77777777" w:rsidR="005E586A" w:rsidRPr="005E586A" w:rsidRDefault="005E586A" w:rsidP="005E586A">
            <w:pPr>
              <w:jc w:val="center"/>
              <w:rPr>
                <w:rFonts w:ascii="Calibri" w:hAnsi="Calibri"/>
                <w:color w:val="000000"/>
                <w:sz w:val="22"/>
                <w:szCs w:val="22"/>
              </w:rPr>
            </w:pPr>
          </w:p>
        </w:tc>
        <w:tc>
          <w:tcPr>
            <w:tcW w:w="653" w:type="dxa"/>
            <w:tcBorders>
              <w:top w:val="single" w:sz="4" w:space="0" w:color="auto"/>
              <w:left w:val="single" w:sz="4" w:space="0" w:color="auto"/>
              <w:bottom w:val="nil"/>
              <w:right w:val="single" w:sz="4" w:space="0" w:color="auto"/>
            </w:tcBorders>
            <w:shd w:val="clear" w:color="auto" w:fill="auto"/>
            <w:noWrap/>
            <w:vAlign w:val="bottom"/>
            <w:hideMark/>
          </w:tcPr>
          <w:p w14:paraId="461F43DF" w14:textId="77777777" w:rsidR="005E586A" w:rsidRPr="005E586A" w:rsidRDefault="005E586A" w:rsidP="005E586A">
            <w:pPr>
              <w:jc w:val="center"/>
              <w:rPr>
                <w:sz w:val="20"/>
                <w:szCs w:val="20"/>
              </w:rPr>
            </w:pP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387BA165"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w:t>
            </w:r>
          </w:p>
        </w:tc>
        <w:tc>
          <w:tcPr>
            <w:tcW w:w="976" w:type="dxa"/>
            <w:tcBorders>
              <w:top w:val="nil"/>
              <w:left w:val="nil"/>
              <w:bottom w:val="single" w:sz="4" w:space="0" w:color="auto"/>
              <w:right w:val="nil"/>
            </w:tcBorders>
            <w:shd w:val="clear" w:color="auto" w:fill="auto"/>
            <w:noWrap/>
            <w:vAlign w:val="bottom"/>
            <w:hideMark/>
          </w:tcPr>
          <w:p w14:paraId="79EB824B" w14:textId="77777777" w:rsidR="005E586A" w:rsidRPr="005E586A" w:rsidRDefault="005E586A" w:rsidP="005E586A">
            <w:pPr>
              <w:jc w:val="center"/>
              <w:rPr>
                <w:rFonts w:ascii="Calibri" w:hAnsi="Calibri"/>
                <w:color w:val="000000"/>
                <w:sz w:val="22"/>
                <w:szCs w:val="22"/>
              </w:rPr>
            </w:pPr>
            <w:r w:rsidRPr="005E586A">
              <w:rPr>
                <w:rFonts w:ascii="Calibri" w:hAnsi="Calibri"/>
                <w:color w:val="000000"/>
                <w:sz w:val="22"/>
                <w:szCs w:val="22"/>
              </w:rPr>
              <w:t>.</w:t>
            </w:r>
          </w:p>
        </w:tc>
      </w:tr>
      <w:tr w:rsidR="005E586A" w:rsidRPr="005D065B" w14:paraId="3BB462DA" w14:textId="77777777" w:rsidTr="009E5478">
        <w:trPr>
          <w:trHeight w:val="300"/>
        </w:trPr>
        <w:tc>
          <w:tcPr>
            <w:tcW w:w="7706" w:type="dxa"/>
            <w:gridSpan w:val="7"/>
            <w:tcBorders>
              <w:top w:val="single" w:sz="4" w:space="0" w:color="auto"/>
              <w:left w:val="nil"/>
              <w:bottom w:val="nil"/>
              <w:right w:val="nil"/>
            </w:tcBorders>
            <w:shd w:val="clear" w:color="auto" w:fill="auto"/>
            <w:noWrap/>
            <w:vAlign w:val="bottom"/>
            <w:hideMark/>
          </w:tcPr>
          <w:p w14:paraId="2316C5F1" w14:textId="77777777" w:rsidR="005E586A" w:rsidRPr="005E586A" w:rsidRDefault="005E586A" w:rsidP="005E586A">
            <w:pPr>
              <w:jc w:val="center"/>
              <w:rPr>
                <w:rFonts w:ascii="Calibri" w:hAnsi="Calibri"/>
                <w:color w:val="000000"/>
                <w:sz w:val="22"/>
                <w:szCs w:val="22"/>
                <w:lang w:val="en-US"/>
              </w:rPr>
            </w:pPr>
            <w:r w:rsidRPr="005E586A">
              <w:rPr>
                <w:rFonts w:ascii="Calibri" w:hAnsi="Calibri"/>
                <w:color w:val="000000"/>
                <w:sz w:val="22"/>
                <w:szCs w:val="22"/>
                <w:lang w:val="en-US"/>
              </w:rPr>
              <w:t>LR test of model vs. saturated: chi2(2)   =     45,97, Prob &gt; chi2 = 0,0000</w:t>
            </w:r>
          </w:p>
        </w:tc>
      </w:tr>
    </w:tbl>
    <w:p w14:paraId="4C880CA4" w14:textId="77777777" w:rsidR="005E586A" w:rsidRPr="005E586A" w:rsidRDefault="005E586A" w:rsidP="006967AF">
      <w:pPr>
        <w:rPr>
          <w:rFonts w:asciiTheme="minorHAnsi" w:hAnsiTheme="minorHAnsi"/>
          <w:lang w:val="en-US"/>
        </w:rPr>
      </w:pPr>
    </w:p>
    <w:p w14:paraId="1DB76176" w14:textId="77777777" w:rsidR="009E5478" w:rsidRPr="005E586A" w:rsidRDefault="009E5478" w:rsidP="009E5478">
      <w:pPr>
        <w:jc w:val="center"/>
        <w:rPr>
          <w:rFonts w:asciiTheme="minorHAnsi" w:hAnsiTheme="minorHAnsi"/>
          <w:b/>
        </w:rPr>
      </w:pPr>
      <w:r w:rsidRPr="005E586A">
        <w:rPr>
          <w:rFonts w:asciiTheme="minorHAnsi" w:hAnsiTheme="minorHAnsi"/>
          <w:b/>
        </w:rPr>
        <w:t>Variância</w:t>
      </w:r>
      <w:r>
        <w:rPr>
          <w:rFonts w:asciiTheme="minorHAnsi" w:hAnsiTheme="minorHAnsi"/>
          <w:b/>
        </w:rPr>
        <w:t xml:space="preserve"> predita</w:t>
      </w:r>
    </w:p>
    <w:tbl>
      <w:tblPr>
        <w:tblW w:w="7573" w:type="dxa"/>
        <w:tblCellMar>
          <w:left w:w="70" w:type="dxa"/>
          <w:right w:w="70" w:type="dxa"/>
        </w:tblCellMar>
        <w:tblLook w:val="04A0" w:firstRow="1" w:lastRow="0" w:firstColumn="1" w:lastColumn="0" w:noHBand="0" w:noVBand="1"/>
      </w:tblPr>
      <w:tblGrid>
        <w:gridCol w:w="2200"/>
        <w:gridCol w:w="933"/>
        <w:gridCol w:w="1080"/>
        <w:gridCol w:w="880"/>
        <w:gridCol w:w="1060"/>
        <w:gridCol w:w="660"/>
        <w:gridCol w:w="760"/>
      </w:tblGrid>
      <w:tr w:rsidR="009E5478" w:rsidRPr="00C467D1" w14:paraId="1E0379A1" w14:textId="77777777" w:rsidTr="004A44C1">
        <w:trPr>
          <w:trHeight w:val="300"/>
        </w:trPr>
        <w:tc>
          <w:tcPr>
            <w:tcW w:w="2200" w:type="dxa"/>
            <w:tcBorders>
              <w:top w:val="nil"/>
              <w:left w:val="nil"/>
              <w:bottom w:val="single" w:sz="4" w:space="0" w:color="auto"/>
              <w:right w:val="nil"/>
            </w:tcBorders>
            <w:shd w:val="clear" w:color="auto" w:fill="auto"/>
            <w:noWrap/>
            <w:vAlign w:val="bottom"/>
            <w:hideMark/>
          </w:tcPr>
          <w:p w14:paraId="1F22AE1B" w14:textId="72B8A9E9" w:rsidR="009E5478" w:rsidRPr="00C467D1" w:rsidRDefault="005D5DC8" w:rsidP="008947A7">
            <w:pPr>
              <w:rPr>
                <w:rFonts w:ascii="Calibri" w:hAnsi="Calibri"/>
                <w:color w:val="000000"/>
                <w:sz w:val="22"/>
                <w:szCs w:val="22"/>
              </w:rPr>
            </w:pPr>
            <w:r>
              <w:rPr>
                <w:rFonts w:ascii="Calibri" w:hAnsi="Calibri"/>
                <w:color w:val="000000"/>
                <w:sz w:val="22"/>
                <w:szCs w:val="22"/>
              </w:rPr>
              <w:t>Variáveis dependentes</w:t>
            </w:r>
          </w:p>
        </w:tc>
        <w:tc>
          <w:tcPr>
            <w:tcW w:w="933" w:type="dxa"/>
            <w:tcBorders>
              <w:top w:val="nil"/>
              <w:left w:val="nil"/>
              <w:bottom w:val="single" w:sz="4" w:space="0" w:color="auto"/>
              <w:right w:val="nil"/>
            </w:tcBorders>
            <w:shd w:val="clear" w:color="auto" w:fill="auto"/>
            <w:noWrap/>
            <w:vAlign w:val="bottom"/>
            <w:hideMark/>
          </w:tcPr>
          <w:p w14:paraId="107E0B2B" w14:textId="5C4BC468" w:rsidR="009E5478" w:rsidRPr="00C467D1" w:rsidRDefault="005D5DC8" w:rsidP="008947A7">
            <w:pPr>
              <w:rPr>
                <w:rFonts w:ascii="Calibri" w:hAnsi="Calibri"/>
                <w:color w:val="000000"/>
                <w:sz w:val="22"/>
                <w:szCs w:val="22"/>
              </w:rPr>
            </w:pPr>
            <w:r>
              <w:rPr>
                <w:rFonts w:ascii="Calibri" w:hAnsi="Calibri"/>
                <w:color w:val="000000"/>
                <w:sz w:val="22"/>
                <w:szCs w:val="22"/>
              </w:rPr>
              <w:t>Ajustado</w:t>
            </w:r>
          </w:p>
        </w:tc>
        <w:tc>
          <w:tcPr>
            <w:tcW w:w="1080" w:type="dxa"/>
            <w:tcBorders>
              <w:top w:val="nil"/>
              <w:left w:val="nil"/>
              <w:bottom w:val="single" w:sz="4" w:space="0" w:color="auto"/>
              <w:right w:val="nil"/>
            </w:tcBorders>
            <w:shd w:val="clear" w:color="auto" w:fill="auto"/>
            <w:noWrap/>
            <w:vAlign w:val="bottom"/>
            <w:hideMark/>
          </w:tcPr>
          <w:p w14:paraId="4E7F1D6D" w14:textId="685C1424" w:rsidR="009E5478" w:rsidRPr="00C467D1" w:rsidRDefault="005D5DC8" w:rsidP="008947A7">
            <w:pPr>
              <w:rPr>
                <w:rFonts w:ascii="Calibri" w:hAnsi="Calibri"/>
                <w:color w:val="000000"/>
                <w:sz w:val="22"/>
                <w:szCs w:val="22"/>
              </w:rPr>
            </w:pPr>
            <w:r>
              <w:rPr>
                <w:rFonts w:ascii="Calibri" w:hAnsi="Calibri"/>
                <w:color w:val="000000"/>
                <w:sz w:val="22"/>
                <w:szCs w:val="22"/>
              </w:rPr>
              <w:t>Predito</w:t>
            </w:r>
          </w:p>
        </w:tc>
        <w:tc>
          <w:tcPr>
            <w:tcW w:w="880" w:type="dxa"/>
            <w:tcBorders>
              <w:top w:val="nil"/>
              <w:left w:val="nil"/>
              <w:bottom w:val="single" w:sz="4" w:space="0" w:color="auto"/>
              <w:right w:val="nil"/>
            </w:tcBorders>
            <w:shd w:val="clear" w:color="auto" w:fill="auto"/>
            <w:noWrap/>
            <w:vAlign w:val="bottom"/>
            <w:hideMark/>
          </w:tcPr>
          <w:p w14:paraId="7D98D043" w14:textId="3E068BA3" w:rsidR="009E5478" w:rsidRPr="00C467D1" w:rsidRDefault="005D5DC8" w:rsidP="008947A7">
            <w:pPr>
              <w:rPr>
                <w:rFonts w:ascii="Calibri" w:hAnsi="Calibri"/>
                <w:color w:val="000000"/>
                <w:sz w:val="22"/>
                <w:szCs w:val="22"/>
              </w:rPr>
            </w:pPr>
            <w:r>
              <w:rPr>
                <w:rFonts w:ascii="Calibri" w:hAnsi="Calibri"/>
                <w:color w:val="000000"/>
                <w:sz w:val="22"/>
                <w:szCs w:val="22"/>
              </w:rPr>
              <w:t xml:space="preserve">Resíduo </w:t>
            </w:r>
          </w:p>
        </w:tc>
        <w:tc>
          <w:tcPr>
            <w:tcW w:w="1060" w:type="dxa"/>
            <w:tcBorders>
              <w:top w:val="nil"/>
              <w:left w:val="nil"/>
              <w:bottom w:val="single" w:sz="4" w:space="0" w:color="auto"/>
              <w:right w:val="nil"/>
            </w:tcBorders>
            <w:shd w:val="clear" w:color="auto" w:fill="auto"/>
            <w:noWrap/>
            <w:vAlign w:val="bottom"/>
            <w:hideMark/>
          </w:tcPr>
          <w:p w14:paraId="6A7A893B" w14:textId="7A772FC4" w:rsidR="009E5478" w:rsidRPr="00C467D1" w:rsidRDefault="005D5DC8" w:rsidP="008947A7">
            <w:pPr>
              <w:rPr>
                <w:rFonts w:ascii="Calibri" w:hAnsi="Calibri"/>
                <w:color w:val="000000"/>
                <w:sz w:val="22"/>
                <w:szCs w:val="22"/>
              </w:rPr>
            </w:pPr>
            <w:r w:rsidRPr="004A44C1">
              <w:rPr>
                <w:rFonts w:ascii="Calibri" w:hAnsi="Calibri"/>
                <w:color w:val="000000"/>
                <w:sz w:val="18"/>
                <w:szCs w:val="22"/>
              </w:rPr>
              <w:t>R-quadrado</w:t>
            </w:r>
          </w:p>
        </w:tc>
        <w:tc>
          <w:tcPr>
            <w:tcW w:w="660" w:type="dxa"/>
            <w:tcBorders>
              <w:top w:val="nil"/>
              <w:left w:val="nil"/>
              <w:bottom w:val="single" w:sz="4" w:space="0" w:color="auto"/>
              <w:right w:val="nil"/>
            </w:tcBorders>
            <w:shd w:val="clear" w:color="auto" w:fill="auto"/>
            <w:noWrap/>
            <w:vAlign w:val="bottom"/>
            <w:hideMark/>
          </w:tcPr>
          <w:p w14:paraId="79EF960A"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mc</w:t>
            </w:r>
          </w:p>
        </w:tc>
        <w:tc>
          <w:tcPr>
            <w:tcW w:w="760" w:type="dxa"/>
            <w:tcBorders>
              <w:top w:val="nil"/>
              <w:left w:val="nil"/>
              <w:bottom w:val="single" w:sz="4" w:space="0" w:color="auto"/>
              <w:right w:val="nil"/>
            </w:tcBorders>
            <w:shd w:val="clear" w:color="auto" w:fill="auto"/>
            <w:noWrap/>
            <w:vAlign w:val="bottom"/>
            <w:hideMark/>
          </w:tcPr>
          <w:p w14:paraId="775BF644"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mc2</w:t>
            </w:r>
          </w:p>
        </w:tc>
      </w:tr>
      <w:tr w:rsidR="009E5478" w:rsidRPr="00C467D1" w14:paraId="49896724" w14:textId="77777777" w:rsidTr="004A44C1">
        <w:trPr>
          <w:trHeight w:val="300"/>
        </w:trPr>
        <w:tc>
          <w:tcPr>
            <w:tcW w:w="2200" w:type="dxa"/>
            <w:tcBorders>
              <w:top w:val="nil"/>
              <w:left w:val="nil"/>
              <w:bottom w:val="nil"/>
              <w:right w:val="nil"/>
            </w:tcBorders>
            <w:shd w:val="clear" w:color="auto" w:fill="auto"/>
            <w:noWrap/>
            <w:vAlign w:val="bottom"/>
            <w:hideMark/>
          </w:tcPr>
          <w:p w14:paraId="40A56309"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imposto~2006</w:t>
            </w:r>
          </w:p>
        </w:tc>
        <w:tc>
          <w:tcPr>
            <w:tcW w:w="933" w:type="dxa"/>
            <w:tcBorders>
              <w:top w:val="nil"/>
              <w:left w:val="nil"/>
              <w:bottom w:val="nil"/>
              <w:right w:val="nil"/>
            </w:tcBorders>
            <w:shd w:val="clear" w:color="auto" w:fill="auto"/>
            <w:noWrap/>
            <w:vAlign w:val="bottom"/>
            <w:hideMark/>
          </w:tcPr>
          <w:p w14:paraId="23D52B29"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9,090</w:t>
            </w:r>
          </w:p>
        </w:tc>
        <w:tc>
          <w:tcPr>
            <w:tcW w:w="1080" w:type="dxa"/>
            <w:tcBorders>
              <w:top w:val="nil"/>
              <w:left w:val="nil"/>
              <w:bottom w:val="nil"/>
              <w:right w:val="nil"/>
            </w:tcBorders>
            <w:shd w:val="clear" w:color="auto" w:fill="auto"/>
            <w:noWrap/>
            <w:vAlign w:val="bottom"/>
            <w:hideMark/>
          </w:tcPr>
          <w:p w14:paraId="43E58409"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3,302</w:t>
            </w:r>
          </w:p>
        </w:tc>
        <w:tc>
          <w:tcPr>
            <w:tcW w:w="880" w:type="dxa"/>
            <w:tcBorders>
              <w:top w:val="nil"/>
              <w:left w:val="nil"/>
              <w:bottom w:val="nil"/>
              <w:right w:val="nil"/>
            </w:tcBorders>
            <w:shd w:val="clear" w:color="auto" w:fill="auto"/>
            <w:noWrap/>
            <w:vAlign w:val="bottom"/>
            <w:hideMark/>
          </w:tcPr>
          <w:p w14:paraId="57071354"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5,788</w:t>
            </w:r>
          </w:p>
        </w:tc>
        <w:tc>
          <w:tcPr>
            <w:tcW w:w="1060" w:type="dxa"/>
            <w:tcBorders>
              <w:top w:val="nil"/>
              <w:left w:val="nil"/>
              <w:bottom w:val="nil"/>
              <w:right w:val="nil"/>
            </w:tcBorders>
            <w:shd w:val="clear" w:color="auto" w:fill="auto"/>
            <w:noWrap/>
            <w:vAlign w:val="bottom"/>
            <w:hideMark/>
          </w:tcPr>
          <w:p w14:paraId="457D50FC"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0,363</w:t>
            </w:r>
          </w:p>
        </w:tc>
        <w:tc>
          <w:tcPr>
            <w:tcW w:w="660" w:type="dxa"/>
            <w:tcBorders>
              <w:top w:val="nil"/>
              <w:left w:val="nil"/>
              <w:bottom w:val="nil"/>
              <w:right w:val="nil"/>
            </w:tcBorders>
            <w:shd w:val="clear" w:color="auto" w:fill="auto"/>
            <w:noWrap/>
            <w:vAlign w:val="bottom"/>
            <w:hideMark/>
          </w:tcPr>
          <w:p w14:paraId="7398BAB8"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0,603</w:t>
            </w:r>
          </w:p>
        </w:tc>
        <w:tc>
          <w:tcPr>
            <w:tcW w:w="760" w:type="dxa"/>
            <w:tcBorders>
              <w:top w:val="nil"/>
              <w:left w:val="nil"/>
              <w:bottom w:val="nil"/>
              <w:right w:val="nil"/>
            </w:tcBorders>
            <w:shd w:val="clear" w:color="auto" w:fill="auto"/>
            <w:noWrap/>
            <w:vAlign w:val="bottom"/>
            <w:hideMark/>
          </w:tcPr>
          <w:p w14:paraId="4540299E"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0,363</w:t>
            </w:r>
          </w:p>
        </w:tc>
      </w:tr>
      <w:tr w:rsidR="009E5478" w:rsidRPr="00C467D1" w14:paraId="2C534489" w14:textId="77777777" w:rsidTr="004A44C1">
        <w:trPr>
          <w:trHeight w:val="300"/>
        </w:trPr>
        <w:tc>
          <w:tcPr>
            <w:tcW w:w="2200" w:type="dxa"/>
            <w:tcBorders>
              <w:top w:val="nil"/>
              <w:left w:val="nil"/>
              <w:bottom w:val="nil"/>
              <w:right w:val="nil"/>
            </w:tcBorders>
            <w:shd w:val="clear" w:color="auto" w:fill="auto"/>
            <w:noWrap/>
            <w:vAlign w:val="bottom"/>
            <w:hideMark/>
          </w:tcPr>
          <w:p w14:paraId="3746BAA1"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propina_2006</w:t>
            </w:r>
          </w:p>
        </w:tc>
        <w:tc>
          <w:tcPr>
            <w:tcW w:w="933" w:type="dxa"/>
            <w:tcBorders>
              <w:top w:val="nil"/>
              <w:left w:val="nil"/>
              <w:bottom w:val="nil"/>
              <w:right w:val="nil"/>
            </w:tcBorders>
            <w:shd w:val="clear" w:color="000000" w:fill="FFFF00"/>
            <w:noWrap/>
            <w:vAlign w:val="bottom"/>
            <w:hideMark/>
          </w:tcPr>
          <w:p w14:paraId="2F727134"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3,314</w:t>
            </w:r>
          </w:p>
        </w:tc>
        <w:tc>
          <w:tcPr>
            <w:tcW w:w="1080" w:type="dxa"/>
            <w:tcBorders>
              <w:top w:val="nil"/>
              <w:left w:val="nil"/>
              <w:bottom w:val="nil"/>
              <w:right w:val="nil"/>
            </w:tcBorders>
            <w:shd w:val="clear" w:color="000000" w:fill="FFFF00"/>
            <w:noWrap/>
            <w:vAlign w:val="bottom"/>
            <w:hideMark/>
          </w:tcPr>
          <w:p w14:paraId="546DB301"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0,796</w:t>
            </w:r>
          </w:p>
        </w:tc>
        <w:tc>
          <w:tcPr>
            <w:tcW w:w="880" w:type="dxa"/>
            <w:tcBorders>
              <w:top w:val="nil"/>
              <w:left w:val="nil"/>
              <w:bottom w:val="nil"/>
              <w:right w:val="nil"/>
            </w:tcBorders>
            <w:shd w:val="clear" w:color="000000" w:fill="FFFF00"/>
            <w:noWrap/>
            <w:vAlign w:val="bottom"/>
            <w:hideMark/>
          </w:tcPr>
          <w:p w14:paraId="0F790269"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2,518</w:t>
            </w:r>
          </w:p>
        </w:tc>
        <w:tc>
          <w:tcPr>
            <w:tcW w:w="1060" w:type="dxa"/>
            <w:tcBorders>
              <w:top w:val="nil"/>
              <w:left w:val="nil"/>
              <w:bottom w:val="nil"/>
              <w:right w:val="nil"/>
            </w:tcBorders>
            <w:shd w:val="clear" w:color="auto" w:fill="auto"/>
            <w:noWrap/>
            <w:vAlign w:val="bottom"/>
            <w:hideMark/>
          </w:tcPr>
          <w:p w14:paraId="305E2FD7"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0,240</w:t>
            </w:r>
          </w:p>
        </w:tc>
        <w:tc>
          <w:tcPr>
            <w:tcW w:w="660" w:type="dxa"/>
            <w:tcBorders>
              <w:top w:val="nil"/>
              <w:left w:val="nil"/>
              <w:bottom w:val="nil"/>
              <w:right w:val="nil"/>
            </w:tcBorders>
            <w:shd w:val="clear" w:color="auto" w:fill="auto"/>
            <w:noWrap/>
            <w:vAlign w:val="bottom"/>
            <w:hideMark/>
          </w:tcPr>
          <w:p w14:paraId="285E1FB4"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0,490</w:t>
            </w:r>
          </w:p>
        </w:tc>
        <w:tc>
          <w:tcPr>
            <w:tcW w:w="760" w:type="dxa"/>
            <w:tcBorders>
              <w:top w:val="nil"/>
              <w:left w:val="nil"/>
              <w:bottom w:val="nil"/>
              <w:right w:val="nil"/>
            </w:tcBorders>
            <w:shd w:val="clear" w:color="auto" w:fill="auto"/>
            <w:noWrap/>
            <w:vAlign w:val="bottom"/>
            <w:hideMark/>
          </w:tcPr>
          <w:p w14:paraId="3DF2F2A4"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0,240</w:t>
            </w:r>
          </w:p>
        </w:tc>
      </w:tr>
      <w:tr w:rsidR="009E5478" w:rsidRPr="00C467D1" w14:paraId="5A878551" w14:textId="77777777" w:rsidTr="004A44C1">
        <w:trPr>
          <w:trHeight w:val="300"/>
        </w:trPr>
        <w:tc>
          <w:tcPr>
            <w:tcW w:w="2200" w:type="dxa"/>
            <w:tcBorders>
              <w:top w:val="nil"/>
              <w:left w:val="nil"/>
              <w:bottom w:val="nil"/>
              <w:right w:val="nil"/>
            </w:tcBorders>
            <w:shd w:val="clear" w:color="auto" w:fill="auto"/>
            <w:noWrap/>
            <w:vAlign w:val="bottom"/>
            <w:hideMark/>
          </w:tcPr>
          <w:p w14:paraId="11791623"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transpo~2006</w:t>
            </w:r>
          </w:p>
        </w:tc>
        <w:tc>
          <w:tcPr>
            <w:tcW w:w="933" w:type="dxa"/>
            <w:tcBorders>
              <w:top w:val="nil"/>
              <w:left w:val="nil"/>
              <w:bottom w:val="nil"/>
              <w:right w:val="nil"/>
            </w:tcBorders>
            <w:shd w:val="clear" w:color="auto" w:fill="auto"/>
            <w:noWrap/>
            <w:vAlign w:val="bottom"/>
            <w:hideMark/>
          </w:tcPr>
          <w:p w14:paraId="6D52F270"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9,476</w:t>
            </w:r>
          </w:p>
        </w:tc>
        <w:tc>
          <w:tcPr>
            <w:tcW w:w="1080" w:type="dxa"/>
            <w:tcBorders>
              <w:top w:val="nil"/>
              <w:left w:val="nil"/>
              <w:bottom w:val="nil"/>
              <w:right w:val="nil"/>
            </w:tcBorders>
            <w:shd w:val="clear" w:color="auto" w:fill="auto"/>
            <w:noWrap/>
            <w:vAlign w:val="bottom"/>
            <w:hideMark/>
          </w:tcPr>
          <w:p w14:paraId="222B9598"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2,857</w:t>
            </w:r>
          </w:p>
        </w:tc>
        <w:tc>
          <w:tcPr>
            <w:tcW w:w="880" w:type="dxa"/>
            <w:tcBorders>
              <w:top w:val="nil"/>
              <w:left w:val="nil"/>
              <w:bottom w:val="nil"/>
              <w:right w:val="nil"/>
            </w:tcBorders>
            <w:shd w:val="clear" w:color="auto" w:fill="auto"/>
            <w:noWrap/>
            <w:vAlign w:val="bottom"/>
            <w:hideMark/>
          </w:tcPr>
          <w:p w14:paraId="7D16B910"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6,620</w:t>
            </w:r>
          </w:p>
        </w:tc>
        <w:tc>
          <w:tcPr>
            <w:tcW w:w="1060" w:type="dxa"/>
            <w:tcBorders>
              <w:top w:val="nil"/>
              <w:left w:val="nil"/>
              <w:bottom w:val="nil"/>
              <w:right w:val="nil"/>
            </w:tcBorders>
            <w:shd w:val="clear" w:color="auto" w:fill="auto"/>
            <w:noWrap/>
            <w:vAlign w:val="bottom"/>
            <w:hideMark/>
          </w:tcPr>
          <w:p w14:paraId="6BC69AA3"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0,301</w:t>
            </w:r>
          </w:p>
        </w:tc>
        <w:tc>
          <w:tcPr>
            <w:tcW w:w="660" w:type="dxa"/>
            <w:tcBorders>
              <w:top w:val="nil"/>
              <w:left w:val="nil"/>
              <w:bottom w:val="nil"/>
              <w:right w:val="nil"/>
            </w:tcBorders>
            <w:shd w:val="clear" w:color="auto" w:fill="auto"/>
            <w:noWrap/>
            <w:vAlign w:val="bottom"/>
            <w:hideMark/>
          </w:tcPr>
          <w:p w14:paraId="3D275AEC"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0,549</w:t>
            </w:r>
          </w:p>
        </w:tc>
        <w:tc>
          <w:tcPr>
            <w:tcW w:w="760" w:type="dxa"/>
            <w:tcBorders>
              <w:top w:val="nil"/>
              <w:left w:val="nil"/>
              <w:bottom w:val="nil"/>
              <w:right w:val="nil"/>
            </w:tcBorders>
            <w:shd w:val="clear" w:color="auto" w:fill="auto"/>
            <w:noWrap/>
            <w:vAlign w:val="bottom"/>
            <w:hideMark/>
          </w:tcPr>
          <w:p w14:paraId="29D7E561"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0,301</w:t>
            </w:r>
          </w:p>
        </w:tc>
      </w:tr>
      <w:tr w:rsidR="009E5478" w:rsidRPr="00C467D1" w14:paraId="704F8F3C" w14:textId="77777777" w:rsidTr="004A44C1">
        <w:trPr>
          <w:trHeight w:val="300"/>
        </w:trPr>
        <w:tc>
          <w:tcPr>
            <w:tcW w:w="2200" w:type="dxa"/>
            <w:tcBorders>
              <w:top w:val="nil"/>
              <w:left w:val="nil"/>
              <w:bottom w:val="single" w:sz="4" w:space="0" w:color="auto"/>
              <w:right w:val="nil"/>
            </w:tcBorders>
            <w:shd w:val="clear" w:color="auto" w:fill="auto"/>
            <w:noWrap/>
            <w:vAlign w:val="bottom"/>
            <w:hideMark/>
          </w:tcPr>
          <w:p w14:paraId="1C124E6B"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benefic~2006</w:t>
            </w:r>
          </w:p>
        </w:tc>
        <w:tc>
          <w:tcPr>
            <w:tcW w:w="933" w:type="dxa"/>
            <w:tcBorders>
              <w:top w:val="nil"/>
              <w:left w:val="nil"/>
              <w:bottom w:val="single" w:sz="4" w:space="0" w:color="auto"/>
              <w:right w:val="nil"/>
            </w:tcBorders>
            <w:shd w:val="clear" w:color="auto" w:fill="auto"/>
            <w:noWrap/>
            <w:vAlign w:val="bottom"/>
            <w:hideMark/>
          </w:tcPr>
          <w:p w14:paraId="0557181F"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5,904</w:t>
            </w:r>
          </w:p>
        </w:tc>
        <w:tc>
          <w:tcPr>
            <w:tcW w:w="1080" w:type="dxa"/>
            <w:tcBorders>
              <w:top w:val="nil"/>
              <w:left w:val="nil"/>
              <w:bottom w:val="single" w:sz="4" w:space="0" w:color="auto"/>
              <w:right w:val="nil"/>
            </w:tcBorders>
            <w:shd w:val="clear" w:color="auto" w:fill="auto"/>
            <w:noWrap/>
            <w:vAlign w:val="bottom"/>
            <w:hideMark/>
          </w:tcPr>
          <w:p w14:paraId="7945080B"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2,158</w:t>
            </w:r>
          </w:p>
        </w:tc>
        <w:tc>
          <w:tcPr>
            <w:tcW w:w="880" w:type="dxa"/>
            <w:tcBorders>
              <w:top w:val="nil"/>
              <w:left w:val="nil"/>
              <w:bottom w:val="single" w:sz="4" w:space="0" w:color="auto"/>
              <w:right w:val="nil"/>
            </w:tcBorders>
            <w:shd w:val="clear" w:color="auto" w:fill="auto"/>
            <w:noWrap/>
            <w:vAlign w:val="bottom"/>
            <w:hideMark/>
          </w:tcPr>
          <w:p w14:paraId="68528355"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3,746</w:t>
            </w:r>
          </w:p>
        </w:tc>
        <w:tc>
          <w:tcPr>
            <w:tcW w:w="1060" w:type="dxa"/>
            <w:tcBorders>
              <w:top w:val="nil"/>
              <w:left w:val="nil"/>
              <w:bottom w:val="single" w:sz="4" w:space="0" w:color="auto"/>
              <w:right w:val="nil"/>
            </w:tcBorders>
            <w:shd w:val="clear" w:color="auto" w:fill="auto"/>
            <w:noWrap/>
            <w:vAlign w:val="bottom"/>
            <w:hideMark/>
          </w:tcPr>
          <w:p w14:paraId="40853F1A"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0,365</w:t>
            </w:r>
          </w:p>
        </w:tc>
        <w:tc>
          <w:tcPr>
            <w:tcW w:w="660" w:type="dxa"/>
            <w:tcBorders>
              <w:top w:val="nil"/>
              <w:left w:val="nil"/>
              <w:bottom w:val="single" w:sz="4" w:space="0" w:color="auto"/>
              <w:right w:val="nil"/>
            </w:tcBorders>
            <w:shd w:val="clear" w:color="auto" w:fill="auto"/>
            <w:noWrap/>
            <w:vAlign w:val="bottom"/>
            <w:hideMark/>
          </w:tcPr>
          <w:p w14:paraId="52D29F83"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0,605</w:t>
            </w:r>
          </w:p>
        </w:tc>
        <w:tc>
          <w:tcPr>
            <w:tcW w:w="760" w:type="dxa"/>
            <w:tcBorders>
              <w:top w:val="nil"/>
              <w:left w:val="nil"/>
              <w:bottom w:val="single" w:sz="4" w:space="0" w:color="auto"/>
              <w:right w:val="nil"/>
            </w:tcBorders>
            <w:shd w:val="clear" w:color="auto" w:fill="auto"/>
            <w:noWrap/>
            <w:vAlign w:val="bottom"/>
            <w:hideMark/>
          </w:tcPr>
          <w:p w14:paraId="753E40F9"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0,365</w:t>
            </w:r>
          </w:p>
        </w:tc>
      </w:tr>
      <w:tr w:rsidR="009E5478" w:rsidRPr="00C467D1" w14:paraId="201408B5" w14:textId="77777777" w:rsidTr="004A44C1">
        <w:trPr>
          <w:trHeight w:val="300"/>
        </w:trPr>
        <w:tc>
          <w:tcPr>
            <w:tcW w:w="2200" w:type="dxa"/>
            <w:tcBorders>
              <w:top w:val="single" w:sz="4" w:space="0" w:color="auto"/>
              <w:left w:val="nil"/>
              <w:bottom w:val="single" w:sz="4" w:space="0" w:color="auto"/>
              <w:right w:val="nil"/>
            </w:tcBorders>
            <w:shd w:val="clear" w:color="auto" w:fill="auto"/>
            <w:noWrap/>
            <w:vAlign w:val="bottom"/>
            <w:hideMark/>
          </w:tcPr>
          <w:p w14:paraId="3736D786"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overall</w:t>
            </w:r>
          </w:p>
        </w:tc>
        <w:tc>
          <w:tcPr>
            <w:tcW w:w="933" w:type="dxa"/>
            <w:tcBorders>
              <w:top w:val="single" w:sz="4" w:space="0" w:color="auto"/>
              <w:left w:val="nil"/>
              <w:bottom w:val="single" w:sz="4" w:space="0" w:color="auto"/>
              <w:right w:val="nil"/>
            </w:tcBorders>
            <w:shd w:val="clear" w:color="auto" w:fill="auto"/>
            <w:noWrap/>
            <w:vAlign w:val="bottom"/>
            <w:hideMark/>
          </w:tcPr>
          <w:p w14:paraId="4DF70AB8"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 </w:t>
            </w:r>
          </w:p>
        </w:tc>
        <w:tc>
          <w:tcPr>
            <w:tcW w:w="1080" w:type="dxa"/>
            <w:tcBorders>
              <w:top w:val="single" w:sz="4" w:space="0" w:color="auto"/>
              <w:left w:val="nil"/>
              <w:bottom w:val="single" w:sz="4" w:space="0" w:color="auto"/>
              <w:right w:val="nil"/>
            </w:tcBorders>
            <w:shd w:val="clear" w:color="auto" w:fill="auto"/>
            <w:noWrap/>
            <w:vAlign w:val="bottom"/>
            <w:hideMark/>
          </w:tcPr>
          <w:p w14:paraId="196302EC"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 </w:t>
            </w:r>
          </w:p>
        </w:tc>
        <w:tc>
          <w:tcPr>
            <w:tcW w:w="880" w:type="dxa"/>
            <w:tcBorders>
              <w:top w:val="single" w:sz="4" w:space="0" w:color="auto"/>
              <w:left w:val="nil"/>
              <w:bottom w:val="single" w:sz="4" w:space="0" w:color="auto"/>
              <w:right w:val="nil"/>
            </w:tcBorders>
            <w:shd w:val="clear" w:color="auto" w:fill="auto"/>
            <w:noWrap/>
            <w:vAlign w:val="bottom"/>
            <w:hideMark/>
          </w:tcPr>
          <w:p w14:paraId="0673D58E"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 </w:t>
            </w:r>
          </w:p>
        </w:tc>
        <w:tc>
          <w:tcPr>
            <w:tcW w:w="1060" w:type="dxa"/>
            <w:tcBorders>
              <w:top w:val="single" w:sz="4" w:space="0" w:color="auto"/>
              <w:left w:val="nil"/>
              <w:bottom w:val="single" w:sz="4" w:space="0" w:color="auto"/>
              <w:right w:val="nil"/>
            </w:tcBorders>
            <w:shd w:val="clear" w:color="auto" w:fill="auto"/>
            <w:noWrap/>
            <w:vAlign w:val="bottom"/>
            <w:hideMark/>
          </w:tcPr>
          <w:p w14:paraId="24D45672" w14:textId="77777777" w:rsidR="009E5478" w:rsidRPr="00C467D1" w:rsidRDefault="009E5478" w:rsidP="008947A7">
            <w:pPr>
              <w:jc w:val="right"/>
              <w:rPr>
                <w:rFonts w:ascii="Calibri" w:hAnsi="Calibri"/>
                <w:color w:val="000000"/>
                <w:sz w:val="22"/>
                <w:szCs w:val="22"/>
              </w:rPr>
            </w:pPr>
            <w:r w:rsidRPr="00C467D1">
              <w:rPr>
                <w:rFonts w:ascii="Calibri" w:hAnsi="Calibri"/>
                <w:color w:val="000000"/>
                <w:sz w:val="22"/>
                <w:szCs w:val="22"/>
              </w:rPr>
              <w:t>0,654</w:t>
            </w:r>
          </w:p>
        </w:tc>
        <w:tc>
          <w:tcPr>
            <w:tcW w:w="660" w:type="dxa"/>
            <w:tcBorders>
              <w:top w:val="single" w:sz="4" w:space="0" w:color="auto"/>
              <w:left w:val="nil"/>
              <w:bottom w:val="single" w:sz="4" w:space="0" w:color="auto"/>
              <w:right w:val="nil"/>
            </w:tcBorders>
            <w:shd w:val="clear" w:color="auto" w:fill="auto"/>
            <w:noWrap/>
            <w:vAlign w:val="bottom"/>
            <w:hideMark/>
          </w:tcPr>
          <w:p w14:paraId="01050D30"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 </w:t>
            </w:r>
          </w:p>
        </w:tc>
        <w:tc>
          <w:tcPr>
            <w:tcW w:w="760" w:type="dxa"/>
            <w:tcBorders>
              <w:top w:val="single" w:sz="4" w:space="0" w:color="auto"/>
              <w:left w:val="nil"/>
              <w:bottom w:val="single" w:sz="4" w:space="0" w:color="auto"/>
              <w:right w:val="nil"/>
            </w:tcBorders>
            <w:shd w:val="clear" w:color="auto" w:fill="auto"/>
            <w:noWrap/>
            <w:vAlign w:val="bottom"/>
            <w:hideMark/>
          </w:tcPr>
          <w:p w14:paraId="39D79FA3" w14:textId="77777777" w:rsidR="009E5478" w:rsidRPr="00C467D1" w:rsidRDefault="009E5478" w:rsidP="008947A7">
            <w:pPr>
              <w:rPr>
                <w:rFonts w:ascii="Calibri" w:hAnsi="Calibri"/>
                <w:color w:val="000000"/>
                <w:sz w:val="22"/>
                <w:szCs w:val="22"/>
              </w:rPr>
            </w:pPr>
            <w:r w:rsidRPr="00C467D1">
              <w:rPr>
                <w:rFonts w:ascii="Calibri" w:hAnsi="Calibri"/>
                <w:color w:val="000000"/>
                <w:sz w:val="22"/>
                <w:szCs w:val="22"/>
              </w:rPr>
              <w:t> </w:t>
            </w:r>
          </w:p>
        </w:tc>
      </w:tr>
    </w:tbl>
    <w:p w14:paraId="3B9EDA8D" w14:textId="77777777" w:rsidR="009E5478" w:rsidRDefault="009E5478" w:rsidP="009E5478">
      <w:pPr>
        <w:jc w:val="both"/>
        <w:rPr>
          <w:rFonts w:asciiTheme="minorHAnsi" w:hAnsiTheme="minorHAnsi"/>
        </w:rPr>
      </w:pPr>
    </w:p>
    <w:p w14:paraId="61EB1C48" w14:textId="77777777" w:rsidR="009E5478" w:rsidRDefault="009E5478" w:rsidP="005E586A">
      <w:pPr>
        <w:jc w:val="both"/>
        <w:rPr>
          <w:rFonts w:asciiTheme="minorHAnsi" w:hAnsiTheme="minorHAnsi"/>
        </w:rPr>
      </w:pPr>
    </w:p>
    <w:p w14:paraId="75684EAB" w14:textId="77777777" w:rsidR="004A44C1" w:rsidRDefault="004A44C1" w:rsidP="005E586A">
      <w:pPr>
        <w:jc w:val="both"/>
        <w:rPr>
          <w:rFonts w:asciiTheme="minorHAnsi" w:hAnsiTheme="minorHAnsi"/>
        </w:rPr>
      </w:pPr>
    </w:p>
    <w:p w14:paraId="3D9EE65D" w14:textId="77777777" w:rsidR="004A44C1" w:rsidRDefault="004A44C1" w:rsidP="005E586A">
      <w:pPr>
        <w:jc w:val="both"/>
        <w:rPr>
          <w:rFonts w:asciiTheme="minorHAnsi" w:hAnsiTheme="minorHAnsi"/>
        </w:rPr>
      </w:pPr>
    </w:p>
    <w:p w14:paraId="13F85B86" w14:textId="77777777" w:rsidR="004A44C1" w:rsidRDefault="004A44C1" w:rsidP="005E586A">
      <w:pPr>
        <w:jc w:val="both"/>
        <w:rPr>
          <w:rFonts w:asciiTheme="minorHAnsi" w:hAnsiTheme="minorHAnsi"/>
        </w:rPr>
      </w:pPr>
    </w:p>
    <w:p w14:paraId="39DBE013" w14:textId="77777777" w:rsidR="004A44C1" w:rsidRDefault="004A44C1" w:rsidP="005E586A">
      <w:pPr>
        <w:jc w:val="both"/>
        <w:rPr>
          <w:rFonts w:asciiTheme="minorHAnsi" w:hAnsiTheme="minorHAnsi"/>
        </w:rPr>
      </w:pPr>
    </w:p>
    <w:p w14:paraId="56141924" w14:textId="77777777" w:rsidR="004A44C1" w:rsidRDefault="004A44C1" w:rsidP="005E586A">
      <w:pPr>
        <w:jc w:val="both"/>
        <w:rPr>
          <w:rFonts w:asciiTheme="minorHAnsi" w:hAnsiTheme="minorHAnsi"/>
        </w:rPr>
      </w:pPr>
    </w:p>
    <w:p w14:paraId="5C15618D" w14:textId="77777777" w:rsidR="004A44C1" w:rsidRDefault="004A44C1" w:rsidP="005E586A">
      <w:pPr>
        <w:jc w:val="both"/>
        <w:rPr>
          <w:rFonts w:asciiTheme="minorHAnsi" w:hAnsiTheme="minorHAnsi"/>
        </w:rPr>
      </w:pPr>
    </w:p>
    <w:p w14:paraId="22DC3C45" w14:textId="77777777" w:rsidR="004A44C1" w:rsidRDefault="004A44C1" w:rsidP="005E586A">
      <w:pPr>
        <w:jc w:val="both"/>
        <w:rPr>
          <w:rFonts w:asciiTheme="minorHAnsi" w:hAnsiTheme="minorHAnsi"/>
        </w:rPr>
      </w:pPr>
    </w:p>
    <w:p w14:paraId="7600F782" w14:textId="77777777" w:rsidR="004A44C1" w:rsidRDefault="004A44C1" w:rsidP="005E586A">
      <w:pPr>
        <w:jc w:val="both"/>
        <w:rPr>
          <w:rFonts w:asciiTheme="minorHAnsi" w:hAnsiTheme="minorHAnsi"/>
        </w:rPr>
      </w:pPr>
    </w:p>
    <w:p w14:paraId="1E242B44" w14:textId="77777777" w:rsidR="004A44C1" w:rsidRDefault="004A44C1" w:rsidP="005E586A">
      <w:pPr>
        <w:jc w:val="both"/>
        <w:rPr>
          <w:rFonts w:asciiTheme="minorHAnsi" w:hAnsiTheme="minorHAnsi"/>
        </w:rPr>
      </w:pPr>
    </w:p>
    <w:p w14:paraId="38C6C23F" w14:textId="3544703E" w:rsidR="005E586A" w:rsidRPr="00D67DAF" w:rsidRDefault="005E586A" w:rsidP="005E586A">
      <w:pPr>
        <w:jc w:val="both"/>
        <w:rPr>
          <w:rFonts w:asciiTheme="minorHAnsi" w:hAnsiTheme="minorHAnsi"/>
          <w:b/>
        </w:rPr>
      </w:pPr>
      <w:r w:rsidRPr="00D67DAF">
        <w:rPr>
          <w:rFonts w:asciiTheme="minorHAnsi" w:hAnsiTheme="minorHAnsi"/>
          <w:b/>
        </w:rPr>
        <w:lastRenderedPageBreak/>
        <w:t>Estatística de ajuste AFC – WVS 2006 Brasil</w:t>
      </w:r>
    </w:p>
    <w:p w14:paraId="06639F28" w14:textId="77777777" w:rsidR="005E586A" w:rsidRDefault="005E586A" w:rsidP="005E586A">
      <w:pPr>
        <w:jc w:val="both"/>
        <w:rPr>
          <w:rFonts w:asciiTheme="minorHAnsi" w:hAnsiTheme="minorHAnsi"/>
        </w:rPr>
      </w:pPr>
    </w:p>
    <w:tbl>
      <w:tblPr>
        <w:tblW w:w="3520" w:type="dxa"/>
        <w:tblCellMar>
          <w:left w:w="70" w:type="dxa"/>
          <w:right w:w="70" w:type="dxa"/>
        </w:tblCellMar>
        <w:tblLook w:val="04A0" w:firstRow="1" w:lastRow="0" w:firstColumn="1" w:lastColumn="0" w:noHBand="0" w:noVBand="1"/>
      </w:tblPr>
      <w:tblGrid>
        <w:gridCol w:w="2200"/>
        <w:gridCol w:w="1320"/>
      </w:tblGrid>
      <w:tr w:rsidR="004A44C1" w:rsidRPr="005E586A" w14:paraId="73F41872" w14:textId="77777777" w:rsidTr="004A44C1">
        <w:trPr>
          <w:trHeight w:val="300"/>
        </w:trPr>
        <w:tc>
          <w:tcPr>
            <w:tcW w:w="2200" w:type="dxa"/>
            <w:tcBorders>
              <w:top w:val="single" w:sz="4" w:space="0" w:color="auto"/>
              <w:left w:val="nil"/>
              <w:bottom w:val="single" w:sz="4" w:space="0" w:color="auto"/>
              <w:right w:val="nil"/>
            </w:tcBorders>
            <w:shd w:val="clear" w:color="auto" w:fill="auto"/>
            <w:noWrap/>
            <w:vAlign w:val="bottom"/>
            <w:hideMark/>
          </w:tcPr>
          <w:p w14:paraId="533D38DC" w14:textId="5D29F68B" w:rsidR="004A44C1" w:rsidRPr="00D67DAF" w:rsidRDefault="004A44C1" w:rsidP="005E586A">
            <w:pPr>
              <w:rPr>
                <w:rFonts w:ascii="Calibri" w:hAnsi="Calibri"/>
                <w:b/>
                <w:color w:val="000000"/>
                <w:sz w:val="22"/>
                <w:szCs w:val="22"/>
              </w:rPr>
            </w:pPr>
            <w:r w:rsidRPr="00D67DAF">
              <w:rPr>
                <w:rFonts w:ascii="Calibri" w:hAnsi="Calibri"/>
                <w:b/>
                <w:color w:val="000000"/>
                <w:sz w:val="22"/>
                <w:szCs w:val="22"/>
              </w:rPr>
              <w:t>Estatística</w:t>
            </w:r>
          </w:p>
        </w:tc>
        <w:tc>
          <w:tcPr>
            <w:tcW w:w="1320" w:type="dxa"/>
            <w:tcBorders>
              <w:top w:val="single" w:sz="4" w:space="0" w:color="auto"/>
              <w:left w:val="single" w:sz="4" w:space="0" w:color="auto"/>
              <w:bottom w:val="single" w:sz="4" w:space="0" w:color="auto"/>
              <w:right w:val="nil"/>
            </w:tcBorders>
            <w:shd w:val="clear" w:color="auto" w:fill="auto"/>
            <w:noWrap/>
            <w:vAlign w:val="bottom"/>
            <w:hideMark/>
          </w:tcPr>
          <w:p w14:paraId="6EBB2ACF" w14:textId="716DCE9B" w:rsidR="004A44C1" w:rsidRPr="00D67DAF" w:rsidRDefault="004A44C1" w:rsidP="005E586A">
            <w:pPr>
              <w:jc w:val="center"/>
              <w:rPr>
                <w:rFonts w:ascii="Calibri" w:hAnsi="Calibri"/>
                <w:b/>
                <w:color w:val="000000"/>
                <w:sz w:val="22"/>
                <w:szCs w:val="22"/>
              </w:rPr>
            </w:pPr>
            <w:r w:rsidRPr="00D67DAF">
              <w:rPr>
                <w:rFonts w:ascii="Calibri" w:hAnsi="Calibri"/>
                <w:b/>
                <w:color w:val="000000"/>
                <w:sz w:val="22"/>
                <w:szCs w:val="22"/>
              </w:rPr>
              <w:t>Valor</w:t>
            </w:r>
          </w:p>
        </w:tc>
      </w:tr>
      <w:tr w:rsidR="001C63EB" w:rsidRPr="005E586A" w14:paraId="3C09C21A" w14:textId="77777777" w:rsidTr="004A44C1">
        <w:trPr>
          <w:trHeight w:val="300"/>
        </w:trPr>
        <w:tc>
          <w:tcPr>
            <w:tcW w:w="2200" w:type="dxa"/>
            <w:tcBorders>
              <w:top w:val="nil"/>
              <w:left w:val="nil"/>
              <w:bottom w:val="nil"/>
              <w:right w:val="nil"/>
            </w:tcBorders>
            <w:shd w:val="clear" w:color="auto" w:fill="auto"/>
            <w:noWrap/>
            <w:vAlign w:val="bottom"/>
            <w:hideMark/>
          </w:tcPr>
          <w:p w14:paraId="765AC73F" w14:textId="14A19077" w:rsidR="001C63EB" w:rsidRPr="005E586A" w:rsidRDefault="001C63EB" w:rsidP="005E586A">
            <w:pPr>
              <w:rPr>
                <w:rFonts w:ascii="Calibri" w:hAnsi="Calibri"/>
                <w:color w:val="000000"/>
                <w:sz w:val="22"/>
                <w:szCs w:val="22"/>
              </w:rPr>
            </w:pPr>
            <w:r w:rsidRPr="005E586A">
              <w:rPr>
                <w:rFonts w:ascii="Calibri" w:hAnsi="Calibri"/>
                <w:color w:val="000000"/>
                <w:sz w:val="22"/>
                <w:szCs w:val="22"/>
              </w:rPr>
              <w:t>chi2_ms(2)</w:t>
            </w:r>
          </w:p>
        </w:tc>
        <w:tc>
          <w:tcPr>
            <w:tcW w:w="1320" w:type="dxa"/>
            <w:tcBorders>
              <w:top w:val="nil"/>
              <w:left w:val="single" w:sz="4" w:space="0" w:color="auto"/>
              <w:bottom w:val="nil"/>
              <w:right w:val="nil"/>
            </w:tcBorders>
            <w:shd w:val="clear" w:color="auto" w:fill="auto"/>
            <w:noWrap/>
            <w:vAlign w:val="bottom"/>
            <w:hideMark/>
          </w:tcPr>
          <w:p w14:paraId="139AA337" w14:textId="152FE526"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45,974</w:t>
            </w:r>
          </w:p>
        </w:tc>
      </w:tr>
      <w:tr w:rsidR="001C63EB" w:rsidRPr="005E586A" w14:paraId="0432261F" w14:textId="77777777" w:rsidTr="004A44C1">
        <w:trPr>
          <w:trHeight w:val="300"/>
        </w:trPr>
        <w:tc>
          <w:tcPr>
            <w:tcW w:w="2200" w:type="dxa"/>
            <w:tcBorders>
              <w:top w:val="nil"/>
              <w:left w:val="nil"/>
              <w:bottom w:val="nil"/>
              <w:right w:val="nil"/>
            </w:tcBorders>
            <w:shd w:val="clear" w:color="auto" w:fill="auto"/>
            <w:noWrap/>
            <w:vAlign w:val="bottom"/>
            <w:hideMark/>
          </w:tcPr>
          <w:p w14:paraId="5D68469F" w14:textId="0516FDD7" w:rsidR="001C63EB" w:rsidRPr="005E586A" w:rsidRDefault="001C63EB" w:rsidP="005E586A">
            <w:pPr>
              <w:rPr>
                <w:rFonts w:ascii="Calibri" w:hAnsi="Calibri"/>
                <w:color w:val="000000"/>
                <w:sz w:val="22"/>
                <w:szCs w:val="22"/>
              </w:rPr>
            </w:pPr>
            <w:r w:rsidRPr="005E586A">
              <w:rPr>
                <w:rFonts w:ascii="Calibri" w:hAnsi="Calibri"/>
                <w:color w:val="000000"/>
                <w:sz w:val="22"/>
                <w:szCs w:val="22"/>
              </w:rPr>
              <w:t>p &gt; chi2</w:t>
            </w:r>
          </w:p>
        </w:tc>
        <w:tc>
          <w:tcPr>
            <w:tcW w:w="1320" w:type="dxa"/>
            <w:tcBorders>
              <w:top w:val="nil"/>
              <w:left w:val="single" w:sz="4" w:space="0" w:color="auto"/>
              <w:bottom w:val="nil"/>
              <w:right w:val="nil"/>
            </w:tcBorders>
            <w:shd w:val="clear" w:color="auto" w:fill="auto"/>
            <w:noWrap/>
            <w:vAlign w:val="bottom"/>
            <w:hideMark/>
          </w:tcPr>
          <w:p w14:paraId="046A202D" w14:textId="6200B4B8"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0</w:t>
            </w:r>
          </w:p>
        </w:tc>
      </w:tr>
      <w:tr w:rsidR="001C63EB" w:rsidRPr="005E586A" w14:paraId="3A29441D" w14:textId="77777777" w:rsidTr="004A44C1">
        <w:trPr>
          <w:trHeight w:val="300"/>
        </w:trPr>
        <w:tc>
          <w:tcPr>
            <w:tcW w:w="2200" w:type="dxa"/>
            <w:tcBorders>
              <w:top w:val="nil"/>
              <w:left w:val="nil"/>
              <w:bottom w:val="nil"/>
              <w:right w:val="nil"/>
            </w:tcBorders>
            <w:shd w:val="clear" w:color="auto" w:fill="auto"/>
            <w:noWrap/>
            <w:vAlign w:val="bottom"/>
            <w:hideMark/>
          </w:tcPr>
          <w:p w14:paraId="12ED3221" w14:textId="3F0FDB90" w:rsidR="001C63EB" w:rsidRPr="005E586A" w:rsidRDefault="001C63EB" w:rsidP="005E586A">
            <w:pPr>
              <w:rPr>
                <w:rFonts w:ascii="Calibri" w:hAnsi="Calibri"/>
                <w:color w:val="000000"/>
                <w:sz w:val="22"/>
                <w:szCs w:val="22"/>
              </w:rPr>
            </w:pPr>
            <w:r w:rsidRPr="005E586A">
              <w:rPr>
                <w:rFonts w:ascii="Calibri" w:hAnsi="Calibri"/>
                <w:color w:val="000000"/>
                <w:sz w:val="22"/>
                <w:szCs w:val="22"/>
              </w:rPr>
              <w:t>chi2_bs(6)</w:t>
            </w:r>
          </w:p>
        </w:tc>
        <w:tc>
          <w:tcPr>
            <w:tcW w:w="1320" w:type="dxa"/>
            <w:tcBorders>
              <w:top w:val="nil"/>
              <w:left w:val="single" w:sz="4" w:space="0" w:color="auto"/>
              <w:bottom w:val="nil"/>
              <w:right w:val="nil"/>
            </w:tcBorders>
            <w:shd w:val="clear" w:color="auto" w:fill="auto"/>
            <w:noWrap/>
            <w:vAlign w:val="bottom"/>
            <w:hideMark/>
          </w:tcPr>
          <w:p w14:paraId="30A8DEAD" w14:textId="2E24C8B3"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738,561</w:t>
            </w:r>
          </w:p>
        </w:tc>
      </w:tr>
      <w:tr w:rsidR="001C63EB" w:rsidRPr="005E586A" w14:paraId="4B275A39" w14:textId="77777777" w:rsidTr="001C63EB">
        <w:trPr>
          <w:trHeight w:val="300"/>
        </w:trPr>
        <w:tc>
          <w:tcPr>
            <w:tcW w:w="2200" w:type="dxa"/>
            <w:tcBorders>
              <w:top w:val="nil"/>
              <w:left w:val="nil"/>
              <w:bottom w:val="single" w:sz="4" w:space="0" w:color="auto"/>
              <w:right w:val="nil"/>
            </w:tcBorders>
            <w:shd w:val="clear" w:color="auto" w:fill="auto"/>
            <w:noWrap/>
            <w:vAlign w:val="bottom"/>
            <w:hideMark/>
          </w:tcPr>
          <w:p w14:paraId="5C26DA16" w14:textId="71BAB317" w:rsidR="001C63EB" w:rsidRPr="005E586A" w:rsidRDefault="001C63EB" w:rsidP="005E586A">
            <w:pPr>
              <w:rPr>
                <w:rFonts w:ascii="Calibri" w:hAnsi="Calibri"/>
                <w:color w:val="000000"/>
                <w:sz w:val="22"/>
                <w:szCs w:val="22"/>
              </w:rPr>
            </w:pPr>
            <w:r w:rsidRPr="005E586A">
              <w:rPr>
                <w:rFonts w:ascii="Calibri" w:hAnsi="Calibri"/>
                <w:color w:val="000000"/>
                <w:sz w:val="22"/>
                <w:szCs w:val="22"/>
              </w:rPr>
              <w:t>p &gt; chi2</w:t>
            </w:r>
          </w:p>
        </w:tc>
        <w:tc>
          <w:tcPr>
            <w:tcW w:w="1320" w:type="dxa"/>
            <w:tcBorders>
              <w:top w:val="nil"/>
              <w:left w:val="single" w:sz="4" w:space="0" w:color="auto"/>
              <w:bottom w:val="single" w:sz="4" w:space="0" w:color="auto"/>
              <w:right w:val="nil"/>
            </w:tcBorders>
            <w:shd w:val="clear" w:color="auto" w:fill="auto"/>
            <w:noWrap/>
            <w:vAlign w:val="bottom"/>
            <w:hideMark/>
          </w:tcPr>
          <w:p w14:paraId="598957C1" w14:textId="109CCB13"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0</w:t>
            </w:r>
          </w:p>
        </w:tc>
      </w:tr>
      <w:tr w:rsidR="001C63EB" w:rsidRPr="005E586A" w14:paraId="642DEBE4" w14:textId="77777777" w:rsidTr="001C63EB">
        <w:trPr>
          <w:trHeight w:val="300"/>
        </w:trPr>
        <w:tc>
          <w:tcPr>
            <w:tcW w:w="2200" w:type="dxa"/>
            <w:tcBorders>
              <w:top w:val="nil"/>
              <w:left w:val="nil"/>
              <w:bottom w:val="nil"/>
              <w:right w:val="nil"/>
            </w:tcBorders>
            <w:shd w:val="clear" w:color="auto" w:fill="auto"/>
            <w:noWrap/>
            <w:vAlign w:val="bottom"/>
            <w:hideMark/>
          </w:tcPr>
          <w:p w14:paraId="3FBD0A8F" w14:textId="0235A663" w:rsidR="001C63EB" w:rsidRPr="005E586A" w:rsidRDefault="001C63EB" w:rsidP="005E586A">
            <w:pPr>
              <w:rPr>
                <w:rFonts w:ascii="Calibri" w:hAnsi="Calibri"/>
                <w:color w:val="000000"/>
                <w:sz w:val="22"/>
                <w:szCs w:val="22"/>
              </w:rPr>
            </w:pPr>
            <w:r w:rsidRPr="005E586A">
              <w:rPr>
                <w:rFonts w:ascii="Calibri" w:hAnsi="Calibri"/>
                <w:color w:val="000000"/>
                <w:sz w:val="22"/>
                <w:szCs w:val="22"/>
              </w:rPr>
              <w:t>RMSEA</w:t>
            </w:r>
          </w:p>
        </w:tc>
        <w:tc>
          <w:tcPr>
            <w:tcW w:w="1320" w:type="dxa"/>
            <w:tcBorders>
              <w:top w:val="nil"/>
              <w:left w:val="single" w:sz="4" w:space="0" w:color="auto"/>
              <w:bottom w:val="nil"/>
              <w:right w:val="nil"/>
            </w:tcBorders>
            <w:shd w:val="clear" w:color="auto" w:fill="auto"/>
            <w:noWrap/>
            <w:vAlign w:val="bottom"/>
            <w:hideMark/>
          </w:tcPr>
          <w:p w14:paraId="524ADF39" w14:textId="3ACBCB1E"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0,123</w:t>
            </w:r>
          </w:p>
        </w:tc>
      </w:tr>
      <w:tr w:rsidR="001C63EB" w:rsidRPr="005E586A" w14:paraId="5F2EB13F" w14:textId="77777777" w:rsidTr="004A44C1">
        <w:trPr>
          <w:trHeight w:val="300"/>
        </w:trPr>
        <w:tc>
          <w:tcPr>
            <w:tcW w:w="2200" w:type="dxa"/>
            <w:tcBorders>
              <w:top w:val="nil"/>
              <w:left w:val="nil"/>
              <w:bottom w:val="nil"/>
              <w:right w:val="nil"/>
            </w:tcBorders>
            <w:shd w:val="clear" w:color="auto" w:fill="auto"/>
            <w:noWrap/>
            <w:vAlign w:val="bottom"/>
            <w:hideMark/>
          </w:tcPr>
          <w:p w14:paraId="2BC94245" w14:textId="67541C8D" w:rsidR="001C63EB" w:rsidRPr="005E586A" w:rsidRDefault="001C63EB" w:rsidP="005E586A">
            <w:pPr>
              <w:rPr>
                <w:rFonts w:ascii="Calibri" w:hAnsi="Calibri"/>
                <w:color w:val="000000"/>
                <w:sz w:val="22"/>
                <w:szCs w:val="22"/>
              </w:rPr>
            </w:pPr>
            <w:r w:rsidRPr="005E586A">
              <w:rPr>
                <w:rFonts w:ascii="Calibri" w:hAnsi="Calibri"/>
                <w:color w:val="000000"/>
                <w:sz w:val="22"/>
                <w:szCs w:val="22"/>
              </w:rPr>
              <w:t>AIC</w:t>
            </w:r>
          </w:p>
        </w:tc>
        <w:tc>
          <w:tcPr>
            <w:tcW w:w="1320" w:type="dxa"/>
            <w:tcBorders>
              <w:top w:val="nil"/>
              <w:left w:val="single" w:sz="4" w:space="0" w:color="auto"/>
              <w:bottom w:val="nil"/>
              <w:right w:val="nil"/>
            </w:tcBorders>
            <w:shd w:val="clear" w:color="auto" w:fill="auto"/>
            <w:noWrap/>
            <w:vAlign w:val="bottom"/>
            <w:hideMark/>
          </w:tcPr>
          <w:p w14:paraId="63002AC1" w14:textId="20D83EAB"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26601,913</w:t>
            </w:r>
          </w:p>
        </w:tc>
      </w:tr>
      <w:tr w:rsidR="001C63EB" w:rsidRPr="005E586A" w14:paraId="2E123898" w14:textId="77777777" w:rsidTr="001C63EB">
        <w:trPr>
          <w:trHeight w:val="300"/>
        </w:trPr>
        <w:tc>
          <w:tcPr>
            <w:tcW w:w="2200" w:type="dxa"/>
            <w:tcBorders>
              <w:top w:val="nil"/>
              <w:left w:val="nil"/>
              <w:bottom w:val="single" w:sz="4" w:space="0" w:color="auto"/>
              <w:right w:val="nil"/>
            </w:tcBorders>
            <w:shd w:val="clear" w:color="auto" w:fill="auto"/>
            <w:noWrap/>
            <w:vAlign w:val="bottom"/>
            <w:hideMark/>
          </w:tcPr>
          <w:p w14:paraId="1D52B1BA" w14:textId="59F653FE" w:rsidR="001C63EB" w:rsidRPr="005E586A" w:rsidRDefault="001C63EB" w:rsidP="005E586A">
            <w:pPr>
              <w:rPr>
                <w:rFonts w:ascii="Calibri" w:hAnsi="Calibri"/>
                <w:color w:val="000000"/>
                <w:sz w:val="22"/>
                <w:szCs w:val="22"/>
              </w:rPr>
            </w:pPr>
            <w:r w:rsidRPr="005E586A">
              <w:rPr>
                <w:rFonts w:ascii="Calibri" w:hAnsi="Calibri"/>
                <w:color w:val="000000"/>
                <w:sz w:val="22"/>
                <w:szCs w:val="22"/>
              </w:rPr>
              <w:t>BIC</w:t>
            </w:r>
          </w:p>
        </w:tc>
        <w:tc>
          <w:tcPr>
            <w:tcW w:w="1320" w:type="dxa"/>
            <w:tcBorders>
              <w:top w:val="nil"/>
              <w:left w:val="single" w:sz="4" w:space="0" w:color="auto"/>
              <w:bottom w:val="single" w:sz="4" w:space="0" w:color="auto"/>
              <w:right w:val="nil"/>
            </w:tcBorders>
            <w:shd w:val="clear" w:color="auto" w:fill="auto"/>
            <w:noWrap/>
            <w:vAlign w:val="bottom"/>
            <w:hideMark/>
          </w:tcPr>
          <w:p w14:paraId="0878FF5F" w14:textId="7A6CA3FE"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26665,281</w:t>
            </w:r>
          </w:p>
        </w:tc>
      </w:tr>
      <w:tr w:rsidR="001C63EB" w:rsidRPr="005E586A" w14:paraId="23C869FC" w14:textId="77777777" w:rsidTr="001C63EB">
        <w:trPr>
          <w:trHeight w:val="300"/>
        </w:trPr>
        <w:tc>
          <w:tcPr>
            <w:tcW w:w="2200" w:type="dxa"/>
            <w:tcBorders>
              <w:top w:val="nil"/>
              <w:left w:val="nil"/>
              <w:bottom w:val="nil"/>
              <w:right w:val="nil"/>
            </w:tcBorders>
            <w:shd w:val="clear" w:color="auto" w:fill="auto"/>
            <w:noWrap/>
            <w:vAlign w:val="bottom"/>
            <w:hideMark/>
          </w:tcPr>
          <w:p w14:paraId="0C11F098" w14:textId="7E844989" w:rsidR="001C63EB" w:rsidRPr="005E586A" w:rsidRDefault="001C63EB" w:rsidP="005E586A">
            <w:pPr>
              <w:rPr>
                <w:rFonts w:ascii="Calibri" w:hAnsi="Calibri"/>
                <w:color w:val="000000"/>
                <w:sz w:val="22"/>
                <w:szCs w:val="22"/>
              </w:rPr>
            </w:pPr>
            <w:r w:rsidRPr="005E586A">
              <w:rPr>
                <w:rFonts w:ascii="Calibri" w:hAnsi="Calibri"/>
                <w:color w:val="000000"/>
                <w:sz w:val="22"/>
                <w:szCs w:val="22"/>
              </w:rPr>
              <w:t>CFI</w:t>
            </w:r>
          </w:p>
        </w:tc>
        <w:tc>
          <w:tcPr>
            <w:tcW w:w="1320" w:type="dxa"/>
            <w:tcBorders>
              <w:top w:val="nil"/>
              <w:left w:val="single" w:sz="4" w:space="0" w:color="auto"/>
              <w:bottom w:val="nil"/>
              <w:right w:val="nil"/>
            </w:tcBorders>
            <w:shd w:val="clear" w:color="auto" w:fill="auto"/>
            <w:noWrap/>
            <w:vAlign w:val="bottom"/>
            <w:hideMark/>
          </w:tcPr>
          <w:p w14:paraId="2747B4BD" w14:textId="641601B1"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0,94</w:t>
            </w:r>
          </w:p>
        </w:tc>
      </w:tr>
      <w:tr w:rsidR="001C63EB" w:rsidRPr="005E586A" w14:paraId="2FD9E854" w14:textId="77777777" w:rsidTr="001C63EB">
        <w:trPr>
          <w:trHeight w:val="300"/>
        </w:trPr>
        <w:tc>
          <w:tcPr>
            <w:tcW w:w="2200" w:type="dxa"/>
            <w:tcBorders>
              <w:top w:val="nil"/>
              <w:left w:val="nil"/>
              <w:bottom w:val="single" w:sz="4" w:space="0" w:color="auto"/>
              <w:right w:val="nil"/>
            </w:tcBorders>
            <w:shd w:val="clear" w:color="auto" w:fill="auto"/>
            <w:noWrap/>
            <w:vAlign w:val="bottom"/>
            <w:hideMark/>
          </w:tcPr>
          <w:p w14:paraId="5A969C3F" w14:textId="66AEDCB3" w:rsidR="001C63EB" w:rsidRPr="005E586A" w:rsidRDefault="001C63EB" w:rsidP="005E586A">
            <w:pPr>
              <w:rPr>
                <w:rFonts w:ascii="Calibri" w:hAnsi="Calibri"/>
                <w:color w:val="000000"/>
                <w:sz w:val="22"/>
                <w:szCs w:val="22"/>
              </w:rPr>
            </w:pPr>
            <w:r w:rsidRPr="005E586A">
              <w:rPr>
                <w:rFonts w:ascii="Calibri" w:hAnsi="Calibri"/>
                <w:color w:val="000000"/>
                <w:sz w:val="22"/>
                <w:szCs w:val="22"/>
              </w:rPr>
              <w:t>TLI</w:t>
            </w:r>
          </w:p>
        </w:tc>
        <w:tc>
          <w:tcPr>
            <w:tcW w:w="1320" w:type="dxa"/>
            <w:tcBorders>
              <w:top w:val="nil"/>
              <w:left w:val="single" w:sz="4" w:space="0" w:color="auto"/>
              <w:bottom w:val="single" w:sz="4" w:space="0" w:color="auto"/>
              <w:right w:val="nil"/>
            </w:tcBorders>
            <w:shd w:val="clear" w:color="auto" w:fill="auto"/>
            <w:noWrap/>
            <w:vAlign w:val="bottom"/>
            <w:hideMark/>
          </w:tcPr>
          <w:p w14:paraId="5EF50376" w14:textId="3CE0F441"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0,82</w:t>
            </w:r>
          </w:p>
        </w:tc>
      </w:tr>
      <w:tr w:rsidR="001C63EB" w:rsidRPr="005E586A" w14:paraId="1FEC2ADF" w14:textId="77777777" w:rsidTr="001C63EB">
        <w:trPr>
          <w:trHeight w:val="300"/>
        </w:trPr>
        <w:tc>
          <w:tcPr>
            <w:tcW w:w="2200" w:type="dxa"/>
            <w:tcBorders>
              <w:top w:val="nil"/>
              <w:left w:val="nil"/>
              <w:bottom w:val="nil"/>
              <w:right w:val="nil"/>
            </w:tcBorders>
            <w:shd w:val="clear" w:color="auto" w:fill="auto"/>
            <w:noWrap/>
            <w:vAlign w:val="bottom"/>
            <w:hideMark/>
          </w:tcPr>
          <w:p w14:paraId="55B29FC7" w14:textId="381952FB" w:rsidR="001C63EB" w:rsidRPr="005E586A" w:rsidRDefault="001C63EB" w:rsidP="005E586A">
            <w:pPr>
              <w:rPr>
                <w:rFonts w:ascii="Calibri" w:hAnsi="Calibri"/>
                <w:color w:val="000000"/>
                <w:sz w:val="22"/>
                <w:szCs w:val="22"/>
              </w:rPr>
            </w:pPr>
            <w:r w:rsidRPr="005E586A">
              <w:rPr>
                <w:rFonts w:ascii="Calibri" w:hAnsi="Calibri"/>
                <w:color w:val="000000"/>
                <w:sz w:val="22"/>
                <w:szCs w:val="22"/>
              </w:rPr>
              <w:t>SRMR</w:t>
            </w:r>
          </w:p>
        </w:tc>
        <w:tc>
          <w:tcPr>
            <w:tcW w:w="1320" w:type="dxa"/>
            <w:tcBorders>
              <w:top w:val="nil"/>
              <w:left w:val="single" w:sz="4" w:space="0" w:color="auto"/>
              <w:bottom w:val="nil"/>
              <w:right w:val="nil"/>
            </w:tcBorders>
            <w:shd w:val="clear" w:color="auto" w:fill="auto"/>
            <w:noWrap/>
            <w:vAlign w:val="bottom"/>
            <w:hideMark/>
          </w:tcPr>
          <w:p w14:paraId="40A87726" w14:textId="621CDB85"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0,033</w:t>
            </w:r>
          </w:p>
        </w:tc>
      </w:tr>
      <w:tr w:rsidR="001C63EB" w:rsidRPr="005E586A" w14:paraId="1CE7D318" w14:textId="77777777" w:rsidTr="001C63EB">
        <w:trPr>
          <w:trHeight w:val="300"/>
        </w:trPr>
        <w:tc>
          <w:tcPr>
            <w:tcW w:w="2200" w:type="dxa"/>
            <w:tcBorders>
              <w:top w:val="nil"/>
              <w:left w:val="nil"/>
              <w:bottom w:val="single" w:sz="4" w:space="0" w:color="auto"/>
              <w:right w:val="nil"/>
            </w:tcBorders>
            <w:shd w:val="clear" w:color="auto" w:fill="auto"/>
            <w:noWrap/>
            <w:vAlign w:val="bottom"/>
            <w:hideMark/>
          </w:tcPr>
          <w:p w14:paraId="42357CF6" w14:textId="0FA08418" w:rsidR="001C63EB" w:rsidRPr="005E586A" w:rsidRDefault="001C63EB" w:rsidP="005E586A">
            <w:pPr>
              <w:rPr>
                <w:rFonts w:ascii="Calibri" w:hAnsi="Calibri"/>
                <w:color w:val="000000"/>
                <w:sz w:val="22"/>
                <w:szCs w:val="22"/>
              </w:rPr>
            </w:pPr>
            <w:r w:rsidRPr="005E586A">
              <w:rPr>
                <w:rFonts w:ascii="Calibri" w:hAnsi="Calibri"/>
                <w:color w:val="000000"/>
                <w:sz w:val="22"/>
                <w:szCs w:val="22"/>
              </w:rPr>
              <w:t>CD</w:t>
            </w:r>
          </w:p>
        </w:tc>
        <w:tc>
          <w:tcPr>
            <w:tcW w:w="1320" w:type="dxa"/>
            <w:tcBorders>
              <w:top w:val="nil"/>
              <w:left w:val="single" w:sz="4" w:space="0" w:color="auto"/>
              <w:bottom w:val="single" w:sz="4" w:space="0" w:color="auto"/>
              <w:right w:val="nil"/>
            </w:tcBorders>
            <w:shd w:val="clear" w:color="auto" w:fill="auto"/>
            <w:noWrap/>
            <w:vAlign w:val="bottom"/>
            <w:hideMark/>
          </w:tcPr>
          <w:p w14:paraId="1907BBF1" w14:textId="1E396A89" w:rsidR="001C63EB" w:rsidRPr="005E586A" w:rsidRDefault="001C63EB" w:rsidP="005E586A">
            <w:pPr>
              <w:jc w:val="center"/>
              <w:rPr>
                <w:rFonts w:ascii="Calibri" w:hAnsi="Calibri"/>
                <w:color w:val="000000"/>
                <w:sz w:val="22"/>
                <w:szCs w:val="22"/>
              </w:rPr>
            </w:pPr>
            <w:r w:rsidRPr="005E586A">
              <w:rPr>
                <w:rFonts w:ascii="Calibri" w:hAnsi="Calibri"/>
                <w:color w:val="000000"/>
                <w:sz w:val="22"/>
                <w:szCs w:val="22"/>
              </w:rPr>
              <w:t>0,654</w:t>
            </w:r>
          </w:p>
        </w:tc>
      </w:tr>
    </w:tbl>
    <w:p w14:paraId="7908E7E0" w14:textId="77777777" w:rsidR="005E586A" w:rsidRDefault="005E586A" w:rsidP="005E586A">
      <w:pPr>
        <w:jc w:val="both"/>
        <w:rPr>
          <w:rFonts w:asciiTheme="minorHAnsi" w:hAnsiTheme="minorHAnsi"/>
        </w:rPr>
      </w:pPr>
    </w:p>
    <w:tbl>
      <w:tblPr>
        <w:tblW w:w="3840" w:type="dxa"/>
        <w:tblCellMar>
          <w:left w:w="70" w:type="dxa"/>
          <w:right w:w="70" w:type="dxa"/>
        </w:tblCellMar>
        <w:tblLook w:val="04A0" w:firstRow="1" w:lastRow="0" w:firstColumn="1" w:lastColumn="0" w:noHBand="0" w:noVBand="1"/>
      </w:tblPr>
      <w:tblGrid>
        <w:gridCol w:w="960"/>
        <w:gridCol w:w="960"/>
        <w:gridCol w:w="960"/>
        <w:gridCol w:w="960"/>
      </w:tblGrid>
      <w:tr w:rsidR="009E5478" w:rsidRPr="009E5478" w14:paraId="720B911C" w14:textId="77777777" w:rsidTr="009E5478">
        <w:trPr>
          <w:trHeight w:val="300"/>
        </w:trPr>
        <w:tc>
          <w:tcPr>
            <w:tcW w:w="960" w:type="dxa"/>
            <w:tcBorders>
              <w:top w:val="single" w:sz="4" w:space="0" w:color="auto"/>
              <w:left w:val="nil"/>
              <w:bottom w:val="nil"/>
              <w:right w:val="nil"/>
            </w:tcBorders>
            <w:shd w:val="clear" w:color="auto" w:fill="auto"/>
            <w:noWrap/>
            <w:vAlign w:val="bottom"/>
            <w:hideMark/>
          </w:tcPr>
          <w:p w14:paraId="473A30DB"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SSI</w:t>
            </w:r>
          </w:p>
        </w:tc>
        <w:tc>
          <w:tcPr>
            <w:tcW w:w="960" w:type="dxa"/>
            <w:tcBorders>
              <w:top w:val="single" w:sz="4" w:space="0" w:color="auto"/>
              <w:left w:val="single" w:sz="4" w:space="0" w:color="auto"/>
              <w:bottom w:val="nil"/>
              <w:right w:val="single" w:sz="4" w:space="0" w:color="auto"/>
            </w:tcBorders>
            <w:shd w:val="clear" w:color="auto" w:fill="auto"/>
            <w:noWrap/>
            <w:vAlign w:val="bottom"/>
            <w:hideMark/>
          </w:tcPr>
          <w:p w14:paraId="1E711FF8"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SEV</w:t>
            </w:r>
          </w:p>
        </w:tc>
        <w:tc>
          <w:tcPr>
            <w:tcW w:w="960" w:type="dxa"/>
            <w:tcBorders>
              <w:top w:val="single" w:sz="4" w:space="0" w:color="auto"/>
              <w:left w:val="nil"/>
              <w:bottom w:val="nil"/>
              <w:right w:val="single" w:sz="4" w:space="0" w:color="auto"/>
            </w:tcBorders>
            <w:shd w:val="clear" w:color="auto" w:fill="auto"/>
            <w:noWrap/>
            <w:vAlign w:val="bottom"/>
            <w:hideMark/>
          </w:tcPr>
          <w:p w14:paraId="74E441D6"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CR</w:t>
            </w:r>
          </w:p>
        </w:tc>
        <w:tc>
          <w:tcPr>
            <w:tcW w:w="960" w:type="dxa"/>
            <w:tcBorders>
              <w:top w:val="single" w:sz="4" w:space="0" w:color="auto"/>
              <w:left w:val="nil"/>
              <w:bottom w:val="nil"/>
              <w:right w:val="nil"/>
            </w:tcBorders>
            <w:shd w:val="clear" w:color="auto" w:fill="auto"/>
            <w:noWrap/>
            <w:vAlign w:val="bottom"/>
            <w:hideMark/>
          </w:tcPr>
          <w:p w14:paraId="73BE994A"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AVE</w:t>
            </w:r>
          </w:p>
        </w:tc>
      </w:tr>
      <w:tr w:rsidR="009E5478" w:rsidRPr="009E5478" w14:paraId="4B9D7EA0" w14:textId="77777777" w:rsidTr="009E5478">
        <w:trPr>
          <w:trHeight w:val="300"/>
        </w:trPr>
        <w:tc>
          <w:tcPr>
            <w:tcW w:w="960" w:type="dxa"/>
            <w:tcBorders>
              <w:top w:val="nil"/>
              <w:left w:val="nil"/>
              <w:bottom w:val="single" w:sz="4" w:space="0" w:color="auto"/>
              <w:right w:val="nil"/>
            </w:tcBorders>
            <w:shd w:val="clear" w:color="auto" w:fill="auto"/>
            <w:noWrap/>
            <w:vAlign w:val="bottom"/>
            <w:hideMark/>
          </w:tcPr>
          <w:p w14:paraId="40CAC84C"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5,0461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E72DF7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2,7297</w:t>
            </w:r>
          </w:p>
        </w:tc>
        <w:tc>
          <w:tcPr>
            <w:tcW w:w="960" w:type="dxa"/>
            <w:tcBorders>
              <w:top w:val="nil"/>
              <w:left w:val="nil"/>
              <w:bottom w:val="single" w:sz="4" w:space="0" w:color="auto"/>
              <w:right w:val="single" w:sz="4" w:space="0" w:color="auto"/>
            </w:tcBorders>
            <w:shd w:val="clear" w:color="auto" w:fill="auto"/>
            <w:noWrap/>
            <w:vAlign w:val="bottom"/>
            <w:hideMark/>
          </w:tcPr>
          <w:p w14:paraId="57F348CB"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0,6490</w:t>
            </w:r>
          </w:p>
        </w:tc>
        <w:tc>
          <w:tcPr>
            <w:tcW w:w="960" w:type="dxa"/>
            <w:tcBorders>
              <w:top w:val="nil"/>
              <w:left w:val="nil"/>
              <w:bottom w:val="single" w:sz="4" w:space="0" w:color="auto"/>
              <w:right w:val="nil"/>
            </w:tcBorders>
            <w:shd w:val="clear" w:color="auto" w:fill="auto"/>
            <w:noWrap/>
            <w:vAlign w:val="bottom"/>
            <w:hideMark/>
          </w:tcPr>
          <w:p w14:paraId="2B3C83EA"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0,3176</w:t>
            </w:r>
          </w:p>
        </w:tc>
      </w:tr>
    </w:tbl>
    <w:p w14:paraId="65B48258" w14:textId="77777777" w:rsidR="005E586A" w:rsidRDefault="005E586A" w:rsidP="005E586A">
      <w:pPr>
        <w:jc w:val="both"/>
        <w:rPr>
          <w:rFonts w:asciiTheme="minorHAnsi" w:hAnsiTheme="minorHAnsi"/>
        </w:rPr>
      </w:pPr>
    </w:p>
    <w:p w14:paraId="58F9617A" w14:textId="77777777" w:rsidR="005E586A" w:rsidRDefault="005E586A" w:rsidP="005E586A">
      <w:pPr>
        <w:jc w:val="both"/>
        <w:rPr>
          <w:rFonts w:asciiTheme="minorHAnsi" w:hAnsiTheme="minorHAnsi"/>
        </w:rPr>
      </w:pPr>
    </w:p>
    <w:p w14:paraId="30A7EA18" w14:textId="2C3D4E30" w:rsidR="009E5478" w:rsidRDefault="009E5478" w:rsidP="009E5478">
      <w:pPr>
        <w:rPr>
          <w:rFonts w:asciiTheme="minorHAnsi" w:hAnsiTheme="minorHAnsi"/>
        </w:rPr>
      </w:pPr>
      <w:r w:rsidRPr="005E586A">
        <w:rPr>
          <w:rFonts w:asciiTheme="minorHAnsi" w:hAnsiTheme="minorHAnsi"/>
        </w:rPr>
        <w:t>Análise Fatorial c</w:t>
      </w:r>
      <w:r>
        <w:rPr>
          <w:rFonts w:asciiTheme="minorHAnsi" w:hAnsiTheme="minorHAnsi"/>
        </w:rPr>
        <w:t>onfirmatória Indicador de Aceitação da Corrupção – WVS 2014 Brasil</w:t>
      </w:r>
    </w:p>
    <w:p w14:paraId="0E99F989" w14:textId="77777777" w:rsidR="005E586A" w:rsidRDefault="005E586A" w:rsidP="005E586A">
      <w:pPr>
        <w:jc w:val="both"/>
        <w:rPr>
          <w:rFonts w:asciiTheme="minorHAnsi" w:hAnsiTheme="minorHAnsi"/>
        </w:rPr>
      </w:pPr>
    </w:p>
    <w:tbl>
      <w:tblPr>
        <w:tblW w:w="8130" w:type="dxa"/>
        <w:tblCellMar>
          <w:left w:w="70" w:type="dxa"/>
          <w:right w:w="70" w:type="dxa"/>
        </w:tblCellMar>
        <w:tblLook w:val="04A0" w:firstRow="1" w:lastRow="0" w:firstColumn="1" w:lastColumn="0" w:noHBand="0" w:noVBand="1"/>
      </w:tblPr>
      <w:tblGrid>
        <w:gridCol w:w="2608"/>
        <w:gridCol w:w="1285"/>
        <w:gridCol w:w="1144"/>
        <w:gridCol w:w="641"/>
        <w:gridCol w:w="641"/>
        <w:gridCol w:w="976"/>
        <w:gridCol w:w="976"/>
      </w:tblGrid>
      <w:tr w:rsidR="009E5478" w:rsidRPr="009E5478" w14:paraId="43AB8903" w14:textId="77777777" w:rsidTr="00401A89">
        <w:trPr>
          <w:trHeight w:val="300"/>
        </w:trPr>
        <w:tc>
          <w:tcPr>
            <w:tcW w:w="2608" w:type="dxa"/>
            <w:tcBorders>
              <w:top w:val="nil"/>
              <w:left w:val="nil"/>
              <w:bottom w:val="single" w:sz="4" w:space="0" w:color="auto"/>
              <w:right w:val="nil"/>
            </w:tcBorders>
            <w:shd w:val="clear" w:color="auto" w:fill="auto"/>
            <w:noWrap/>
            <w:vAlign w:val="bottom"/>
            <w:hideMark/>
          </w:tcPr>
          <w:p w14:paraId="1CF386CA" w14:textId="77777777" w:rsidR="009E5478" w:rsidRPr="009E5478" w:rsidRDefault="009E5478" w:rsidP="009E5478">
            <w:pPr>
              <w:rPr>
                <w:sz w:val="20"/>
                <w:szCs w:val="20"/>
              </w:rPr>
            </w:pPr>
          </w:p>
        </w:tc>
        <w:tc>
          <w:tcPr>
            <w:tcW w:w="1144" w:type="dxa"/>
            <w:tcBorders>
              <w:top w:val="nil"/>
              <w:left w:val="nil"/>
              <w:bottom w:val="single" w:sz="4" w:space="0" w:color="auto"/>
              <w:right w:val="nil"/>
            </w:tcBorders>
            <w:shd w:val="clear" w:color="auto" w:fill="auto"/>
            <w:noWrap/>
            <w:vAlign w:val="bottom"/>
            <w:hideMark/>
          </w:tcPr>
          <w:p w14:paraId="4586A55C" w14:textId="77777777" w:rsidR="009E5478" w:rsidRPr="009E5478" w:rsidRDefault="009E5478" w:rsidP="009E5478">
            <w:pPr>
              <w:rPr>
                <w:sz w:val="20"/>
                <w:szCs w:val="20"/>
              </w:rPr>
            </w:pPr>
          </w:p>
        </w:tc>
        <w:tc>
          <w:tcPr>
            <w:tcW w:w="1144" w:type="dxa"/>
            <w:tcBorders>
              <w:top w:val="nil"/>
              <w:left w:val="nil"/>
              <w:bottom w:val="single" w:sz="4" w:space="0" w:color="auto"/>
              <w:right w:val="nil"/>
            </w:tcBorders>
            <w:shd w:val="clear" w:color="auto" w:fill="auto"/>
            <w:noWrap/>
            <w:vAlign w:val="bottom"/>
            <w:hideMark/>
          </w:tcPr>
          <w:p w14:paraId="59829A2E" w14:textId="77777777" w:rsidR="009E5478" w:rsidRPr="009E5478" w:rsidRDefault="009E5478" w:rsidP="009E5478">
            <w:pPr>
              <w:rPr>
                <w:sz w:val="20"/>
                <w:szCs w:val="20"/>
              </w:rPr>
            </w:pPr>
          </w:p>
        </w:tc>
        <w:tc>
          <w:tcPr>
            <w:tcW w:w="641" w:type="dxa"/>
            <w:tcBorders>
              <w:top w:val="nil"/>
              <w:left w:val="nil"/>
              <w:bottom w:val="single" w:sz="4" w:space="0" w:color="auto"/>
              <w:right w:val="nil"/>
            </w:tcBorders>
            <w:shd w:val="clear" w:color="auto" w:fill="auto"/>
            <w:noWrap/>
            <w:vAlign w:val="bottom"/>
            <w:hideMark/>
          </w:tcPr>
          <w:p w14:paraId="0261B5CD" w14:textId="77777777" w:rsidR="009E5478" w:rsidRPr="009E5478" w:rsidRDefault="009E5478" w:rsidP="009E5478">
            <w:pPr>
              <w:rPr>
                <w:sz w:val="20"/>
                <w:szCs w:val="20"/>
              </w:rPr>
            </w:pPr>
          </w:p>
        </w:tc>
        <w:tc>
          <w:tcPr>
            <w:tcW w:w="641" w:type="dxa"/>
            <w:tcBorders>
              <w:top w:val="nil"/>
              <w:left w:val="nil"/>
              <w:bottom w:val="single" w:sz="4" w:space="0" w:color="auto"/>
              <w:right w:val="nil"/>
            </w:tcBorders>
            <w:shd w:val="clear" w:color="auto" w:fill="auto"/>
            <w:noWrap/>
            <w:vAlign w:val="bottom"/>
            <w:hideMark/>
          </w:tcPr>
          <w:p w14:paraId="798819D7" w14:textId="77777777" w:rsidR="009E5478" w:rsidRPr="009E5478" w:rsidRDefault="009E5478" w:rsidP="009E5478">
            <w:pPr>
              <w:rPr>
                <w:sz w:val="20"/>
                <w:szCs w:val="20"/>
              </w:rPr>
            </w:pPr>
          </w:p>
        </w:tc>
        <w:tc>
          <w:tcPr>
            <w:tcW w:w="976" w:type="dxa"/>
            <w:tcBorders>
              <w:top w:val="nil"/>
              <w:left w:val="nil"/>
              <w:bottom w:val="single" w:sz="4" w:space="0" w:color="auto"/>
              <w:right w:val="nil"/>
            </w:tcBorders>
            <w:shd w:val="clear" w:color="auto" w:fill="auto"/>
            <w:noWrap/>
            <w:vAlign w:val="bottom"/>
            <w:hideMark/>
          </w:tcPr>
          <w:p w14:paraId="755438ED" w14:textId="77777777" w:rsidR="009E5478" w:rsidRPr="009E5478" w:rsidRDefault="009E5478" w:rsidP="009E5478">
            <w:pPr>
              <w:rPr>
                <w:sz w:val="20"/>
                <w:szCs w:val="20"/>
              </w:rPr>
            </w:pPr>
          </w:p>
        </w:tc>
        <w:tc>
          <w:tcPr>
            <w:tcW w:w="976" w:type="dxa"/>
            <w:tcBorders>
              <w:top w:val="nil"/>
              <w:left w:val="nil"/>
              <w:bottom w:val="single" w:sz="4" w:space="0" w:color="auto"/>
              <w:right w:val="nil"/>
            </w:tcBorders>
            <w:shd w:val="clear" w:color="auto" w:fill="auto"/>
            <w:noWrap/>
            <w:vAlign w:val="bottom"/>
            <w:hideMark/>
          </w:tcPr>
          <w:p w14:paraId="3B18DB8D" w14:textId="77777777" w:rsidR="009E5478" w:rsidRPr="009E5478" w:rsidRDefault="009E5478" w:rsidP="009E5478">
            <w:pPr>
              <w:rPr>
                <w:sz w:val="20"/>
                <w:szCs w:val="20"/>
              </w:rPr>
            </w:pPr>
          </w:p>
        </w:tc>
      </w:tr>
      <w:tr w:rsidR="004A44C1" w:rsidRPr="009E5478" w14:paraId="66EE01A5" w14:textId="77777777" w:rsidTr="00401A89">
        <w:trPr>
          <w:trHeight w:val="300"/>
        </w:trPr>
        <w:tc>
          <w:tcPr>
            <w:tcW w:w="2608" w:type="dxa"/>
            <w:tcBorders>
              <w:top w:val="single" w:sz="4" w:space="0" w:color="auto"/>
              <w:left w:val="nil"/>
              <w:bottom w:val="single" w:sz="4" w:space="0" w:color="auto"/>
              <w:right w:val="nil"/>
            </w:tcBorders>
            <w:shd w:val="clear" w:color="auto" w:fill="auto"/>
            <w:noWrap/>
            <w:vAlign w:val="bottom"/>
            <w:hideMark/>
          </w:tcPr>
          <w:p w14:paraId="26B41B4C" w14:textId="0240A239" w:rsidR="004A44C1" w:rsidRPr="009E5478" w:rsidRDefault="004A44C1" w:rsidP="004A44C1">
            <w:pPr>
              <w:rPr>
                <w:rFonts w:ascii="Calibri" w:hAnsi="Calibri"/>
                <w:color w:val="000000"/>
                <w:sz w:val="22"/>
                <w:szCs w:val="22"/>
              </w:rPr>
            </w:pPr>
          </w:p>
        </w:tc>
        <w:tc>
          <w:tcPr>
            <w:tcW w:w="1144" w:type="dxa"/>
            <w:tcBorders>
              <w:top w:val="single" w:sz="4" w:space="0" w:color="auto"/>
              <w:left w:val="nil"/>
              <w:bottom w:val="single" w:sz="4" w:space="0" w:color="auto"/>
              <w:right w:val="nil"/>
            </w:tcBorders>
            <w:shd w:val="clear" w:color="auto" w:fill="auto"/>
            <w:noWrap/>
            <w:vAlign w:val="bottom"/>
            <w:hideMark/>
          </w:tcPr>
          <w:p w14:paraId="6687F8F7" w14:textId="73A35162" w:rsidR="004A44C1" w:rsidRPr="009E5478" w:rsidRDefault="004A44C1" w:rsidP="004A44C1">
            <w:pPr>
              <w:jc w:val="center"/>
              <w:rPr>
                <w:rFonts w:ascii="Calibri" w:hAnsi="Calibri"/>
                <w:color w:val="000000"/>
                <w:sz w:val="22"/>
                <w:szCs w:val="22"/>
              </w:rPr>
            </w:pPr>
            <w:r w:rsidRPr="005D5DC8">
              <w:rPr>
                <w:rFonts w:ascii="Calibri" w:hAnsi="Calibri"/>
                <w:b/>
                <w:color w:val="000000"/>
                <w:sz w:val="22"/>
                <w:szCs w:val="22"/>
              </w:rPr>
              <w:t>Coef. Padronizado</w:t>
            </w:r>
          </w:p>
        </w:tc>
        <w:tc>
          <w:tcPr>
            <w:tcW w:w="1144" w:type="dxa"/>
            <w:tcBorders>
              <w:top w:val="single" w:sz="4" w:space="0" w:color="auto"/>
              <w:left w:val="nil"/>
              <w:bottom w:val="single" w:sz="4" w:space="0" w:color="auto"/>
              <w:right w:val="nil"/>
            </w:tcBorders>
            <w:shd w:val="clear" w:color="auto" w:fill="auto"/>
            <w:noWrap/>
            <w:vAlign w:val="bottom"/>
            <w:hideMark/>
          </w:tcPr>
          <w:p w14:paraId="09670B14" w14:textId="0DE8AF29" w:rsidR="004A44C1" w:rsidRPr="009E5478" w:rsidRDefault="004A44C1" w:rsidP="004A44C1">
            <w:pPr>
              <w:jc w:val="center"/>
              <w:rPr>
                <w:rFonts w:ascii="Calibri" w:hAnsi="Calibri"/>
                <w:color w:val="000000"/>
                <w:sz w:val="22"/>
                <w:szCs w:val="22"/>
              </w:rPr>
            </w:pPr>
            <w:r w:rsidRPr="005D5DC8">
              <w:rPr>
                <w:rFonts w:ascii="Calibri" w:hAnsi="Calibri"/>
                <w:b/>
                <w:color w:val="000000"/>
                <w:sz w:val="22"/>
                <w:szCs w:val="22"/>
              </w:rPr>
              <w:t>Err. Padrão</w:t>
            </w:r>
          </w:p>
        </w:tc>
        <w:tc>
          <w:tcPr>
            <w:tcW w:w="641" w:type="dxa"/>
            <w:tcBorders>
              <w:top w:val="single" w:sz="4" w:space="0" w:color="auto"/>
              <w:left w:val="nil"/>
              <w:bottom w:val="single" w:sz="4" w:space="0" w:color="auto"/>
              <w:right w:val="nil"/>
            </w:tcBorders>
            <w:shd w:val="clear" w:color="auto" w:fill="auto"/>
            <w:noWrap/>
            <w:vAlign w:val="bottom"/>
            <w:hideMark/>
          </w:tcPr>
          <w:p w14:paraId="5120AE98" w14:textId="05A26DC3" w:rsidR="004A44C1" w:rsidRPr="009E5478" w:rsidRDefault="004A44C1" w:rsidP="004A44C1">
            <w:pPr>
              <w:jc w:val="center"/>
              <w:rPr>
                <w:rFonts w:ascii="Calibri" w:hAnsi="Calibri"/>
                <w:color w:val="000000"/>
                <w:sz w:val="22"/>
                <w:szCs w:val="22"/>
              </w:rPr>
            </w:pPr>
            <w:r w:rsidRPr="005D5DC8">
              <w:rPr>
                <w:rFonts w:ascii="Calibri" w:hAnsi="Calibri"/>
                <w:b/>
                <w:color w:val="000000"/>
                <w:sz w:val="22"/>
                <w:szCs w:val="22"/>
              </w:rPr>
              <w:t>z</w:t>
            </w:r>
          </w:p>
        </w:tc>
        <w:tc>
          <w:tcPr>
            <w:tcW w:w="2593" w:type="dxa"/>
            <w:gridSpan w:val="3"/>
            <w:tcBorders>
              <w:top w:val="single" w:sz="4" w:space="0" w:color="auto"/>
              <w:left w:val="nil"/>
              <w:bottom w:val="single" w:sz="4" w:space="0" w:color="auto"/>
              <w:right w:val="nil"/>
            </w:tcBorders>
            <w:shd w:val="clear" w:color="auto" w:fill="auto"/>
            <w:noWrap/>
            <w:vAlign w:val="bottom"/>
            <w:hideMark/>
          </w:tcPr>
          <w:p w14:paraId="6DD6DD20" w14:textId="5BB2ADBA" w:rsidR="004A44C1" w:rsidRPr="009E5478" w:rsidRDefault="004A44C1" w:rsidP="004A44C1">
            <w:pPr>
              <w:jc w:val="center"/>
              <w:rPr>
                <w:rFonts w:ascii="Calibri" w:hAnsi="Calibri"/>
                <w:color w:val="000000"/>
                <w:sz w:val="22"/>
                <w:szCs w:val="22"/>
              </w:rPr>
            </w:pPr>
            <w:r w:rsidRPr="005D5DC8">
              <w:rPr>
                <w:rFonts w:ascii="Calibri" w:hAnsi="Calibri"/>
                <w:b/>
                <w:color w:val="000000"/>
                <w:sz w:val="22"/>
                <w:szCs w:val="22"/>
              </w:rPr>
              <w:t xml:space="preserve">P&gt;z     [95% </w:t>
            </w:r>
            <w:r>
              <w:rPr>
                <w:rFonts w:ascii="Calibri" w:hAnsi="Calibri"/>
                <w:b/>
                <w:color w:val="000000"/>
                <w:sz w:val="22"/>
                <w:szCs w:val="22"/>
              </w:rPr>
              <w:t>Interv</w:t>
            </w:r>
            <w:r w:rsidRPr="005D5DC8">
              <w:rPr>
                <w:rFonts w:ascii="Calibri" w:hAnsi="Calibri"/>
                <w:b/>
                <w:color w:val="000000"/>
                <w:sz w:val="22"/>
                <w:szCs w:val="22"/>
              </w:rPr>
              <w:t>a. Conf]</w:t>
            </w:r>
          </w:p>
        </w:tc>
      </w:tr>
      <w:tr w:rsidR="009E5478" w:rsidRPr="009E5478" w14:paraId="63369E6E" w14:textId="77777777" w:rsidTr="009E5478">
        <w:trPr>
          <w:trHeight w:val="300"/>
        </w:trPr>
        <w:tc>
          <w:tcPr>
            <w:tcW w:w="2608" w:type="dxa"/>
            <w:tcBorders>
              <w:top w:val="nil"/>
              <w:left w:val="nil"/>
              <w:bottom w:val="nil"/>
              <w:right w:val="nil"/>
            </w:tcBorders>
            <w:shd w:val="clear" w:color="auto" w:fill="auto"/>
            <w:noWrap/>
            <w:vAlign w:val="bottom"/>
            <w:hideMark/>
          </w:tcPr>
          <w:p w14:paraId="53C1FBDE"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 xml:space="preserve"> impostos_2014 &lt;-</w:t>
            </w:r>
          </w:p>
        </w:tc>
        <w:tc>
          <w:tcPr>
            <w:tcW w:w="1144" w:type="dxa"/>
            <w:tcBorders>
              <w:top w:val="nil"/>
              <w:left w:val="nil"/>
              <w:bottom w:val="nil"/>
              <w:right w:val="nil"/>
            </w:tcBorders>
            <w:shd w:val="clear" w:color="auto" w:fill="auto"/>
            <w:noWrap/>
            <w:vAlign w:val="bottom"/>
            <w:hideMark/>
          </w:tcPr>
          <w:p w14:paraId="53E86730" w14:textId="77777777" w:rsidR="009E5478" w:rsidRPr="009E5478" w:rsidRDefault="009E5478" w:rsidP="009E5478">
            <w:pPr>
              <w:rPr>
                <w:rFonts w:ascii="Calibri" w:hAnsi="Calibri"/>
                <w:color w:val="000000"/>
                <w:sz w:val="22"/>
                <w:szCs w:val="22"/>
              </w:rPr>
            </w:pPr>
          </w:p>
        </w:tc>
        <w:tc>
          <w:tcPr>
            <w:tcW w:w="1144" w:type="dxa"/>
            <w:tcBorders>
              <w:top w:val="nil"/>
              <w:left w:val="nil"/>
              <w:bottom w:val="nil"/>
              <w:right w:val="nil"/>
            </w:tcBorders>
            <w:shd w:val="clear" w:color="auto" w:fill="auto"/>
            <w:noWrap/>
            <w:vAlign w:val="bottom"/>
            <w:hideMark/>
          </w:tcPr>
          <w:p w14:paraId="15CB79BA"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3A098D84"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1B86DC98"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1FC96C51"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0D4D22A4" w14:textId="77777777" w:rsidR="009E5478" w:rsidRPr="009E5478" w:rsidRDefault="009E5478" w:rsidP="009E5478">
            <w:pPr>
              <w:rPr>
                <w:sz w:val="20"/>
                <w:szCs w:val="20"/>
              </w:rPr>
            </w:pPr>
          </w:p>
        </w:tc>
      </w:tr>
      <w:tr w:rsidR="009E5478" w:rsidRPr="009E5478" w14:paraId="4D182A8B" w14:textId="77777777" w:rsidTr="009E5478">
        <w:trPr>
          <w:trHeight w:val="300"/>
        </w:trPr>
        <w:tc>
          <w:tcPr>
            <w:tcW w:w="2608" w:type="dxa"/>
            <w:tcBorders>
              <w:top w:val="nil"/>
              <w:left w:val="nil"/>
              <w:bottom w:val="nil"/>
              <w:right w:val="nil"/>
            </w:tcBorders>
            <w:shd w:val="clear" w:color="auto" w:fill="auto"/>
            <w:noWrap/>
            <w:vAlign w:val="bottom"/>
            <w:hideMark/>
          </w:tcPr>
          <w:p w14:paraId="4168CC49"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ITC_2014</w:t>
            </w:r>
          </w:p>
        </w:tc>
        <w:tc>
          <w:tcPr>
            <w:tcW w:w="1144" w:type="dxa"/>
            <w:tcBorders>
              <w:top w:val="nil"/>
              <w:left w:val="nil"/>
              <w:bottom w:val="nil"/>
              <w:right w:val="nil"/>
            </w:tcBorders>
            <w:shd w:val="clear" w:color="auto" w:fill="auto"/>
            <w:noWrap/>
            <w:vAlign w:val="bottom"/>
            <w:hideMark/>
          </w:tcPr>
          <w:p w14:paraId="6C71DCB1"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0,604865</w:t>
            </w:r>
          </w:p>
        </w:tc>
        <w:tc>
          <w:tcPr>
            <w:tcW w:w="1144" w:type="dxa"/>
            <w:tcBorders>
              <w:top w:val="nil"/>
              <w:left w:val="nil"/>
              <w:bottom w:val="nil"/>
              <w:right w:val="nil"/>
            </w:tcBorders>
            <w:shd w:val="clear" w:color="auto" w:fill="auto"/>
            <w:noWrap/>
            <w:vAlign w:val="bottom"/>
            <w:hideMark/>
          </w:tcPr>
          <w:p w14:paraId="672C59C6"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0,0253119</w:t>
            </w:r>
          </w:p>
        </w:tc>
        <w:tc>
          <w:tcPr>
            <w:tcW w:w="641" w:type="dxa"/>
            <w:tcBorders>
              <w:top w:val="nil"/>
              <w:left w:val="nil"/>
              <w:bottom w:val="nil"/>
              <w:right w:val="nil"/>
            </w:tcBorders>
            <w:shd w:val="clear" w:color="auto" w:fill="auto"/>
            <w:noWrap/>
            <w:vAlign w:val="bottom"/>
            <w:hideMark/>
          </w:tcPr>
          <w:p w14:paraId="2B7CFB4A"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23,9</w:t>
            </w:r>
          </w:p>
        </w:tc>
        <w:tc>
          <w:tcPr>
            <w:tcW w:w="641" w:type="dxa"/>
            <w:tcBorders>
              <w:top w:val="nil"/>
              <w:left w:val="nil"/>
              <w:bottom w:val="nil"/>
              <w:right w:val="nil"/>
            </w:tcBorders>
            <w:shd w:val="clear" w:color="auto" w:fill="auto"/>
            <w:noWrap/>
            <w:vAlign w:val="bottom"/>
            <w:hideMark/>
          </w:tcPr>
          <w:p w14:paraId="74C1111C"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0,000</w:t>
            </w:r>
          </w:p>
        </w:tc>
        <w:tc>
          <w:tcPr>
            <w:tcW w:w="976" w:type="dxa"/>
            <w:tcBorders>
              <w:top w:val="nil"/>
              <w:left w:val="nil"/>
              <w:bottom w:val="nil"/>
              <w:right w:val="nil"/>
            </w:tcBorders>
            <w:shd w:val="clear" w:color="auto" w:fill="auto"/>
            <w:noWrap/>
            <w:vAlign w:val="bottom"/>
            <w:hideMark/>
          </w:tcPr>
          <w:p w14:paraId="2DBA4719"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0,555255</w:t>
            </w:r>
          </w:p>
        </w:tc>
        <w:tc>
          <w:tcPr>
            <w:tcW w:w="976" w:type="dxa"/>
            <w:tcBorders>
              <w:top w:val="nil"/>
              <w:left w:val="nil"/>
              <w:bottom w:val="nil"/>
              <w:right w:val="nil"/>
            </w:tcBorders>
            <w:shd w:val="clear" w:color="auto" w:fill="auto"/>
            <w:noWrap/>
            <w:vAlign w:val="bottom"/>
            <w:hideMark/>
          </w:tcPr>
          <w:p w14:paraId="5E466186"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0,654475</w:t>
            </w:r>
          </w:p>
        </w:tc>
      </w:tr>
      <w:tr w:rsidR="009E5478" w:rsidRPr="009E5478" w14:paraId="4E7BAFB2" w14:textId="77777777" w:rsidTr="009E5478">
        <w:trPr>
          <w:trHeight w:val="300"/>
        </w:trPr>
        <w:tc>
          <w:tcPr>
            <w:tcW w:w="2608" w:type="dxa"/>
            <w:tcBorders>
              <w:top w:val="nil"/>
              <w:left w:val="nil"/>
              <w:bottom w:val="single" w:sz="4" w:space="0" w:color="auto"/>
              <w:right w:val="nil"/>
            </w:tcBorders>
            <w:shd w:val="clear" w:color="auto" w:fill="auto"/>
            <w:noWrap/>
            <w:vAlign w:val="bottom"/>
            <w:hideMark/>
          </w:tcPr>
          <w:p w14:paraId="332500AC"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_cons</w:t>
            </w:r>
          </w:p>
        </w:tc>
        <w:tc>
          <w:tcPr>
            <w:tcW w:w="1144" w:type="dxa"/>
            <w:tcBorders>
              <w:top w:val="nil"/>
              <w:left w:val="nil"/>
              <w:bottom w:val="single" w:sz="4" w:space="0" w:color="auto"/>
              <w:right w:val="nil"/>
            </w:tcBorders>
            <w:shd w:val="clear" w:color="auto" w:fill="auto"/>
            <w:noWrap/>
            <w:vAlign w:val="bottom"/>
            <w:hideMark/>
          </w:tcPr>
          <w:p w14:paraId="2D9788B9"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0,9418537</w:t>
            </w:r>
          </w:p>
        </w:tc>
        <w:tc>
          <w:tcPr>
            <w:tcW w:w="1144" w:type="dxa"/>
            <w:tcBorders>
              <w:top w:val="nil"/>
              <w:left w:val="nil"/>
              <w:bottom w:val="single" w:sz="4" w:space="0" w:color="auto"/>
              <w:right w:val="nil"/>
            </w:tcBorders>
            <w:shd w:val="clear" w:color="auto" w:fill="auto"/>
            <w:noWrap/>
            <w:vAlign w:val="bottom"/>
            <w:hideMark/>
          </w:tcPr>
          <w:p w14:paraId="2964EA90"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0,0316397</w:t>
            </w:r>
          </w:p>
        </w:tc>
        <w:tc>
          <w:tcPr>
            <w:tcW w:w="641" w:type="dxa"/>
            <w:tcBorders>
              <w:top w:val="nil"/>
              <w:left w:val="nil"/>
              <w:bottom w:val="single" w:sz="4" w:space="0" w:color="auto"/>
              <w:right w:val="nil"/>
            </w:tcBorders>
            <w:shd w:val="clear" w:color="auto" w:fill="auto"/>
            <w:noWrap/>
            <w:vAlign w:val="bottom"/>
            <w:hideMark/>
          </w:tcPr>
          <w:p w14:paraId="1F87697C"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29,77</w:t>
            </w:r>
          </w:p>
        </w:tc>
        <w:tc>
          <w:tcPr>
            <w:tcW w:w="641" w:type="dxa"/>
            <w:tcBorders>
              <w:top w:val="nil"/>
              <w:left w:val="nil"/>
              <w:bottom w:val="single" w:sz="4" w:space="0" w:color="auto"/>
              <w:right w:val="nil"/>
            </w:tcBorders>
            <w:shd w:val="clear" w:color="auto" w:fill="auto"/>
            <w:noWrap/>
            <w:vAlign w:val="bottom"/>
            <w:hideMark/>
          </w:tcPr>
          <w:p w14:paraId="28E6855A"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0,000</w:t>
            </w:r>
          </w:p>
        </w:tc>
        <w:tc>
          <w:tcPr>
            <w:tcW w:w="976" w:type="dxa"/>
            <w:tcBorders>
              <w:top w:val="nil"/>
              <w:left w:val="nil"/>
              <w:bottom w:val="single" w:sz="4" w:space="0" w:color="auto"/>
              <w:right w:val="nil"/>
            </w:tcBorders>
            <w:shd w:val="clear" w:color="auto" w:fill="auto"/>
            <w:noWrap/>
            <w:vAlign w:val="bottom"/>
            <w:hideMark/>
          </w:tcPr>
          <w:p w14:paraId="2E96963A"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0,879841</w:t>
            </w:r>
          </w:p>
        </w:tc>
        <w:tc>
          <w:tcPr>
            <w:tcW w:w="976" w:type="dxa"/>
            <w:tcBorders>
              <w:top w:val="nil"/>
              <w:left w:val="nil"/>
              <w:bottom w:val="single" w:sz="4" w:space="0" w:color="auto"/>
              <w:right w:val="nil"/>
            </w:tcBorders>
            <w:shd w:val="clear" w:color="auto" w:fill="auto"/>
            <w:noWrap/>
            <w:vAlign w:val="bottom"/>
            <w:hideMark/>
          </w:tcPr>
          <w:p w14:paraId="620E0250"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1,003866</w:t>
            </w:r>
          </w:p>
        </w:tc>
      </w:tr>
      <w:tr w:rsidR="009E5478" w:rsidRPr="009E5478" w14:paraId="09105D05" w14:textId="77777777" w:rsidTr="009E5478">
        <w:trPr>
          <w:trHeight w:val="300"/>
        </w:trPr>
        <w:tc>
          <w:tcPr>
            <w:tcW w:w="2608" w:type="dxa"/>
            <w:tcBorders>
              <w:top w:val="nil"/>
              <w:left w:val="nil"/>
              <w:bottom w:val="nil"/>
              <w:right w:val="nil"/>
            </w:tcBorders>
            <w:shd w:val="clear" w:color="auto" w:fill="auto"/>
            <w:noWrap/>
            <w:vAlign w:val="bottom"/>
            <w:hideMark/>
          </w:tcPr>
          <w:p w14:paraId="7A102A6F"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 xml:space="preserve">propina_2014 &lt;- </w:t>
            </w:r>
          </w:p>
        </w:tc>
        <w:tc>
          <w:tcPr>
            <w:tcW w:w="1144" w:type="dxa"/>
            <w:tcBorders>
              <w:top w:val="nil"/>
              <w:left w:val="nil"/>
              <w:bottom w:val="nil"/>
              <w:right w:val="nil"/>
            </w:tcBorders>
            <w:shd w:val="clear" w:color="auto" w:fill="auto"/>
            <w:noWrap/>
            <w:vAlign w:val="bottom"/>
            <w:hideMark/>
          </w:tcPr>
          <w:p w14:paraId="5938DE4E" w14:textId="77777777" w:rsidR="009E5478" w:rsidRPr="009E5478" w:rsidRDefault="009E5478" w:rsidP="009E5478">
            <w:pPr>
              <w:rPr>
                <w:rFonts w:ascii="Calibri" w:hAnsi="Calibri"/>
                <w:color w:val="000000"/>
                <w:sz w:val="22"/>
                <w:szCs w:val="22"/>
              </w:rPr>
            </w:pPr>
          </w:p>
        </w:tc>
        <w:tc>
          <w:tcPr>
            <w:tcW w:w="1144" w:type="dxa"/>
            <w:tcBorders>
              <w:top w:val="nil"/>
              <w:left w:val="nil"/>
              <w:bottom w:val="nil"/>
              <w:right w:val="nil"/>
            </w:tcBorders>
            <w:shd w:val="clear" w:color="auto" w:fill="auto"/>
            <w:noWrap/>
            <w:vAlign w:val="bottom"/>
            <w:hideMark/>
          </w:tcPr>
          <w:p w14:paraId="75B54B72"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471C50F2"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245A298F"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31F91E07"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3D01CC88" w14:textId="77777777" w:rsidR="009E5478" w:rsidRPr="009E5478" w:rsidRDefault="009E5478" w:rsidP="009E5478">
            <w:pPr>
              <w:rPr>
                <w:sz w:val="20"/>
                <w:szCs w:val="20"/>
              </w:rPr>
            </w:pPr>
          </w:p>
        </w:tc>
      </w:tr>
      <w:tr w:rsidR="009E5478" w:rsidRPr="009E5478" w14:paraId="294B17BB" w14:textId="77777777" w:rsidTr="009E5478">
        <w:trPr>
          <w:trHeight w:val="300"/>
        </w:trPr>
        <w:tc>
          <w:tcPr>
            <w:tcW w:w="2608" w:type="dxa"/>
            <w:tcBorders>
              <w:top w:val="nil"/>
              <w:left w:val="nil"/>
              <w:bottom w:val="nil"/>
              <w:right w:val="nil"/>
            </w:tcBorders>
            <w:shd w:val="clear" w:color="auto" w:fill="auto"/>
            <w:noWrap/>
            <w:vAlign w:val="bottom"/>
            <w:hideMark/>
          </w:tcPr>
          <w:p w14:paraId="53CD3399"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ITC_2014</w:t>
            </w:r>
          </w:p>
        </w:tc>
        <w:tc>
          <w:tcPr>
            <w:tcW w:w="1144" w:type="dxa"/>
            <w:tcBorders>
              <w:top w:val="nil"/>
              <w:left w:val="nil"/>
              <w:bottom w:val="nil"/>
              <w:right w:val="nil"/>
            </w:tcBorders>
            <w:shd w:val="clear" w:color="auto" w:fill="auto"/>
            <w:noWrap/>
            <w:vAlign w:val="bottom"/>
            <w:hideMark/>
          </w:tcPr>
          <w:p w14:paraId="024169EC"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0,5641122</w:t>
            </w:r>
          </w:p>
        </w:tc>
        <w:tc>
          <w:tcPr>
            <w:tcW w:w="1144" w:type="dxa"/>
            <w:tcBorders>
              <w:top w:val="nil"/>
              <w:left w:val="nil"/>
              <w:bottom w:val="nil"/>
              <w:right w:val="nil"/>
            </w:tcBorders>
            <w:shd w:val="clear" w:color="auto" w:fill="auto"/>
            <w:noWrap/>
            <w:vAlign w:val="bottom"/>
            <w:hideMark/>
          </w:tcPr>
          <w:p w14:paraId="22894772"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0,025973</w:t>
            </w:r>
          </w:p>
        </w:tc>
        <w:tc>
          <w:tcPr>
            <w:tcW w:w="641" w:type="dxa"/>
            <w:tcBorders>
              <w:top w:val="nil"/>
              <w:left w:val="nil"/>
              <w:bottom w:val="nil"/>
              <w:right w:val="nil"/>
            </w:tcBorders>
            <w:shd w:val="clear" w:color="auto" w:fill="auto"/>
            <w:noWrap/>
            <w:vAlign w:val="bottom"/>
            <w:hideMark/>
          </w:tcPr>
          <w:p w14:paraId="0786A98D"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21,72</w:t>
            </w:r>
          </w:p>
        </w:tc>
        <w:tc>
          <w:tcPr>
            <w:tcW w:w="641" w:type="dxa"/>
            <w:tcBorders>
              <w:top w:val="nil"/>
              <w:left w:val="nil"/>
              <w:bottom w:val="nil"/>
              <w:right w:val="nil"/>
            </w:tcBorders>
            <w:shd w:val="clear" w:color="auto" w:fill="auto"/>
            <w:noWrap/>
            <w:vAlign w:val="bottom"/>
            <w:hideMark/>
          </w:tcPr>
          <w:p w14:paraId="54233520"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0,000</w:t>
            </w:r>
          </w:p>
        </w:tc>
        <w:tc>
          <w:tcPr>
            <w:tcW w:w="976" w:type="dxa"/>
            <w:tcBorders>
              <w:top w:val="nil"/>
              <w:left w:val="nil"/>
              <w:bottom w:val="nil"/>
              <w:right w:val="nil"/>
            </w:tcBorders>
            <w:shd w:val="clear" w:color="auto" w:fill="auto"/>
            <w:noWrap/>
            <w:vAlign w:val="bottom"/>
            <w:hideMark/>
          </w:tcPr>
          <w:p w14:paraId="65BA0196"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0,513206</w:t>
            </w:r>
          </w:p>
        </w:tc>
        <w:tc>
          <w:tcPr>
            <w:tcW w:w="976" w:type="dxa"/>
            <w:tcBorders>
              <w:top w:val="nil"/>
              <w:left w:val="nil"/>
              <w:bottom w:val="nil"/>
              <w:right w:val="nil"/>
            </w:tcBorders>
            <w:shd w:val="clear" w:color="auto" w:fill="auto"/>
            <w:noWrap/>
            <w:vAlign w:val="bottom"/>
            <w:hideMark/>
          </w:tcPr>
          <w:p w14:paraId="2BDBC61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0,615018</w:t>
            </w:r>
          </w:p>
        </w:tc>
      </w:tr>
      <w:tr w:rsidR="009E5478" w:rsidRPr="009E5478" w14:paraId="61EC82BD" w14:textId="77777777" w:rsidTr="009E5478">
        <w:trPr>
          <w:trHeight w:val="300"/>
        </w:trPr>
        <w:tc>
          <w:tcPr>
            <w:tcW w:w="2608" w:type="dxa"/>
            <w:tcBorders>
              <w:top w:val="nil"/>
              <w:left w:val="nil"/>
              <w:bottom w:val="single" w:sz="4" w:space="0" w:color="auto"/>
              <w:right w:val="nil"/>
            </w:tcBorders>
            <w:shd w:val="clear" w:color="auto" w:fill="auto"/>
            <w:noWrap/>
            <w:vAlign w:val="bottom"/>
            <w:hideMark/>
          </w:tcPr>
          <w:p w14:paraId="40DA1D53"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_cons</w:t>
            </w:r>
          </w:p>
        </w:tc>
        <w:tc>
          <w:tcPr>
            <w:tcW w:w="1144" w:type="dxa"/>
            <w:tcBorders>
              <w:top w:val="nil"/>
              <w:left w:val="nil"/>
              <w:bottom w:val="single" w:sz="4" w:space="0" w:color="auto"/>
              <w:right w:val="nil"/>
            </w:tcBorders>
            <w:shd w:val="clear" w:color="auto" w:fill="auto"/>
            <w:noWrap/>
            <w:vAlign w:val="bottom"/>
            <w:hideMark/>
          </w:tcPr>
          <w:p w14:paraId="0AA3E26E"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0,9453754</w:t>
            </w:r>
          </w:p>
        </w:tc>
        <w:tc>
          <w:tcPr>
            <w:tcW w:w="1144" w:type="dxa"/>
            <w:tcBorders>
              <w:top w:val="nil"/>
              <w:left w:val="nil"/>
              <w:bottom w:val="single" w:sz="4" w:space="0" w:color="auto"/>
              <w:right w:val="nil"/>
            </w:tcBorders>
            <w:shd w:val="clear" w:color="auto" w:fill="auto"/>
            <w:noWrap/>
            <w:vAlign w:val="bottom"/>
            <w:hideMark/>
          </w:tcPr>
          <w:p w14:paraId="4C32514E"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0,0316761</w:t>
            </w:r>
          </w:p>
        </w:tc>
        <w:tc>
          <w:tcPr>
            <w:tcW w:w="641" w:type="dxa"/>
            <w:tcBorders>
              <w:top w:val="nil"/>
              <w:left w:val="nil"/>
              <w:bottom w:val="single" w:sz="4" w:space="0" w:color="auto"/>
              <w:right w:val="nil"/>
            </w:tcBorders>
            <w:shd w:val="clear" w:color="auto" w:fill="auto"/>
            <w:noWrap/>
            <w:vAlign w:val="bottom"/>
            <w:hideMark/>
          </w:tcPr>
          <w:p w14:paraId="4165F1C8"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29,85</w:t>
            </w:r>
          </w:p>
        </w:tc>
        <w:tc>
          <w:tcPr>
            <w:tcW w:w="641" w:type="dxa"/>
            <w:tcBorders>
              <w:top w:val="nil"/>
              <w:left w:val="nil"/>
              <w:bottom w:val="single" w:sz="4" w:space="0" w:color="auto"/>
              <w:right w:val="nil"/>
            </w:tcBorders>
            <w:shd w:val="clear" w:color="auto" w:fill="auto"/>
            <w:noWrap/>
            <w:vAlign w:val="bottom"/>
            <w:hideMark/>
          </w:tcPr>
          <w:p w14:paraId="7EF9545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0,000</w:t>
            </w:r>
          </w:p>
        </w:tc>
        <w:tc>
          <w:tcPr>
            <w:tcW w:w="976" w:type="dxa"/>
            <w:tcBorders>
              <w:top w:val="nil"/>
              <w:left w:val="nil"/>
              <w:bottom w:val="single" w:sz="4" w:space="0" w:color="auto"/>
              <w:right w:val="nil"/>
            </w:tcBorders>
            <w:shd w:val="clear" w:color="auto" w:fill="auto"/>
            <w:noWrap/>
            <w:vAlign w:val="bottom"/>
            <w:hideMark/>
          </w:tcPr>
          <w:p w14:paraId="3E25101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0,883291</w:t>
            </w:r>
          </w:p>
        </w:tc>
        <w:tc>
          <w:tcPr>
            <w:tcW w:w="976" w:type="dxa"/>
            <w:tcBorders>
              <w:top w:val="nil"/>
              <w:left w:val="nil"/>
              <w:bottom w:val="single" w:sz="4" w:space="0" w:color="auto"/>
              <w:right w:val="nil"/>
            </w:tcBorders>
            <w:shd w:val="clear" w:color="auto" w:fill="auto"/>
            <w:noWrap/>
            <w:vAlign w:val="bottom"/>
            <w:hideMark/>
          </w:tcPr>
          <w:p w14:paraId="2EE6A8F5"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1,007459</w:t>
            </w:r>
          </w:p>
        </w:tc>
      </w:tr>
      <w:tr w:rsidR="009E5478" w:rsidRPr="009E5478" w14:paraId="5CD855E8" w14:textId="77777777" w:rsidTr="009E5478">
        <w:trPr>
          <w:trHeight w:val="300"/>
        </w:trPr>
        <w:tc>
          <w:tcPr>
            <w:tcW w:w="2608" w:type="dxa"/>
            <w:tcBorders>
              <w:top w:val="nil"/>
              <w:left w:val="nil"/>
              <w:bottom w:val="nil"/>
              <w:right w:val="nil"/>
            </w:tcBorders>
            <w:shd w:val="clear" w:color="auto" w:fill="auto"/>
            <w:noWrap/>
            <w:vAlign w:val="bottom"/>
            <w:hideMark/>
          </w:tcPr>
          <w:p w14:paraId="49606E4B"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transporte_2014 &lt;-</w:t>
            </w:r>
          </w:p>
        </w:tc>
        <w:tc>
          <w:tcPr>
            <w:tcW w:w="1144" w:type="dxa"/>
            <w:tcBorders>
              <w:top w:val="nil"/>
              <w:left w:val="nil"/>
              <w:bottom w:val="nil"/>
              <w:right w:val="nil"/>
            </w:tcBorders>
            <w:shd w:val="clear" w:color="auto" w:fill="auto"/>
            <w:noWrap/>
            <w:vAlign w:val="bottom"/>
            <w:hideMark/>
          </w:tcPr>
          <w:p w14:paraId="137400BA" w14:textId="77777777" w:rsidR="009E5478" w:rsidRPr="009E5478" w:rsidRDefault="009E5478" w:rsidP="009E5478">
            <w:pPr>
              <w:rPr>
                <w:rFonts w:ascii="Calibri" w:hAnsi="Calibri"/>
                <w:color w:val="000000"/>
                <w:sz w:val="22"/>
                <w:szCs w:val="22"/>
              </w:rPr>
            </w:pPr>
          </w:p>
        </w:tc>
        <w:tc>
          <w:tcPr>
            <w:tcW w:w="1144" w:type="dxa"/>
            <w:tcBorders>
              <w:top w:val="nil"/>
              <w:left w:val="nil"/>
              <w:bottom w:val="nil"/>
              <w:right w:val="nil"/>
            </w:tcBorders>
            <w:shd w:val="clear" w:color="auto" w:fill="auto"/>
            <w:noWrap/>
            <w:vAlign w:val="bottom"/>
            <w:hideMark/>
          </w:tcPr>
          <w:p w14:paraId="644C8C00"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67A3D130"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129CFB94"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2B6C07C7"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6A731ACF" w14:textId="77777777" w:rsidR="009E5478" w:rsidRPr="009E5478" w:rsidRDefault="009E5478" w:rsidP="009E5478">
            <w:pPr>
              <w:rPr>
                <w:sz w:val="20"/>
                <w:szCs w:val="20"/>
              </w:rPr>
            </w:pPr>
          </w:p>
        </w:tc>
      </w:tr>
      <w:tr w:rsidR="009E5478" w:rsidRPr="009E5478" w14:paraId="79530A62" w14:textId="77777777" w:rsidTr="009E5478">
        <w:trPr>
          <w:trHeight w:val="300"/>
        </w:trPr>
        <w:tc>
          <w:tcPr>
            <w:tcW w:w="2608" w:type="dxa"/>
            <w:tcBorders>
              <w:top w:val="nil"/>
              <w:left w:val="nil"/>
              <w:bottom w:val="nil"/>
              <w:right w:val="nil"/>
            </w:tcBorders>
            <w:shd w:val="clear" w:color="auto" w:fill="auto"/>
            <w:noWrap/>
            <w:vAlign w:val="bottom"/>
            <w:hideMark/>
          </w:tcPr>
          <w:p w14:paraId="726495E5"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ITC_2014</w:t>
            </w:r>
          </w:p>
        </w:tc>
        <w:tc>
          <w:tcPr>
            <w:tcW w:w="1144" w:type="dxa"/>
            <w:tcBorders>
              <w:top w:val="nil"/>
              <w:left w:val="nil"/>
              <w:bottom w:val="nil"/>
              <w:right w:val="nil"/>
            </w:tcBorders>
            <w:shd w:val="clear" w:color="auto" w:fill="auto"/>
            <w:noWrap/>
            <w:vAlign w:val="bottom"/>
            <w:hideMark/>
          </w:tcPr>
          <w:p w14:paraId="17D7729F"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0,6171084</w:t>
            </w:r>
          </w:p>
        </w:tc>
        <w:tc>
          <w:tcPr>
            <w:tcW w:w="1144" w:type="dxa"/>
            <w:tcBorders>
              <w:top w:val="nil"/>
              <w:left w:val="nil"/>
              <w:bottom w:val="nil"/>
              <w:right w:val="nil"/>
            </w:tcBorders>
            <w:shd w:val="clear" w:color="auto" w:fill="auto"/>
            <w:noWrap/>
            <w:vAlign w:val="bottom"/>
            <w:hideMark/>
          </w:tcPr>
          <w:p w14:paraId="3F54FE20"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0,0252004</w:t>
            </w:r>
          </w:p>
        </w:tc>
        <w:tc>
          <w:tcPr>
            <w:tcW w:w="641" w:type="dxa"/>
            <w:tcBorders>
              <w:top w:val="nil"/>
              <w:left w:val="nil"/>
              <w:bottom w:val="nil"/>
              <w:right w:val="nil"/>
            </w:tcBorders>
            <w:shd w:val="clear" w:color="auto" w:fill="auto"/>
            <w:noWrap/>
            <w:vAlign w:val="bottom"/>
            <w:hideMark/>
          </w:tcPr>
          <w:p w14:paraId="3AA5EC9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24,49</w:t>
            </w:r>
          </w:p>
        </w:tc>
        <w:tc>
          <w:tcPr>
            <w:tcW w:w="641" w:type="dxa"/>
            <w:tcBorders>
              <w:top w:val="nil"/>
              <w:left w:val="nil"/>
              <w:bottom w:val="nil"/>
              <w:right w:val="nil"/>
            </w:tcBorders>
            <w:shd w:val="clear" w:color="auto" w:fill="auto"/>
            <w:noWrap/>
            <w:vAlign w:val="bottom"/>
            <w:hideMark/>
          </w:tcPr>
          <w:p w14:paraId="0A7223F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0,000</w:t>
            </w:r>
          </w:p>
        </w:tc>
        <w:tc>
          <w:tcPr>
            <w:tcW w:w="976" w:type="dxa"/>
            <w:tcBorders>
              <w:top w:val="nil"/>
              <w:left w:val="nil"/>
              <w:bottom w:val="nil"/>
              <w:right w:val="nil"/>
            </w:tcBorders>
            <w:shd w:val="clear" w:color="auto" w:fill="auto"/>
            <w:noWrap/>
            <w:vAlign w:val="bottom"/>
            <w:hideMark/>
          </w:tcPr>
          <w:p w14:paraId="57DA7CAB"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0,567717</w:t>
            </w:r>
          </w:p>
        </w:tc>
        <w:tc>
          <w:tcPr>
            <w:tcW w:w="976" w:type="dxa"/>
            <w:tcBorders>
              <w:top w:val="nil"/>
              <w:left w:val="nil"/>
              <w:bottom w:val="nil"/>
              <w:right w:val="nil"/>
            </w:tcBorders>
            <w:shd w:val="clear" w:color="auto" w:fill="auto"/>
            <w:noWrap/>
            <w:vAlign w:val="bottom"/>
            <w:hideMark/>
          </w:tcPr>
          <w:p w14:paraId="73ED7FF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0,6665</w:t>
            </w:r>
          </w:p>
        </w:tc>
      </w:tr>
      <w:tr w:rsidR="009E5478" w:rsidRPr="009E5478" w14:paraId="0E61B1F0" w14:textId="77777777" w:rsidTr="009E5478">
        <w:trPr>
          <w:trHeight w:val="300"/>
        </w:trPr>
        <w:tc>
          <w:tcPr>
            <w:tcW w:w="2608" w:type="dxa"/>
            <w:tcBorders>
              <w:top w:val="nil"/>
              <w:left w:val="nil"/>
              <w:bottom w:val="single" w:sz="4" w:space="0" w:color="auto"/>
              <w:right w:val="nil"/>
            </w:tcBorders>
            <w:shd w:val="clear" w:color="auto" w:fill="auto"/>
            <w:noWrap/>
            <w:vAlign w:val="bottom"/>
            <w:hideMark/>
          </w:tcPr>
          <w:p w14:paraId="01C241EC"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_cons</w:t>
            </w:r>
          </w:p>
        </w:tc>
        <w:tc>
          <w:tcPr>
            <w:tcW w:w="1144" w:type="dxa"/>
            <w:tcBorders>
              <w:top w:val="nil"/>
              <w:left w:val="nil"/>
              <w:bottom w:val="single" w:sz="4" w:space="0" w:color="auto"/>
              <w:right w:val="nil"/>
            </w:tcBorders>
            <w:shd w:val="clear" w:color="auto" w:fill="auto"/>
            <w:noWrap/>
            <w:vAlign w:val="bottom"/>
            <w:hideMark/>
          </w:tcPr>
          <w:p w14:paraId="1467B901"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1,024279</w:t>
            </w:r>
          </w:p>
        </w:tc>
        <w:tc>
          <w:tcPr>
            <w:tcW w:w="1144" w:type="dxa"/>
            <w:tcBorders>
              <w:top w:val="nil"/>
              <w:left w:val="nil"/>
              <w:bottom w:val="single" w:sz="4" w:space="0" w:color="auto"/>
              <w:right w:val="nil"/>
            </w:tcBorders>
            <w:shd w:val="clear" w:color="auto" w:fill="auto"/>
            <w:noWrap/>
            <w:vAlign w:val="bottom"/>
            <w:hideMark/>
          </w:tcPr>
          <w:p w14:paraId="6A310CAB"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0,0325156</w:t>
            </w:r>
          </w:p>
        </w:tc>
        <w:tc>
          <w:tcPr>
            <w:tcW w:w="641" w:type="dxa"/>
            <w:tcBorders>
              <w:top w:val="nil"/>
              <w:left w:val="nil"/>
              <w:bottom w:val="single" w:sz="4" w:space="0" w:color="auto"/>
              <w:right w:val="nil"/>
            </w:tcBorders>
            <w:shd w:val="clear" w:color="auto" w:fill="auto"/>
            <w:noWrap/>
            <w:vAlign w:val="bottom"/>
            <w:hideMark/>
          </w:tcPr>
          <w:p w14:paraId="76BFDA8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31,5</w:t>
            </w:r>
          </w:p>
        </w:tc>
        <w:tc>
          <w:tcPr>
            <w:tcW w:w="641" w:type="dxa"/>
            <w:tcBorders>
              <w:top w:val="nil"/>
              <w:left w:val="nil"/>
              <w:bottom w:val="single" w:sz="4" w:space="0" w:color="auto"/>
              <w:right w:val="nil"/>
            </w:tcBorders>
            <w:shd w:val="clear" w:color="auto" w:fill="auto"/>
            <w:noWrap/>
            <w:vAlign w:val="bottom"/>
            <w:hideMark/>
          </w:tcPr>
          <w:p w14:paraId="392F682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0,000</w:t>
            </w:r>
          </w:p>
        </w:tc>
        <w:tc>
          <w:tcPr>
            <w:tcW w:w="976" w:type="dxa"/>
            <w:tcBorders>
              <w:top w:val="nil"/>
              <w:left w:val="nil"/>
              <w:bottom w:val="single" w:sz="4" w:space="0" w:color="auto"/>
              <w:right w:val="nil"/>
            </w:tcBorders>
            <w:shd w:val="clear" w:color="auto" w:fill="auto"/>
            <w:noWrap/>
            <w:vAlign w:val="bottom"/>
            <w:hideMark/>
          </w:tcPr>
          <w:p w14:paraId="6ABB646D"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0,96055</w:t>
            </w:r>
          </w:p>
        </w:tc>
        <w:tc>
          <w:tcPr>
            <w:tcW w:w="976" w:type="dxa"/>
            <w:tcBorders>
              <w:top w:val="nil"/>
              <w:left w:val="nil"/>
              <w:bottom w:val="single" w:sz="4" w:space="0" w:color="auto"/>
              <w:right w:val="nil"/>
            </w:tcBorders>
            <w:shd w:val="clear" w:color="auto" w:fill="auto"/>
            <w:noWrap/>
            <w:vAlign w:val="bottom"/>
            <w:hideMark/>
          </w:tcPr>
          <w:p w14:paraId="320895A5"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1,088009</w:t>
            </w:r>
          </w:p>
        </w:tc>
      </w:tr>
      <w:tr w:rsidR="009E5478" w:rsidRPr="009E5478" w14:paraId="5DC41A09" w14:textId="77777777" w:rsidTr="009E5478">
        <w:trPr>
          <w:trHeight w:val="300"/>
        </w:trPr>
        <w:tc>
          <w:tcPr>
            <w:tcW w:w="2608" w:type="dxa"/>
            <w:tcBorders>
              <w:top w:val="nil"/>
              <w:left w:val="nil"/>
              <w:bottom w:val="nil"/>
              <w:right w:val="nil"/>
            </w:tcBorders>
            <w:shd w:val="clear" w:color="auto" w:fill="auto"/>
            <w:noWrap/>
            <w:vAlign w:val="bottom"/>
            <w:hideMark/>
          </w:tcPr>
          <w:p w14:paraId="54F3F33E"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beneficio_2014 &lt;-</w:t>
            </w:r>
          </w:p>
        </w:tc>
        <w:tc>
          <w:tcPr>
            <w:tcW w:w="1144" w:type="dxa"/>
            <w:tcBorders>
              <w:top w:val="nil"/>
              <w:left w:val="nil"/>
              <w:bottom w:val="nil"/>
              <w:right w:val="nil"/>
            </w:tcBorders>
            <w:shd w:val="clear" w:color="auto" w:fill="auto"/>
            <w:noWrap/>
            <w:vAlign w:val="bottom"/>
            <w:hideMark/>
          </w:tcPr>
          <w:p w14:paraId="2DC76E10" w14:textId="77777777" w:rsidR="009E5478" w:rsidRPr="009E5478" w:rsidRDefault="009E5478" w:rsidP="009E5478">
            <w:pPr>
              <w:rPr>
                <w:rFonts w:ascii="Calibri" w:hAnsi="Calibri"/>
                <w:color w:val="000000"/>
                <w:sz w:val="22"/>
                <w:szCs w:val="22"/>
              </w:rPr>
            </w:pPr>
          </w:p>
        </w:tc>
        <w:tc>
          <w:tcPr>
            <w:tcW w:w="1144" w:type="dxa"/>
            <w:tcBorders>
              <w:top w:val="nil"/>
              <w:left w:val="nil"/>
              <w:bottom w:val="nil"/>
              <w:right w:val="nil"/>
            </w:tcBorders>
            <w:shd w:val="clear" w:color="auto" w:fill="auto"/>
            <w:noWrap/>
            <w:vAlign w:val="bottom"/>
            <w:hideMark/>
          </w:tcPr>
          <w:p w14:paraId="56D61BCD"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6EF565F4"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575543B7"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7D13A9E7"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766A0EBB" w14:textId="77777777" w:rsidR="009E5478" w:rsidRPr="009E5478" w:rsidRDefault="009E5478" w:rsidP="009E5478">
            <w:pPr>
              <w:rPr>
                <w:sz w:val="20"/>
                <w:szCs w:val="20"/>
              </w:rPr>
            </w:pPr>
          </w:p>
        </w:tc>
      </w:tr>
      <w:tr w:rsidR="009E5478" w:rsidRPr="009E5478" w14:paraId="042F8919" w14:textId="77777777" w:rsidTr="009E5478">
        <w:trPr>
          <w:trHeight w:val="300"/>
        </w:trPr>
        <w:tc>
          <w:tcPr>
            <w:tcW w:w="2608" w:type="dxa"/>
            <w:tcBorders>
              <w:top w:val="nil"/>
              <w:left w:val="nil"/>
              <w:bottom w:val="nil"/>
              <w:right w:val="nil"/>
            </w:tcBorders>
            <w:shd w:val="clear" w:color="auto" w:fill="auto"/>
            <w:noWrap/>
            <w:vAlign w:val="bottom"/>
            <w:hideMark/>
          </w:tcPr>
          <w:p w14:paraId="4727C015"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ITC_2014</w:t>
            </w:r>
          </w:p>
        </w:tc>
        <w:tc>
          <w:tcPr>
            <w:tcW w:w="1144" w:type="dxa"/>
            <w:tcBorders>
              <w:top w:val="nil"/>
              <w:left w:val="nil"/>
              <w:bottom w:val="nil"/>
              <w:right w:val="nil"/>
            </w:tcBorders>
            <w:shd w:val="clear" w:color="auto" w:fill="auto"/>
            <w:noWrap/>
            <w:vAlign w:val="bottom"/>
            <w:hideMark/>
          </w:tcPr>
          <w:p w14:paraId="5B00C649"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0,5740932</w:t>
            </w:r>
          </w:p>
        </w:tc>
        <w:tc>
          <w:tcPr>
            <w:tcW w:w="1144" w:type="dxa"/>
            <w:tcBorders>
              <w:top w:val="nil"/>
              <w:left w:val="nil"/>
              <w:bottom w:val="nil"/>
              <w:right w:val="nil"/>
            </w:tcBorders>
            <w:shd w:val="clear" w:color="auto" w:fill="auto"/>
            <w:noWrap/>
            <w:vAlign w:val="bottom"/>
            <w:hideMark/>
          </w:tcPr>
          <w:p w14:paraId="47C3C47F"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0,0258255</w:t>
            </w:r>
          </w:p>
        </w:tc>
        <w:tc>
          <w:tcPr>
            <w:tcW w:w="641" w:type="dxa"/>
            <w:tcBorders>
              <w:top w:val="nil"/>
              <w:left w:val="nil"/>
              <w:bottom w:val="nil"/>
              <w:right w:val="nil"/>
            </w:tcBorders>
            <w:shd w:val="clear" w:color="auto" w:fill="auto"/>
            <w:noWrap/>
            <w:vAlign w:val="bottom"/>
            <w:hideMark/>
          </w:tcPr>
          <w:p w14:paraId="3C561E25"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22,23</w:t>
            </w:r>
          </w:p>
        </w:tc>
        <w:tc>
          <w:tcPr>
            <w:tcW w:w="641" w:type="dxa"/>
            <w:tcBorders>
              <w:top w:val="nil"/>
              <w:left w:val="nil"/>
              <w:bottom w:val="nil"/>
              <w:right w:val="nil"/>
            </w:tcBorders>
            <w:shd w:val="clear" w:color="auto" w:fill="auto"/>
            <w:noWrap/>
            <w:vAlign w:val="bottom"/>
            <w:hideMark/>
          </w:tcPr>
          <w:p w14:paraId="4ECF3B65"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w:t>
            </w:r>
          </w:p>
        </w:tc>
        <w:tc>
          <w:tcPr>
            <w:tcW w:w="976" w:type="dxa"/>
            <w:tcBorders>
              <w:top w:val="nil"/>
              <w:left w:val="nil"/>
              <w:bottom w:val="nil"/>
              <w:right w:val="nil"/>
            </w:tcBorders>
            <w:shd w:val="clear" w:color="auto" w:fill="auto"/>
            <w:noWrap/>
            <w:vAlign w:val="bottom"/>
            <w:hideMark/>
          </w:tcPr>
          <w:p w14:paraId="7F26763E"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0,523476</w:t>
            </w:r>
          </w:p>
        </w:tc>
        <w:tc>
          <w:tcPr>
            <w:tcW w:w="976" w:type="dxa"/>
            <w:tcBorders>
              <w:top w:val="nil"/>
              <w:left w:val="nil"/>
              <w:bottom w:val="nil"/>
              <w:right w:val="nil"/>
            </w:tcBorders>
            <w:shd w:val="clear" w:color="auto" w:fill="auto"/>
            <w:noWrap/>
            <w:vAlign w:val="bottom"/>
            <w:hideMark/>
          </w:tcPr>
          <w:p w14:paraId="01931F9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0,62471</w:t>
            </w:r>
          </w:p>
        </w:tc>
      </w:tr>
      <w:tr w:rsidR="009E5478" w:rsidRPr="009E5478" w14:paraId="35404622" w14:textId="77777777" w:rsidTr="009E5478">
        <w:trPr>
          <w:trHeight w:val="300"/>
        </w:trPr>
        <w:tc>
          <w:tcPr>
            <w:tcW w:w="2608" w:type="dxa"/>
            <w:tcBorders>
              <w:top w:val="nil"/>
              <w:left w:val="nil"/>
              <w:bottom w:val="single" w:sz="4" w:space="0" w:color="auto"/>
              <w:right w:val="nil"/>
            </w:tcBorders>
            <w:shd w:val="clear" w:color="auto" w:fill="auto"/>
            <w:noWrap/>
            <w:vAlign w:val="bottom"/>
            <w:hideMark/>
          </w:tcPr>
          <w:p w14:paraId="2EAB4220"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_cons</w:t>
            </w:r>
          </w:p>
        </w:tc>
        <w:tc>
          <w:tcPr>
            <w:tcW w:w="1144" w:type="dxa"/>
            <w:tcBorders>
              <w:top w:val="nil"/>
              <w:left w:val="nil"/>
              <w:bottom w:val="single" w:sz="4" w:space="0" w:color="auto"/>
              <w:right w:val="nil"/>
            </w:tcBorders>
            <w:shd w:val="clear" w:color="auto" w:fill="auto"/>
            <w:noWrap/>
            <w:vAlign w:val="bottom"/>
            <w:hideMark/>
          </w:tcPr>
          <w:p w14:paraId="7B1493E1"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0,9216311</w:t>
            </w:r>
          </w:p>
        </w:tc>
        <w:tc>
          <w:tcPr>
            <w:tcW w:w="1144" w:type="dxa"/>
            <w:tcBorders>
              <w:top w:val="nil"/>
              <w:left w:val="nil"/>
              <w:bottom w:val="single" w:sz="4" w:space="0" w:color="auto"/>
              <w:right w:val="nil"/>
            </w:tcBorders>
            <w:shd w:val="clear" w:color="auto" w:fill="auto"/>
            <w:noWrap/>
            <w:vAlign w:val="bottom"/>
            <w:hideMark/>
          </w:tcPr>
          <w:p w14:paraId="5F7A1FE0"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0,0314325</w:t>
            </w:r>
          </w:p>
        </w:tc>
        <w:tc>
          <w:tcPr>
            <w:tcW w:w="641" w:type="dxa"/>
            <w:tcBorders>
              <w:top w:val="nil"/>
              <w:left w:val="nil"/>
              <w:bottom w:val="single" w:sz="4" w:space="0" w:color="auto"/>
              <w:right w:val="nil"/>
            </w:tcBorders>
            <w:shd w:val="clear" w:color="auto" w:fill="auto"/>
            <w:noWrap/>
            <w:vAlign w:val="bottom"/>
            <w:hideMark/>
          </w:tcPr>
          <w:p w14:paraId="6B25C3A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29,32</w:t>
            </w:r>
          </w:p>
        </w:tc>
        <w:tc>
          <w:tcPr>
            <w:tcW w:w="641" w:type="dxa"/>
            <w:tcBorders>
              <w:top w:val="nil"/>
              <w:left w:val="nil"/>
              <w:bottom w:val="single" w:sz="4" w:space="0" w:color="auto"/>
              <w:right w:val="nil"/>
            </w:tcBorders>
            <w:shd w:val="clear" w:color="auto" w:fill="auto"/>
            <w:noWrap/>
            <w:vAlign w:val="bottom"/>
            <w:hideMark/>
          </w:tcPr>
          <w:p w14:paraId="22CF60AB"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w:t>
            </w:r>
          </w:p>
        </w:tc>
        <w:tc>
          <w:tcPr>
            <w:tcW w:w="976" w:type="dxa"/>
            <w:tcBorders>
              <w:top w:val="nil"/>
              <w:left w:val="nil"/>
              <w:bottom w:val="single" w:sz="4" w:space="0" w:color="auto"/>
              <w:right w:val="nil"/>
            </w:tcBorders>
            <w:shd w:val="clear" w:color="auto" w:fill="auto"/>
            <w:noWrap/>
            <w:vAlign w:val="bottom"/>
            <w:hideMark/>
          </w:tcPr>
          <w:p w14:paraId="08BC3DCA"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0,860025</w:t>
            </w:r>
          </w:p>
        </w:tc>
        <w:tc>
          <w:tcPr>
            <w:tcW w:w="976" w:type="dxa"/>
            <w:tcBorders>
              <w:top w:val="nil"/>
              <w:left w:val="nil"/>
              <w:bottom w:val="single" w:sz="4" w:space="0" w:color="auto"/>
              <w:right w:val="nil"/>
            </w:tcBorders>
            <w:shd w:val="clear" w:color="auto" w:fill="auto"/>
            <w:noWrap/>
            <w:vAlign w:val="bottom"/>
            <w:hideMark/>
          </w:tcPr>
          <w:p w14:paraId="389B34AB"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0,983238</w:t>
            </w:r>
          </w:p>
        </w:tc>
      </w:tr>
      <w:tr w:rsidR="009E5478" w:rsidRPr="009E5478" w14:paraId="34543B55" w14:textId="77777777" w:rsidTr="009E5478">
        <w:trPr>
          <w:trHeight w:val="300"/>
        </w:trPr>
        <w:tc>
          <w:tcPr>
            <w:tcW w:w="2608" w:type="dxa"/>
            <w:tcBorders>
              <w:top w:val="nil"/>
              <w:left w:val="nil"/>
              <w:bottom w:val="nil"/>
              <w:right w:val="nil"/>
            </w:tcBorders>
            <w:shd w:val="clear" w:color="auto" w:fill="auto"/>
            <w:noWrap/>
            <w:vAlign w:val="bottom"/>
            <w:hideMark/>
          </w:tcPr>
          <w:p w14:paraId="7DCF6129" w14:textId="3B15C3F2" w:rsidR="009E5478" w:rsidRPr="009E5478" w:rsidRDefault="009E5478" w:rsidP="009E5478">
            <w:pPr>
              <w:rPr>
                <w:rFonts w:ascii="Calibri" w:hAnsi="Calibri"/>
                <w:color w:val="000000"/>
                <w:sz w:val="22"/>
                <w:szCs w:val="22"/>
              </w:rPr>
            </w:pPr>
            <w:r w:rsidRPr="009E5478">
              <w:rPr>
                <w:rFonts w:ascii="Calibri" w:hAnsi="Calibri"/>
                <w:color w:val="000000"/>
                <w:sz w:val="22"/>
                <w:szCs w:val="22"/>
              </w:rPr>
              <w:t>Va</w:t>
            </w:r>
            <w:r w:rsidR="00D67DAF">
              <w:rPr>
                <w:rFonts w:ascii="Calibri" w:hAnsi="Calibri"/>
                <w:color w:val="000000"/>
                <w:sz w:val="22"/>
                <w:szCs w:val="22"/>
              </w:rPr>
              <w:t>riança</w:t>
            </w:r>
          </w:p>
        </w:tc>
        <w:tc>
          <w:tcPr>
            <w:tcW w:w="1144" w:type="dxa"/>
            <w:tcBorders>
              <w:top w:val="nil"/>
              <w:left w:val="nil"/>
              <w:bottom w:val="nil"/>
              <w:right w:val="nil"/>
            </w:tcBorders>
            <w:shd w:val="clear" w:color="auto" w:fill="auto"/>
            <w:noWrap/>
            <w:vAlign w:val="bottom"/>
            <w:hideMark/>
          </w:tcPr>
          <w:p w14:paraId="17CF67CB" w14:textId="77777777" w:rsidR="009E5478" w:rsidRPr="009E5478" w:rsidRDefault="009E5478" w:rsidP="009E5478">
            <w:pPr>
              <w:rPr>
                <w:rFonts w:ascii="Calibri" w:hAnsi="Calibri"/>
                <w:color w:val="000000"/>
                <w:sz w:val="22"/>
                <w:szCs w:val="22"/>
              </w:rPr>
            </w:pPr>
          </w:p>
        </w:tc>
        <w:tc>
          <w:tcPr>
            <w:tcW w:w="1144" w:type="dxa"/>
            <w:tcBorders>
              <w:top w:val="nil"/>
              <w:left w:val="nil"/>
              <w:bottom w:val="nil"/>
              <w:right w:val="nil"/>
            </w:tcBorders>
            <w:shd w:val="clear" w:color="auto" w:fill="auto"/>
            <w:noWrap/>
            <w:vAlign w:val="bottom"/>
            <w:hideMark/>
          </w:tcPr>
          <w:p w14:paraId="0ACDA101"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0DA65711" w14:textId="77777777" w:rsidR="009E5478" w:rsidRPr="009E5478" w:rsidRDefault="009E5478" w:rsidP="009E5478">
            <w:pPr>
              <w:rPr>
                <w:sz w:val="20"/>
                <w:szCs w:val="20"/>
              </w:rPr>
            </w:pPr>
          </w:p>
        </w:tc>
        <w:tc>
          <w:tcPr>
            <w:tcW w:w="641" w:type="dxa"/>
            <w:tcBorders>
              <w:top w:val="nil"/>
              <w:left w:val="nil"/>
              <w:bottom w:val="nil"/>
              <w:right w:val="nil"/>
            </w:tcBorders>
            <w:shd w:val="clear" w:color="auto" w:fill="auto"/>
            <w:noWrap/>
            <w:vAlign w:val="bottom"/>
            <w:hideMark/>
          </w:tcPr>
          <w:p w14:paraId="4166E764"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23C7B45B"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3F5ED668" w14:textId="77777777" w:rsidR="009E5478" w:rsidRPr="009E5478" w:rsidRDefault="009E5478" w:rsidP="009E5478">
            <w:pPr>
              <w:rPr>
                <w:sz w:val="20"/>
                <w:szCs w:val="20"/>
              </w:rPr>
            </w:pPr>
          </w:p>
        </w:tc>
      </w:tr>
      <w:tr w:rsidR="009E5478" w:rsidRPr="009E5478" w14:paraId="6528E26C" w14:textId="77777777" w:rsidTr="009E5478">
        <w:trPr>
          <w:trHeight w:val="300"/>
        </w:trPr>
        <w:tc>
          <w:tcPr>
            <w:tcW w:w="2608" w:type="dxa"/>
            <w:tcBorders>
              <w:top w:val="nil"/>
              <w:left w:val="nil"/>
              <w:bottom w:val="nil"/>
              <w:right w:val="nil"/>
            </w:tcBorders>
            <w:shd w:val="clear" w:color="auto" w:fill="auto"/>
            <w:noWrap/>
            <w:vAlign w:val="bottom"/>
            <w:hideMark/>
          </w:tcPr>
          <w:p w14:paraId="1E7506C5"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e.impostos_2014</w:t>
            </w:r>
          </w:p>
        </w:tc>
        <w:tc>
          <w:tcPr>
            <w:tcW w:w="1144" w:type="dxa"/>
            <w:tcBorders>
              <w:top w:val="nil"/>
              <w:left w:val="nil"/>
              <w:bottom w:val="nil"/>
              <w:right w:val="nil"/>
            </w:tcBorders>
            <w:shd w:val="clear" w:color="auto" w:fill="auto"/>
            <w:noWrap/>
            <w:vAlign w:val="bottom"/>
            <w:hideMark/>
          </w:tcPr>
          <w:p w14:paraId="0A9173B5"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0,6341384</w:t>
            </w:r>
          </w:p>
        </w:tc>
        <w:tc>
          <w:tcPr>
            <w:tcW w:w="1144" w:type="dxa"/>
            <w:tcBorders>
              <w:top w:val="nil"/>
              <w:left w:val="nil"/>
              <w:bottom w:val="nil"/>
              <w:right w:val="nil"/>
            </w:tcBorders>
            <w:shd w:val="clear" w:color="auto" w:fill="auto"/>
            <w:noWrap/>
            <w:vAlign w:val="bottom"/>
            <w:hideMark/>
          </w:tcPr>
          <w:p w14:paraId="0910ACD1"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0,0306206</w:t>
            </w:r>
          </w:p>
        </w:tc>
        <w:tc>
          <w:tcPr>
            <w:tcW w:w="641" w:type="dxa"/>
            <w:tcBorders>
              <w:top w:val="nil"/>
              <w:left w:val="nil"/>
              <w:bottom w:val="nil"/>
              <w:right w:val="nil"/>
            </w:tcBorders>
            <w:shd w:val="clear" w:color="auto" w:fill="auto"/>
            <w:noWrap/>
            <w:vAlign w:val="bottom"/>
            <w:hideMark/>
          </w:tcPr>
          <w:p w14:paraId="5FC27B08" w14:textId="77777777" w:rsidR="009E5478" w:rsidRPr="009E5478" w:rsidRDefault="009E5478" w:rsidP="009E5478">
            <w:pPr>
              <w:jc w:val="right"/>
              <w:rPr>
                <w:rFonts w:ascii="Calibri" w:hAnsi="Calibri"/>
                <w:color w:val="000000"/>
                <w:sz w:val="22"/>
                <w:szCs w:val="22"/>
              </w:rPr>
            </w:pPr>
          </w:p>
        </w:tc>
        <w:tc>
          <w:tcPr>
            <w:tcW w:w="641" w:type="dxa"/>
            <w:tcBorders>
              <w:top w:val="nil"/>
              <w:left w:val="nil"/>
              <w:bottom w:val="nil"/>
              <w:right w:val="nil"/>
            </w:tcBorders>
            <w:shd w:val="clear" w:color="auto" w:fill="auto"/>
            <w:noWrap/>
            <w:vAlign w:val="bottom"/>
            <w:hideMark/>
          </w:tcPr>
          <w:p w14:paraId="42F6C915"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108D090B"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0,576876</w:t>
            </w:r>
          </w:p>
        </w:tc>
        <w:tc>
          <w:tcPr>
            <w:tcW w:w="976" w:type="dxa"/>
            <w:tcBorders>
              <w:top w:val="nil"/>
              <w:left w:val="nil"/>
              <w:bottom w:val="nil"/>
              <w:right w:val="nil"/>
            </w:tcBorders>
            <w:shd w:val="clear" w:color="auto" w:fill="auto"/>
            <w:noWrap/>
            <w:vAlign w:val="bottom"/>
            <w:hideMark/>
          </w:tcPr>
          <w:p w14:paraId="0DA09961"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0,697085</w:t>
            </w:r>
          </w:p>
        </w:tc>
      </w:tr>
      <w:tr w:rsidR="009E5478" w:rsidRPr="009E5478" w14:paraId="6E0D9303" w14:textId="77777777" w:rsidTr="009E5478">
        <w:trPr>
          <w:trHeight w:val="300"/>
        </w:trPr>
        <w:tc>
          <w:tcPr>
            <w:tcW w:w="2608" w:type="dxa"/>
            <w:tcBorders>
              <w:top w:val="nil"/>
              <w:left w:val="nil"/>
              <w:bottom w:val="nil"/>
              <w:right w:val="nil"/>
            </w:tcBorders>
            <w:shd w:val="clear" w:color="auto" w:fill="auto"/>
            <w:noWrap/>
            <w:vAlign w:val="bottom"/>
            <w:hideMark/>
          </w:tcPr>
          <w:p w14:paraId="6C832E4F"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e.propina_2014</w:t>
            </w:r>
          </w:p>
        </w:tc>
        <w:tc>
          <w:tcPr>
            <w:tcW w:w="1144" w:type="dxa"/>
            <w:tcBorders>
              <w:top w:val="nil"/>
              <w:left w:val="nil"/>
              <w:bottom w:val="nil"/>
              <w:right w:val="nil"/>
            </w:tcBorders>
            <w:shd w:val="clear" w:color="auto" w:fill="auto"/>
            <w:noWrap/>
            <w:vAlign w:val="bottom"/>
            <w:hideMark/>
          </w:tcPr>
          <w:p w14:paraId="7F948E2C"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0,6817774</w:t>
            </w:r>
          </w:p>
        </w:tc>
        <w:tc>
          <w:tcPr>
            <w:tcW w:w="1144" w:type="dxa"/>
            <w:tcBorders>
              <w:top w:val="nil"/>
              <w:left w:val="nil"/>
              <w:bottom w:val="nil"/>
              <w:right w:val="nil"/>
            </w:tcBorders>
            <w:shd w:val="clear" w:color="auto" w:fill="auto"/>
            <w:noWrap/>
            <w:vAlign w:val="bottom"/>
            <w:hideMark/>
          </w:tcPr>
          <w:p w14:paraId="011F2965"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0,0293034</w:t>
            </w:r>
          </w:p>
        </w:tc>
        <w:tc>
          <w:tcPr>
            <w:tcW w:w="641" w:type="dxa"/>
            <w:tcBorders>
              <w:top w:val="nil"/>
              <w:left w:val="nil"/>
              <w:bottom w:val="nil"/>
              <w:right w:val="nil"/>
            </w:tcBorders>
            <w:shd w:val="clear" w:color="auto" w:fill="auto"/>
            <w:noWrap/>
            <w:vAlign w:val="bottom"/>
            <w:hideMark/>
          </w:tcPr>
          <w:p w14:paraId="2383C177" w14:textId="77777777" w:rsidR="009E5478" w:rsidRPr="009E5478" w:rsidRDefault="009E5478" w:rsidP="009E5478">
            <w:pPr>
              <w:jc w:val="right"/>
              <w:rPr>
                <w:rFonts w:ascii="Calibri" w:hAnsi="Calibri"/>
                <w:color w:val="000000"/>
                <w:sz w:val="22"/>
                <w:szCs w:val="22"/>
              </w:rPr>
            </w:pPr>
          </w:p>
        </w:tc>
        <w:tc>
          <w:tcPr>
            <w:tcW w:w="641" w:type="dxa"/>
            <w:tcBorders>
              <w:top w:val="nil"/>
              <w:left w:val="nil"/>
              <w:bottom w:val="nil"/>
              <w:right w:val="nil"/>
            </w:tcBorders>
            <w:shd w:val="clear" w:color="auto" w:fill="auto"/>
            <w:noWrap/>
            <w:vAlign w:val="bottom"/>
            <w:hideMark/>
          </w:tcPr>
          <w:p w14:paraId="10A1A76F"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24A10AF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0,626696</w:t>
            </w:r>
          </w:p>
        </w:tc>
        <w:tc>
          <w:tcPr>
            <w:tcW w:w="976" w:type="dxa"/>
            <w:tcBorders>
              <w:top w:val="nil"/>
              <w:left w:val="nil"/>
              <w:bottom w:val="nil"/>
              <w:right w:val="nil"/>
            </w:tcBorders>
            <w:shd w:val="clear" w:color="auto" w:fill="auto"/>
            <w:noWrap/>
            <w:vAlign w:val="bottom"/>
            <w:hideMark/>
          </w:tcPr>
          <w:p w14:paraId="512E089F"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0,7417</w:t>
            </w:r>
          </w:p>
        </w:tc>
      </w:tr>
      <w:tr w:rsidR="009E5478" w:rsidRPr="009E5478" w14:paraId="56862905" w14:textId="77777777" w:rsidTr="009E5478">
        <w:trPr>
          <w:trHeight w:val="300"/>
        </w:trPr>
        <w:tc>
          <w:tcPr>
            <w:tcW w:w="2608" w:type="dxa"/>
            <w:tcBorders>
              <w:top w:val="nil"/>
              <w:left w:val="nil"/>
              <w:bottom w:val="nil"/>
              <w:right w:val="nil"/>
            </w:tcBorders>
            <w:shd w:val="clear" w:color="auto" w:fill="auto"/>
            <w:noWrap/>
            <w:vAlign w:val="bottom"/>
            <w:hideMark/>
          </w:tcPr>
          <w:p w14:paraId="19CDDB1E"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e.transporte_2014</w:t>
            </w:r>
          </w:p>
        </w:tc>
        <w:tc>
          <w:tcPr>
            <w:tcW w:w="1144" w:type="dxa"/>
            <w:tcBorders>
              <w:top w:val="nil"/>
              <w:left w:val="nil"/>
              <w:bottom w:val="nil"/>
              <w:right w:val="nil"/>
            </w:tcBorders>
            <w:shd w:val="clear" w:color="auto" w:fill="auto"/>
            <w:noWrap/>
            <w:vAlign w:val="bottom"/>
            <w:hideMark/>
          </w:tcPr>
          <w:p w14:paraId="095BDFA6"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0,6191773</w:t>
            </w:r>
          </w:p>
        </w:tc>
        <w:tc>
          <w:tcPr>
            <w:tcW w:w="1144" w:type="dxa"/>
            <w:tcBorders>
              <w:top w:val="nil"/>
              <w:left w:val="nil"/>
              <w:bottom w:val="nil"/>
              <w:right w:val="nil"/>
            </w:tcBorders>
            <w:shd w:val="clear" w:color="auto" w:fill="auto"/>
            <w:noWrap/>
            <w:vAlign w:val="bottom"/>
            <w:hideMark/>
          </w:tcPr>
          <w:p w14:paraId="249F9D4D"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0,0311027</w:t>
            </w:r>
          </w:p>
        </w:tc>
        <w:tc>
          <w:tcPr>
            <w:tcW w:w="641" w:type="dxa"/>
            <w:tcBorders>
              <w:top w:val="nil"/>
              <w:left w:val="nil"/>
              <w:bottom w:val="nil"/>
              <w:right w:val="nil"/>
            </w:tcBorders>
            <w:shd w:val="clear" w:color="auto" w:fill="auto"/>
            <w:noWrap/>
            <w:vAlign w:val="bottom"/>
            <w:hideMark/>
          </w:tcPr>
          <w:p w14:paraId="1A625D14" w14:textId="77777777" w:rsidR="009E5478" w:rsidRPr="009E5478" w:rsidRDefault="009E5478" w:rsidP="009E5478">
            <w:pPr>
              <w:jc w:val="right"/>
              <w:rPr>
                <w:rFonts w:ascii="Calibri" w:hAnsi="Calibri"/>
                <w:color w:val="000000"/>
                <w:sz w:val="22"/>
                <w:szCs w:val="22"/>
              </w:rPr>
            </w:pPr>
          </w:p>
        </w:tc>
        <w:tc>
          <w:tcPr>
            <w:tcW w:w="641" w:type="dxa"/>
            <w:tcBorders>
              <w:top w:val="nil"/>
              <w:left w:val="nil"/>
              <w:bottom w:val="nil"/>
              <w:right w:val="nil"/>
            </w:tcBorders>
            <w:shd w:val="clear" w:color="auto" w:fill="auto"/>
            <w:noWrap/>
            <w:vAlign w:val="bottom"/>
            <w:hideMark/>
          </w:tcPr>
          <w:p w14:paraId="4A999464"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00DEAF2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0,561122</w:t>
            </w:r>
          </w:p>
        </w:tc>
        <w:tc>
          <w:tcPr>
            <w:tcW w:w="976" w:type="dxa"/>
            <w:tcBorders>
              <w:top w:val="nil"/>
              <w:left w:val="nil"/>
              <w:bottom w:val="nil"/>
              <w:right w:val="nil"/>
            </w:tcBorders>
            <w:shd w:val="clear" w:color="auto" w:fill="auto"/>
            <w:noWrap/>
            <w:vAlign w:val="bottom"/>
            <w:hideMark/>
          </w:tcPr>
          <w:p w14:paraId="79F2111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0,683239</w:t>
            </w:r>
          </w:p>
        </w:tc>
      </w:tr>
      <w:tr w:rsidR="009E5478" w:rsidRPr="009E5478" w14:paraId="2E42EA17" w14:textId="77777777" w:rsidTr="009E5478">
        <w:trPr>
          <w:trHeight w:val="300"/>
        </w:trPr>
        <w:tc>
          <w:tcPr>
            <w:tcW w:w="2608" w:type="dxa"/>
            <w:tcBorders>
              <w:top w:val="nil"/>
              <w:left w:val="nil"/>
              <w:bottom w:val="nil"/>
              <w:right w:val="nil"/>
            </w:tcBorders>
            <w:shd w:val="clear" w:color="auto" w:fill="auto"/>
            <w:noWrap/>
            <w:vAlign w:val="bottom"/>
            <w:hideMark/>
          </w:tcPr>
          <w:p w14:paraId="73E09AD3"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e.beneficio_2014</w:t>
            </w:r>
          </w:p>
        </w:tc>
        <w:tc>
          <w:tcPr>
            <w:tcW w:w="1144" w:type="dxa"/>
            <w:tcBorders>
              <w:top w:val="nil"/>
              <w:left w:val="nil"/>
              <w:bottom w:val="nil"/>
              <w:right w:val="nil"/>
            </w:tcBorders>
            <w:shd w:val="clear" w:color="auto" w:fill="auto"/>
            <w:noWrap/>
            <w:vAlign w:val="bottom"/>
            <w:hideMark/>
          </w:tcPr>
          <w:p w14:paraId="0AA09415"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0,670417</w:t>
            </w:r>
          </w:p>
        </w:tc>
        <w:tc>
          <w:tcPr>
            <w:tcW w:w="1144" w:type="dxa"/>
            <w:tcBorders>
              <w:top w:val="nil"/>
              <w:left w:val="nil"/>
              <w:bottom w:val="nil"/>
              <w:right w:val="nil"/>
            </w:tcBorders>
            <w:shd w:val="clear" w:color="auto" w:fill="auto"/>
            <w:noWrap/>
            <w:vAlign w:val="bottom"/>
            <w:hideMark/>
          </w:tcPr>
          <w:p w14:paraId="4D5D8DD2"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0,0296525</w:t>
            </w:r>
          </w:p>
        </w:tc>
        <w:tc>
          <w:tcPr>
            <w:tcW w:w="641" w:type="dxa"/>
            <w:tcBorders>
              <w:top w:val="nil"/>
              <w:left w:val="nil"/>
              <w:bottom w:val="nil"/>
              <w:right w:val="nil"/>
            </w:tcBorders>
            <w:shd w:val="clear" w:color="auto" w:fill="auto"/>
            <w:noWrap/>
            <w:vAlign w:val="bottom"/>
            <w:hideMark/>
          </w:tcPr>
          <w:p w14:paraId="191680DE" w14:textId="77777777" w:rsidR="009E5478" w:rsidRPr="009E5478" w:rsidRDefault="009E5478" w:rsidP="009E5478">
            <w:pPr>
              <w:jc w:val="right"/>
              <w:rPr>
                <w:rFonts w:ascii="Calibri" w:hAnsi="Calibri"/>
                <w:color w:val="000000"/>
                <w:sz w:val="22"/>
                <w:szCs w:val="22"/>
              </w:rPr>
            </w:pPr>
          </w:p>
        </w:tc>
        <w:tc>
          <w:tcPr>
            <w:tcW w:w="641" w:type="dxa"/>
            <w:tcBorders>
              <w:top w:val="nil"/>
              <w:left w:val="nil"/>
              <w:bottom w:val="nil"/>
              <w:right w:val="nil"/>
            </w:tcBorders>
            <w:shd w:val="clear" w:color="auto" w:fill="auto"/>
            <w:noWrap/>
            <w:vAlign w:val="bottom"/>
            <w:hideMark/>
          </w:tcPr>
          <w:p w14:paraId="0F5A7462"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1C2F7BC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0,614747</w:t>
            </w:r>
          </w:p>
        </w:tc>
        <w:tc>
          <w:tcPr>
            <w:tcW w:w="976" w:type="dxa"/>
            <w:tcBorders>
              <w:top w:val="nil"/>
              <w:left w:val="nil"/>
              <w:bottom w:val="nil"/>
              <w:right w:val="nil"/>
            </w:tcBorders>
            <w:shd w:val="clear" w:color="auto" w:fill="auto"/>
            <w:noWrap/>
            <w:vAlign w:val="bottom"/>
            <w:hideMark/>
          </w:tcPr>
          <w:p w14:paraId="64ABCF7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0,731128</w:t>
            </w:r>
          </w:p>
        </w:tc>
      </w:tr>
      <w:tr w:rsidR="009E5478" w:rsidRPr="009E5478" w14:paraId="69F02E1C" w14:textId="77777777" w:rsidTr="009E5478">
        <w:trPr>
          <w:trHeight w:val="300"/>
        </w:trPr>
        <w:tc>
          <w:tcPr>
            <w:tcW w:w="2608" w:type="dxa"/>
            <w:tcBorders>
              <w:top w:val="nil"/>
              <w:left w:val="nil"/>
              <w:bottom w:val="single" w:sz="4" w:space="0" w:color="auto"/>
              <w:right w:val="nil"/>
            </w:tcBorders>
            <w:shd w:val="clear" w:color="auto" w:fill="auto"/>
            <w:noWrap/>
            <w:vAlign w:val="bottom"/>
            <w:hideMark/>
          </w:tcPr>
          <w:p w14:paraId="581B305F"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ITC_2014</w:t>
            </w:r>
          </w:p>
        </w:tc>
        <w:tc>
          <w:tcPr>
            <w:tcW w:w="1144" w:type="dxa"/>
            <w:tcBorders>
              <w:top w:val="nil"/>
              <w:left w:val="nil"/>
              <w:bottom w:val="single" w:sz="4" w:space="0" w:color="auto"/>
              <w:right w:val="nil"/>
            </w:tcBorders>
            <w:shd w:val="clear" w:color="auto" w:fill="auto"/>
            <w:noWrap/>
            <w:vAlign w:val="bottom"/>
            <w:hideMark/>
          </w:tcPr>
          <w:p w14:paraId="261B994F"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1</w:t>
            </w:r>
          </w:p>
        </w:tc>
        <w:tc>
          <w:tcPr>
            <w:tcW w:w="1144" w:type="dxa"/>
            <w:tcBorders>
              <w:top w:val="nil"/>
              <w:left w:val="nil"/>
              <w:bottom w:val="single" w:sz="4" w:space="0" w:color="auto"/>
              <w:right w:val="nil"/>
            </w:tcBorders>
            <w:shd w:val="clear" w:color="auto" w:fill="auto"/>
            <w:noWrap/>
            <w:vAlign w:val="bottom"/>
            <w:hideMark/>
          </w:tcPr>
          <w:p w14:paraId="0BD53BA7"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w:t>
            </w:r>
          </w:p>
        </w:tc>
        <w:tc>
          <w:tcPr>
            <w:tcW w:w="641" w:type="dxa"/>
            <w:tcBorders>
              <w:top w:val="nil"/>
              <w:left w:val="nil"/>
              <w:bottom w:val="nil"/>
              <w:right w:val="nil"/>
            </w:tcBorders>
            <w:shd w:val="clear" w:color="auto" w:fill="auto"/>
            <w:noWrap/>
            <w:vAlign w:val="bottom"/>
            <w:hideMark/>
          </w:tcPr>
          <w:p w14:paraId="0E5E21E1" w14:textId="77777777" w:rsidR="009E5478" w:rsidRPr="009E5478" w:rsidRDefault="009E5478" w:rsidP="009E5478">
            <w:pPr>
              <w:rPr>
                <w:rFonts w:ascii="Calibri" w:hAnsi="Calibri"/>
                <w:color w:val="000000"/>
                <w:sz w:val="22"/>
                <w:szCs w:val="22"/>
              </w:rPr>
            </w:pPr>
          </w:p>
        </w:tc>
        <w:tc>
          <w:tcPr>
            <w:tcW w:w="641" w:type="dxa"/>
            <w:tcBorders>
              <w:top w:val="nil"/>
              <w:left w:val="nil"/>
              <w:bottom w:val="nil"/>
              <w:right w:val="nil"/>
            </w:tcBorders>
            <w:shd w:val="clear" w:color="auto" w:fill="auto"/>
            <w:noWrap/>
            <w:vAlign w:val="bottom"/>
            <w:hideMark/>
          </w:tcPr>
          <w:p w14:paraId="4C466EA8" w14:textId="77777777" w:rsidR="009E5478" w:rsidRPr="009E5478" w:rsidRDefault="009E5478" w:rsidP="009E5478">
            <w:pPr>
              <w:rPr>
                <w:sz w:val="20"/>
                <w:szCs w:val="20"/>
              </w:rPr>
            </w:pPr>
          </w:p>
        </w:tc>
        <w:tc>
          <w:tcPr>
            <w:tcW w:w="976" w:type="dxa"/>
            <w:tcBorders>
              <w:top w:val="nil"/>
              <w:left w:val="nil"/>
              <w:bottom w:val="nil"/>
              <w:right w:val="nil"/>
            </w:tcBorders>
            <w:shd w:val="clear" w:color="auto" w:fill="auto"/>
            <w:noWrap/>
            <w:vAlign w:val="bottom"/>
            <w:hideMark/>
          </w:tcPr>
          <w:p w14:paraId="45100C88"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w:t>
            </w:r>
          </w:p>
        </w:tc>
        <w:tc>
          <w:tcPr>
            <w:tcW w:w="976" w:type="dxa"/>
            <w:tcBorders>
              <w:top w:val="nil"/>
              <w:left w:val="nil"/>
              <w:bottom w:val="nil"/>
              <w:right w:val="nil"/>
            </w:tcBorders>
            <w:shd w:val="clear" w:color="auto" w:fill="auto"/>
            <w:noWrap/>
            <w:vAlign w:val="bottom"/>
            <w:hideMark/>
          </w:tcPr>
          <w:p w14:paraId="13BD8DA8"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w:t>
            </w:r>
          </w:p>
        </w:tc>
      </w:tr>
      <w:tr w:rsidR="009E5478" w:rsidRPr="005D065B" w14:paraId="4DCF4DE0" w14:textId="77777777" w:rsidTr="009E5478">
        <w:trPr>
          <w:trHeight w:val="300"/>
        </w:trPr>
        <w:tc>
          <w:tcPr>
            <w:tcW w:w="8130" w:type="dxa"/>
            <w:gridSpan w:val="7"/>
            <w:tcBorders>
              <w:top w:val="single" w:sz="4" w:space="0" w:color="auto"/>
              <w:left w:val="nil"/>
              <w:bottom w:val="nil"/>
              <w:right w:val="nil"/>
            </w:tcBorders>
            <w:shd w:val="clear" w:color="auto" w:fill="auto"/>
            <w:noWrap/>
            <w:vAlign w:val="bottom"/>
            <w:hideMark/>
          </w:tcPr>
          <w:p w14:paraId="3E25DE56" w14:textId="77777777" w:rsidR="009E5478" w:rsidRPr="009E5478" w:rsidRDefault="009E5478" w:rsidP="009E5478">
            <w:pPr>
              <w:jc w:val="center"/>
              <w:rPr>
                <w:rFonts w:ascii="Calibri" w:hAnsi="Calibri"/>
                <w:color w:val="000000"/>
                <w:sz w:val="22"/>
                <w:szCs w:val="22"/>
                <w:lang w:val="en-US"/>
              </w:rPr>
            </w:pPr>
            <w:r w:rsidRPr="009E5478">
              <w:rPr>
                <w:rFonts w:ascii="Calibri" w:hAnsi="Calibri"/>
                <w:color w:val="000000"/>
                <w:sz w:val="22"/>
                <w:szCs w:val="22"/>
                <w:lang w:val="en-US"/>
              </w:rPr>
              <w:t>LR test of model vs. saturated: chi2(2)   =     10,82, Prob &gt; chi2 = 0,0045</w:t>
            </w:r>
          </w:p>
        </w:tc>
      </w:tr>
    </w:tbl>
    <w:p w14:paraId="5384A40F" w14:textId="77777777" w:rsidR="009E5478" w:rsidRDefault="009E5478" w:rsidP="005E586A">
      <w:pPr>
        <w:jc w:val="both"/>
        <w:rPr>
          <w:rFonts w:asciiTheme="minorHAnsi" w:hAnsiTheme="minorHAnsi"/>
          <w:lang w:val="en-US"/>
        </w:rPr>
      </w:pPr>
    </w:p>
    <w:p w14:paraId="0386B377" w14:textId="77777777" w:rsidR="00D67DAF" w:rsidRDefault="00D67DAF" w:rsidP="005E586A">
      <w:pPr>
        <w:jc w:val="both"/>
        <w:rPr>
          <w:rFonts w:asciiTheme="minorHAnsi" w:hAnsiTheme="minorHAnsi"/>
          <w:lang w:val="en-US"/>
        </w:rPr>
      </w:pPr>
    </w:p>
    <w:p w14:paraId="619F9181" w14:textId="77777777" w:rsidR="00D67DAF" w:rsidRDefault="00D67DAF" w:rsidP="005E586A">
      <w:pPr>
        <w:jc w:val="both"/>
        <w:rPr>
          <w:rFonts w:asciiTheme="minorHAnsi" w:hAnsiTheme="minorHAnsi"/>
          <w:lang w:val="en-US"/>
        </w:rPr>
      </w:pPr>
    </w:p>
    <w:tbl>
      <w:tblPr>
        <w:tblW w:w="8380" w:type="dxa"/>
        <w:tblCellMar>
          <w:left w:w="70" w:type="dxa"/>
          <w:right w:w="70" w:type="dxa"/>
        </w:tblCellMar>
        <w:tblLook w:val="04A0" w:firstRow="1" w:lastRow="0" w:firstColumn="1" w:lastColumn="0" w:noHBand="0" w:noVBand="1"/>
      </w:tblPr>
      <w:tblGrid>
        <w:gridCol w:w="2340"/>
        <w:gridCol w:w="980"/>
        <w:gridCol w:w="1180"/>
        <w:gridCol w:w="880"/>
        <w:gridCol w:w="1080"/>
        <w:gridCol w:w="960"/>
        <w:gridCol w:w="960"/>
      </w:tblGrid>
      <w:tr w:rsidR="004A44C1" w:rsidRPr="009E5478" w14:paraId="47F9F78E" w14:textId="77777777" w:rsidTr="009E5478">
        <w:trPr>
          <w:trHeight w:val="300"/>
        </w:trPr>
        <w:tc>
          <w:tcPr>
            <w:tcW w:w="2340" w:type="dxa"/>
            <w:tcBorders>
              <w:top w:val="nil"/>
              <w:left w:val="nil"/>
              <w:bottom w:val="single" w:sz="4" w:space="0" w:color="auto"/>
              <w:right w:val="nil"/>
            </w:tcBorders>
            <w:shd w:val="clear" w:color="auto" w:fill="auto"/>
            <w:noWrap/>
            <w:vAlign w:val="bottom"/>
            <w:hideMark/>
          </w:tcPr>
          <w:p w14:paraId="5E810881" w14:textId="7D17E438" w:rsidR="004A44C1" w:rsidRPr="009E5478" w:rsidRDefault="004A44C1" w:rsidP="004A44C1">
            <w:pPr>
              <w:rPr>
                <w:rFonts w:ascii="Calibri" w:hAnsi="Calibri"/>
                <w:color w:val="000000"/>
                <w:sz w:val="22"/>
                <w:szCs w:val="22"/>
              </w:rPr>
            </w:pPr>
            <w:r>
              <w:rPr>
                <w:rFonts w:ascii="Calibri" w:hAnsi="Calibri"/>
                <w:color w:val="000000"/>
                <w:sz w:val="22"/>
                <w:szCs w:val="22"/>
              </w:rPr>
              <w:lastRenderedPageBreak/>
              <w:t>Variáveis dependentes</w:t>
            </w:r>
          </w:p>
        </w:tc>
        <w:tc>
          <w:tcPr>
            <w:tcW w:w="980" w:type="dxa"/>
            <w:tcBorders>
              <w:top w:val="nil"/>
              <w:left w:val="nil"/>
              <w:bottom w:val="single" w:sz="4" w:space="0" w:color="auto"/>
              <w:right w:val="nil"/>
            </w:tcBorders>
            <w:shd w:val="clear" w:color="auto" w:fill="auto"/>
            <w:noWrap/>
            <w:vAlign w:val="bottom"/>
            <w:hideMark/>
          </w:tcPr>
          <w:p w14:paraId="1730223E" w14:textId="15428B21" w:rsidR="004A44C1" w:rsidRPr="009E5478" w:rsidRDefault="004A44C1" w:rsidP="004A44C1">
            <w:pPr>
              <w:rPr>
                <w:rFonts w:ascii="Calibri" w:hAnsi="Calibri"/>
                <w:color w:val="000000"/>
                <w:sz w:val="22"/>
                <w:szCs w:val="22"/>
              </w:rPr>
            </w:pPr>
            <w:r>
              <w:rPr>
                <w:rFonts w:ascii="Calibri" w:hAnsi="Calibri"/>
                <w:color w:val="000000"/>
                <w:sz w:val="22"/>
                <w:szCs w:val="22"/>
              </w:rPr>
              <w:t>Ajustado</w:t>
            </w:r>
          </w:p>
        </w:tc>
        <w:tc>
          <w:tcPr>
            <w:tcW w:w="1180" w:type="dxa"/>
            <w:tcBorders>
              <w:top w:val="nil"/>
              <w:left w:val="nil"/>
              <w:bottom w:val="single" w:sz="4" w:space="0" w:color="auto"/>
              <w:right w:val="nil"/>
            </w:tcBorders>
            <w:shd w:val="clear" w:color="auto" w:fill="auto"/>
            <w:noWrap/>
            <w:vAlign w:val="bottom"/>
            <w:hideMark/>
          </w:tcPr>
          <w:p w14:paraId="2C9E7526" w14:textId="1892BBFF" w:rsidR="004A44C1" w:rsidRPr="009E5478" w:rsidRDefault="004A44C1" w:rsidP="004A44C1">
            <w:pPr>
              <w:rPr>
                <w:rFonts w:ascii="Calibri" w:hAnsi="Calibri"/>
                <w:color w:val="000000"/>
                <w:sz w:val="22"/>
                <w:szCs w:val="22"/>
              </w:rPr>
            </w:pPr>
            <w:r>
              <w:rPr>
                <w:rFonts w:ascii="Calibri" w:hAnsi="Calibri"/>
                <w:color w:val="000000"/>
                <w:sz w:val="22"/>
                <w:szCs w:val="22"/>
              </w:rPr>
              <w:t>Predito</w:t>
            </w:r>
          </w:p>
        </w:tc>
        <w:tc>
          <w:tcPr>
            <w:tcW w:w="880" w:type="dxa"/>
            <w:tcBorders>
              <w:top w:val="nil"/>
              <w:left w:val="nil"/>
              <w:bottom w:val="single" w:sz="4" w:space="0" w:color="auto"/>
              <w:right w:val="nil"/>
            </w:tcBorders>
            <w:shd w:val="clear" w:color="auto" w:fill="auto"/>
            <w:noWrap/>
            <w:vAlign w:val="bottom"/>
            <w:hideMark/>
          </w:tcPr>
          <w:p w14:paraId="5600F75D" w14:textId="315ECA63" w:rsidR="004A44C1" w:rsidRPr="009E5478" w:rsidRDefault="004A44C1" w:rsidP="004A44C1">
            <w:pPr>
              <w:rPr>
                <w:rFonts w:ascii="Calibri" w:hAnsi="Calibri"/>
                <w:color w:val="000000"/>
                <w:sz w:val="22"/>
                <w:szCs w:val="22"/>
              </w:rPr>
            </w:pPr>
            <w:r>
              <w:rPr>
                <w:rFonts w:ascii="Calibri" w:hAnsi="Calibri"/>
                <w:color w:val="000000"/>
                <w:sz w:val="22"/>
                <w:szCs w:val="22"/>
              </w:rPr>
              <w:t xml:space="preserve">Resíduo </w:t>
            </w:r>
          </w:p>
        </w:tc>
        <w:tc>
          <w:tcPr>
            <w:tcW w:w="1080" w:type="dxa"/>
            <w:tcBorders>
              <w:top w:val="nil"/>
              <w:left w:val="nil"/>
              <w:bottom w:val="single" w:sz="4" w:space="0" w:color="auto"/>
              <w:right w:val="nil"/>
            </w:tcBorders>
            <w:shd w:val="clear" w:color="auto" w:fill="auto"/>
            <w:noWrap/>
            <w:vAlign w:val="bottom"/>
            <w:hideMark/>
          </w:tcPr>
          <w:p w14:paraId="7E1E8C57" w14:textId="02FF91D1" w:rsidR="004A44C1" w:rsidRPr="009E5478" w:rsidRDefault="004A44C1" w:rsidP="004A44C1">
            <w:pPr>
              <w:rPr>
                <w:rFonts w:ascii="Calibri" w:hAnsi="Calibri"/>
                <w:color w:val="000000"/>
                <w:sz w:val="22"/>
                <w:szCs w:val="22"/>
              </w:rPr>
            </w:pPr>
            <w:r w:rsidRPr="004A44C1">
              <w:rPr>
                <w:rFonts w:ascii="Calibri" w:hAnsi="Calibri"/>
                <w:color w:val="000000"/>
                <w:sz w:val="18"/>
                <w:szCs w:val="22"/>
              </w:rPr>
              <w:t>R-quadrado</w:t>
            </w:r>
          </w:p>
        </w:tc>
        <w:tc>
          <w:tcPr>
            <w:tcW w:w="960" w:type="dxa"/>
            <w:tcBorders>
              <w:top w:val="nil"/>
              <w:left w:val="nil"/>
              <w:bottom w:val="single" w:sz="4" w:space="0" w:color="auto"/>
              <w:right w:val="nil"/>
            </w:tcBorders>
            <w:shd w:val="clear" w:color="auto" w:fill="auto"/>
            <w:noWrap/>
            <w:vAlign w:val="bottom"/>
            <w:hideMark/>
          </w:tcPr>
          <w:p w14:paraId="74FAD279" w14:textId="39B654CB" w:rsidR="004A44C1" w:rsidRPr="009E5478" w:rsidRDefault="004A44C1" w:rsidP="004A44C1">
            <w:pPr>
              <w:rPr>
                <w:rFonts w:ascii="Calibri" w:hAnsi="Calibri"/>
                <w:color w:val="000000"/>
                <w:sz w:val="22"/>
                <w:szCs w:val="22"/>
              </w:rPr>
            </w:pPr>
            <w:r w:rsidRPr="00C467D1">
              <w:rPr>
                <w:rFonts w:ascii="Calibri" w:hAnsi="Calibri"/>
                <w:color w:val="000000"/>
                <w:sz w:val="22"/>
                <w:szCs w:val="22"/>
              </w:rPr>
              <w:t>mc</w:t>
            </w:r>
          </w:p>
        </w:tc>
        <w:tc>
          <w:tcPr>
            <w:tcW w:w="960" w:type="dxa"/>
            <w:tcBorders>
              <w:top w:val="nil"/>
              <w:left w:val="nil"/>
              <w:bottom w:val="single" w:sz="4" w:space="0" w:color="auto"/>
              <w:right w:val="nil"/>
            </w:tcBorders>
            <w:shd w:val="clear" w:color="auto" w:fill="auto"/>
            <w:noWrap/>
            <w:vAlign w:val="bottom"/>
            <w:hideMark/>
          </w:tcPr>
          <w:p w14:paraId="55696950" w14:textId="7C3A28B3" w:rsidR="004A44C1" w:rsidRPr="009E5478" w:rsidRDefault="004A44C1" w:rsidP="004A44C1">
            <w:pPr>
              <w:rPr>
                <w:rFonts w:ascii="Calibri" w:hAnsi="Calibri"/>
                <w:color w:val="000000"/>
                <w:sz w:val="22"/>
                <w:szCs w:val="22"/>
              </w:rPr>
            </w:pPr>
            <w:r w:rsidRPr="00C467D1">
              <w:rPr>
                <w:rFonts w:ascii="Calibri" w:hAnsi="Calibri"/>
                <w:color w:val="000000"/>
                <w:sz w:val="22"/>
                <w:szCs w:val="22"/>
              </w:rPr>
              <w:t>mc2</w:t>
            </w:r>
          </w:p>
        </w:tc>
      </w:tr>
      <w:tr w:rsidR="009E5478" w:rsidRPr="009E5478" w14:paraId="5DA00B9E" w14:textId="77777777" w:rsidTr="009E5478">
        <w:trPr>
          <w:trHeight w:val="300"/>
        </w:trPr>
        <w:tc>
          <w:tcPr>
            <w:tcW w:w="2340" w:type="dxa"/>
            <w:tcBorders>
              <w:top w:val="nil"/>
              <w:left w:val="nil"/>
              <w:bottom w:val="nil"/>
              <w:right w:val="nil"/>
            </w:tcBorders>
            <w:shd w:val="clear" w:color="auto" w:fill="auto"/>
            <w:noWrap/>
            <w:vAlign w:val="bottom"/>
            <w:hideMark/>
          </w:tcPr>
          <w:p w14:paraId="502028E5"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imposto~2014</w:t>
            </w:r>
          </w:p>
        </w:tc>
        <w:tc>
          <w:tcPr>
            <w:tcW w:w="980" w:type="dxa"/>
            <w:tcBorders>
              <w:top w:val="nil"/>
              <w:left w:val="nil"/>
              <w:bottom w:val="nil"/>
              <w:right w:val="nil"/>
            </w:tcBorders>
            <w:shd w:val="clear" w:color="auto" w:fill="auto"/>
            <w:noWrap/>
            <w:vAlign w:val="bottom"/>
            <w:hideMark/>
          </w:tcPr>
          <w:p w14:paraId="7CCDB739"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7,418</w:t>
            </w:r>
          </w:p>
        </w:tc>
        <w:tc>
          <w:tcPr>
            <w:tcW w:w="1180" w:type="dxa"/>
            <w:tcBorders>
              <w:top w:val="nil"/>
              <w:left w:val="nil"/>
              <w:bottom w:val="nil"/>
              <w:right w:val="nil"/>
            </w:tcBorders>
            <w:shd w:val="clear" w:color="auto" w:fill="auto"/>
            <w:noWrap/>
            <w:vAlign w:val="bottom"/>
            <w:hideMark/>
          </w:tcPr>
          <w:p w14:paraId="7AFB0455"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2,714</w:t>
            </w:r>
          </w:p>
        </w:tc>
        <w:tc>
          <w:tcPr>
            <w:tcW w:w="880" w:type="dxa"/>
            <w:tcBorders>
              <w:top w:val="nil"/>
              <w:left w:val="nil"/>
              <w:bottom w:val="nil"/>
              <w:right w:val="nil"/>
            </w:tcBorders>
            <w:shd w:val="clear" w:color="auto" w:fill="auto"/>
            <w:noWrap/>
            <w:vAlign w:val="bottom"/>
            <w:hideMark/>
          </w:tcPr>
          <w:p w14:paraId="0AE23030"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4,704</w:t>
            </w:r>
          </w:p>
        </w:tc>
        <w:tc>
          <w:tcPr>
            <w:tcW w:w="1080" w:type="dxa"/>
            <w:tcBorders>
              <w:top w:val="nil"/>
              <w:left w:val="nil"/>
              <w:bottom w:val="nil"/>
              <w:right w:val="nil"/>
            </w:tcBorders>
            <w:shd w:val="clear" w:color="auto" w:fill="auto"/>
            <w:noWrap/>
            <w:vAlign w:val="bottom"/>
            <w:hideMark/>
          </w:tcPr>
          <w:p w14:paraId="225F45EE"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0,366</w:t>
            </w:r>
          </w:p>
        </w:tc>
        <w:tc>
          <w:tcPr>
            <w:tcW w:w="960" w:type="dxa"/>
            <w:tcBorders>
              <w:top w:val="nil"/>
              <w:left w:val="nil"/>
              <w:bottom w:val="nil"/>
              <w:right w:val="nil"/>
            </w:tcBorders>
            <w:shd w:val="clear" w:color="auto" w:fill="auto"/>
            <w:noWrap/>
            <w:vAlign w:val="bottom"/>
            <w:hideMark/>
          </w:tcPr>
          <w:p w14:paraId="3C0A808C"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0,605</w:t>
            </w:r>
          </w:p>
        </w:tc>
        <w:tc>
          <w:tcPr>
            <w:tcW w:w="960" w:type="dxa"/>
            <w:tcBorders>
              <w:top w:val="nil"/>
              <w:left w:val="nil"/>
              <w:bottom w:val="nil"/>
              <w:right w:val="nil"/>
            </w:tcBorders>
            <w:shd w:val="clear" w:color="auto" w:fill="auto"/>
            <w:noWrap/>
            <w:vAlign w:val="bottom"/>
            <w:hideMark/>
          </w:tcPr>
          <w:p w14:paraId="79F2407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0,366</w:t>
            </w:r>
          </w:p>
        </w:tc>
      </w:tr>
      <w:tr w:rsidR="009E5478" w:rsidRPr="009E5478" w14:paraId="4EDB4FCB" w14:textId="77777777" w:rsidTr="009E5478">
        <w:trPr>
          <w:trHeight w:val="300"/>
        </w:trPr>
        <w:tc>
          <w:tcPr>
            <w:tcW w:w="2340" w:type="dxa"/>
            <w:tcBorders>
              <w:top w:val="nil"/>
              <w:left w:val="nil"/>
              <w:bottom w:val="nil"/>
              <w:right w:val="nil"/>
            </w:tcBorders>
            <w:shd w:val="clear" w:color="auto" w:fill="auto"/>
            <w:noWrap/>
            <w:vAlign w:val="bottom"/>
            <w:hideMark/>
          </w:tcPr>
          <w:p w14:paraId="5FEA85F0"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propina_2014</w:t>
            </w:r>
          </w:p>
        </w:tc>
        <w:tc>
          <w:tcPr>
            <w:tcW w:w="980" w:type="dxa"/>
            <w:tcBorders>
              <w:top w:val="nil"/>
              <w:left w:val="nil"/>
              <w:bottom w:val="nil"/>
              <w:right w:val="nil"/>
            </w:tcBorders>
            <w:shd w:val="clear" w:color="000000" w:fill="FFFF00"/>
            <w:noWrap/>
            <w:vAlign w:val="bottom"/>
            <w:hideMark/>
          </w:tcPr>
          <w:p w14:paraId="43212459"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2,662</w:t>
            </w:r>
          </w:p>
        </w:tc>
        <w:tc>
          <w:tcPr>
            <w:tcW w:w="1180" w:type="dxa"/>
            <w:tcBorders>
              <w:top w:val="nil"/>
              <w:left w:val="nil"/>
              <w:bottom w:val="nil"/>
              <w:right w:val="nil"/>
            </w:tcBorders>
            <w:shd w:val="clear" w:color="000000" w:fill="FFFF00"/>
            <w:noWrap/>
            <w:vAlign w:val="bottom"/>
            <w:hideMark/>
          </w:tcPr>
          <w:p w14:paraId="697C543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0,847</w:t>
            </w:r>
          </w:p>
        </w:tc>
        <w:tc>
          <w:tcPr>
            <w:tcW w:w="880" w:type="dxa"/>
            <w:tcBorders>
              <w:top w:val="nil"/>
              <w:left w:val="nil"/>
              <w:bottom w:val="nil"/>
              <w:right w:val="nil"/>
            </w:tcBorders>
            <w:shd w:val="clear" w:color="000000" w:fill="FFFF00"/>
            <w:noWrap/>
            <w:vAlign w:val="bottom"/>
            <w:hideMark/>
          </w:tcPr>
          <w:p w14:paraId="61B741FB"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1,815</w:t>
            </w:r>
          </w:p>
        </w:tc>
        <w:tc>
          <w:tcPr>
            <w:tcW w:w="1080" w:type="dxa"/>
            <w:tcBorders>
              <w:top w:val="nil"/>
              <w:left w:val="nil"/>
              <w:bottom w:val="nil"/>
              <w:right w:val="nil"/>
            </w:tcBorders>
            <w:shd w:val="clear" w:color="auto" w:fill="auto"/>
            <w:noWrap/>
            <w:vAlign w:val="bottom"/>
            <w:hideMark/>
          </w:tcPr>
          <w:p w14:paraId="4E6B1406"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0,318</w:t>
            </w:r>
          </w:p>
        </w:tc>
        <w:tc>
          <w:tcPr>
            <w:tcW w:w="960" w:type="dxa"/>
            <w:tcBorders>
              <w:top w:val="nil"/>
              <w:left w:val="nil"/>
              <w:bottom w:val="nil"/>
              <w:right w:val="nil"/>
            </w:tcBorders>
            <w:shd w:val="clear" w:color="auto" w:fill="auto"/>
            <w:noWrap/>
            <w:vAlign w:val="bottom"/>
            <w:hideMark/>
          </w:tcPr>
          <w:p w14:paraId="7CEBFBD9"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0,564</w:t>
            </w:r>
          </w:p>
        </w:tc>
        <w:tc>
          <w:tcPr>
            <w:tcW w:w="960" w:type="dxa"/>
            <w:tcBorders>
              <w:top w:val="nil"/>
              <w:left w:val="nil"/>
              <w:bottom w:val="nil"/>
              <w:right w:val="nil"/>
            </w:tcBorders>
            <w:shd w:val="clear" w:color="auto" w:fill="auto"/>
            <w:noWrap/>
            <w:vAlign w:val="bottom"/>
            <w:hideMark/>
          </w:tcPr>
          <w:p w14:paraId="0429B39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0,318</w:t>
            </w:r>
          </w:p>
        </w:tc>
      </w:tr>
      <w:tr w:rsidR="009E5478" w:rsidRPr="009E5478" w14:paraId="7EB9B003" w14:textId="77777777" w:rsidTr="009E5478">
        <w:trPr>
          <w:trHeight w:val="300"/>
        </w:trPr>
        <w:tc>
          <w:tcPr>
            <w:tcW w:w="2340" w:type="dxa"/>
            <w:tcBorders>
              <w:top w:val="nil"/>
              <w:left w:val="nil"/>
              <w:bottom w:val="nil"/>
              <w:right w:val="nil"/>
            </w:tcBorders>
            <w:shd w:val="clear" w:color="auto" w:fill="auto"/>
            <w:noWrap/>
            <w:vAlign w:val="bottom"/>
            <w:hideMark/>
          </w:tcPr>
          <w:p w14:paraId="4E90F177"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transpo~2014</w:t>
            </w:r>
          </w:p>
        </w:tc>
        <w:tc>
          <w:tcPr>
            <w:tcW w:w="980" w:type="dxa"/>
            <w:tcBorders>
              <w:top w:val="nil"/>
              <w:left w:val="nil"/>
              <w:bottom w:val="nil"/>
              <w:right w:val="nil"/>
            </w:tcBorders>
            <w:shd w:val="clear" w:color="auto" w:fill="auto"/>
            <w:noWrap/>
            <w:vAlign w:val="bottom"/>
            <w:hideMark/>
          </w:tcPr>
          <w:p w14:paraId="298C507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9,788</w:t>
            </w:r>
          </w:p>
        </w:tc>
        <w:tc>
          <w:tcPr>
            <w:tcW w:w="1180" w:type="dxa"/>
            <w:tcBorders>
              <w:top w:val="nil"/>
              <w:left w:val="nil"/>
              <w:bottom w:val="nil"/>
              <w:right w:val="nil"/>
            </w:tcBorders>
            <w:shd w:val="clear" w:color="auto" w:fill="auto"/>
            <w:noWrap/>
            <w:vAlign w:val="bottom"/>
            <w:hideMark/>
          </w:tcPr>
          <w:p w14:paraId="06F72D0A"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3,728</w:t>
            </w:r>
          </w:p>
        </w:tc>
        <w:tc>
          <w:tcPr>
            <w:tcW w:w="880" w:type="dxa"/>
            <w:tcBorders>
              <w:top w:val="nil"/>
              <w:left w:val="nil"/>
              <w:bottom w:val="nil"/>
              <w:right w:val="nil"/>
            </w:tcBorders>
            <w:shd w:val="clear" w:color="auto" w:fill="auto"/>
            <w:noWrap/>
            <w:vAlign w:val="bottom"/>
            <w:hideMark/>
          </w:tcPr>
          <w:p w14:paraId="5387834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6,061</w:t>
            </w:r>
          </w:p>
        </w:tc>
        <w:tc>
          <w:tcPr>
            <w:tcW w:w="1080" w:type="dxa"/>
            <w:tcBorders>
              <w:top w:val="nil"/>
              <w:left w:val="nil"/>
              <w:bottom w:val="nil"/>
              <w:right w:val="nil"/>
            </w:tcBorders>
            <w:shd w:val="clear" w:color="auto" w:fill="auto"/>
            <w:noWrap/>
            <w:vAlign w:val="bottom"/>
            <w:hideMark/>
          </w:tcPr>
          <w:p w14:paraId="10C3AF1B"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0,381</w:t>
            </w:r>
          </w:p>
        </w:tc>
        <w:tc>
          <w:tcPr>
            <w:tcW w:w="960" w:type="dxa"/>
            <w:tcBorders>
              <w:top w:val="nil"/>
              <w:left w:val="nil"/>
              <w:bottom w:val="nil"/>
              <w:right w:val="nil"/>
            </w:tcBorders>
            <w:shd w:val="clear" w:color="auto" w:fill="auto"/>
            <w:noWrap/>
            <w:vAlign w:val="bottom"/>
            <w:hideMark/>
          </w:tcPr>
          <w:p w14:paraId="3E216BC3"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0,617</w:t>
            </w:r>
          </w:p>
        </w:tc>
        <w:tc>
          <w:tcPr>
            <w:tcW w:w="960" w:type="dxa"/>
            <w:tcBorders>
              <w:top w:val="nil"/>
              <w:left w:val="nil"/>
              <w:bottom w:val="nil"/>
              <w:right w:val="nil"/>
            </w:tcBorders>
            <w:shd w:val="clear" w:color="auto" w:fill="auto"/>
            <w:noWrap/>
            <w:vAlign w:val="bottom"/>
            <w:hideMark/>
          </w:tcPr>
          <w:p w14:paraId="232FE039"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0,381</w:t>
            </w:r>
          </w:p>
        </w:tc>
      </w:tr>
      <w:tr w:rsidR="009E5478" w:rsidRPr="009E5478" w14:paraId="173FDC26" w14:textId="77777777" w:rsidTr="009E5478">
        <w:trPr>
          <w:trHeight w:val="300"/>
        </w:trPr>
        <w:tc>
          <w:tcPr>
            <w:tcW w:w="2340" w:type="dxa"/>
            <w:tcBorders>
              <w:top w:val="nil"/>
              <w:left w:val="nil"/>
              <w:bottom w:val="nil"/>
              <w:right w:val="nil"/>
            </w:tcBorders>
            <w:shd w:val="clear" w:color="auto" w:fill="auto"/>
            <w:noWrap/>
            <w:vAlign w:val="bottom"/>
            <w:hideMark/>
          </w:tcPr>
          <w:p w14:paraId="34A263F8" w14:textId="4A1B5BFF" w:rsidR="009E5478" w:rsidRPr="009E5478" w:rsidRDefault="001C63EB" w:rsidP="009E5478">
            <w:pPr>
              <w:rPr>
                <w:rFonts w:ascii="Calibri" w:hAnsi="Calibri"/>
                <w:color w:val="000000"/>
                <w:sz w:val="22"/>
                <w:szCs w:val="22"/>
              </w:rPr>
            </w:pPr>
            <w:r>
              <w:rPr>
                <w:rFonts w:ascii="Calibri" w:hAnsi="Calibri"/>
                <w:color w:val="000000"/>
                <w:sz w:val="22"/>
                <w:szCs w:val="22"/>
              </w:rPr>
              <w:t>benefício</w:t>
            </w:r>
            <w:r w:rsidR="009E5478" w:rsidRPr="009E5478">
              <w:rPr>
                <w:rFonts w:ascii="Calibri" w:hAnsi="Calibri"/>
                <w:color w:val="000000"/>
                <w:sz w:val="22"/>
                <w:szCs w:val="22"/>
              </w:rPr>
              <w:t>~2014</w:t>
            </w:r>
          </w:p>
        </w:tc>
        <w:tc>
          <w:tcPr>
            <w:tcW w:w="980" w:type="dxa"/>
            <w:tcBorders>
              <w:top w:val="nil"/>
              <w:left w:val="nil"/>
              <w:bottom w:val="nil"/>
              <w:right w:val="nil"/>
            </w:tcBorders>
            <w:shd w:val="clear" w:color="auto" w:fill="auto"/>
            <w:noWrap/>
            <w:vAlign w:val="bottom"/>
            <w:hideMark/>
          </w:tcPr>
          <w:p w14:paraId="54E1E4C1"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6,065</w:t>
            </w:r>
          </w:p>
        </w:tc>
        <w:tc>
          <w:tcPr>
            <w:tcW w:w="1180" w:type="dxa"/>
            <w:tcBorders>
              <w:top w:val="nil"/>
              <w:left w:val="nil"/>
              <w:bottom w:val="nil"/>
              <w:right w:val="nil"/>
            </w:tcBorders>
            <w:shd w:val="clear" w:color="auto" w:fill="auto"/>
            <w:noWrap/>
            <w:vAlign w:val="bottom"/>
            <w:hideMark/>
          </w:tcPr>
          <w:p w14:paraId="79119AC6"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1,999</w:t>
            </w:r>
          </w:p>
        </w:tc>
        <w:tc>
          <w:tcPr>
            <w:tcW w:w="880" w:type="dxa"/>
            <w:tcBorders>
              <w:top w:val="nil"/>
              <w:left w:val="nil"/>
              <w:bottom w:val="nil"/>
              <w:right w:val="nil"/>
            </w:tcBorders>
            <w:shd w:val="clear" w:color="auto" w:fill="auto"/>
            <w:noWrap/>
            <w:vAlign w:val="bottom"/>
            <w:hideMark/>
          </w:tcPr>
          <w:p w14:paraId="336B95E4"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4,066</w:t>
            </w:r>
          </w:p>
        </w:tc>
        <w:tc>
          <w:tcPr>
            <w:tcW w:w="1080" w:type="dxa"/>
            <w:tcBorders>
              <w:top w:val="nil"/>
              <w:left w:val="nil"/>
              <w:bottom w:val="nil"/>
              <w:right w:val="nil"/>
            </w:tcBorders>
            <w:shd w:val="clear" w:color="auto" w:fill="auto"/>
            <w:noWrap/>
            <w:vAlign w:val="bottom"/>
            <w:hideMark/>
          </w:tcPr>
          <w:p w14:paraId="41621E53"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0,330</w:t>
            </w:r>
          </w:p>
        </w:tc>
        <w:tc>
          <w:tcPr>
            <w:tcW w:w="960" w:type="dxa"/>
            <w:tcBorders>
              <w:top w:val="nil"/>
              <w:left w:val="nil"/>
              <w:bottom w:val="nil"/>
              <w:right w:val="nil"/>
            </w:tcBorders>
            <w:shd w:val="clear" w:color="auto" w:fill="auto"/>
            <w:noWrap/>
            <w:vAlign w:val="bottom"/>
            <w:hideMark/>
          </w:tcPr>
          <w:p w14:paraId="6C322F77"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0,574</w:t>
            </w:r>
          </w:p>
        </w:tc>
        <w:tc>
          <w:tcPr>
            <w:tcW w:w="960" w:type="dxa"/>
            <w:tcBorders>
              <w:top w:val="nil"/>
              <w:left w:val="nil"/>
              <w:bottom w:val="nil"/>
              <w:right w:val="nil"/>
            </w:tcBorders>
            <w:shd w:val="clear" w:color="auto" w:fill="auto"/>
            <w:noWrap/>
            <w:vAlign w:val="bottom"/>
            <w:hideMark/>
          </w:tcPr>
          <w:p w14:paraId="5C53D5D9"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0,330</w:t>
            </w:r>
          </w:p>
        </w:tc>
      </w:tr>
      <w:tr w:rsidR="009E5478" w:rsidRPr="009E5478" w14:paraId="778C8AC5" w14:textId="77777777" w:rsidTr="009E5478">
        <w:trPr>
          <w:trHeight w:val="300"/>
        </w:trPr>
        <w:tc>
          <w:tcPr>
            <w:tcW w:w="2340" w:type="dxa"/>
            <w:tcBorders>
              <w:top w:val="single" w:sz="4" w:space="0" w:color="auto"/>
              <w:left w:val="nil"/>
              <w:bottom w:val="single" w:sz="4" w:space="0" w:color="auto"/>
              <w:right w:val="nil"/>
            </w:tcBorders>
            <w:shd w:val="clear" w:color="auto" w:fill="auto"/>
            <w:noWrap/>
            <w:vAlign w:val="bottom"/>
            <w:hideMark/>
          </w:tcPr>
          <w:p w14:paraId="07ED4A04"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overall</w:t>
            </w:r>
          </w:p>
        </w:tc>
        <w:tc>
          <w:tcPr>
            <w:tcW w:w="980" w:type="dxa"/>
            <w:tcBorders>
              <w:top w:val="single" w:sz="4" w:space="0" w:color="auto"/>
              <w:left w:val="nil"/>
              <w:bottom w:val="single" w:sz="4" w:space="0" w:color="auto"/>
              <w:right w:val="nil"/>
            </w:tcBorders>
            <w:shd w:val="clear" w:color="auto" w:fill="auto"/>
            <w:noWrap/>
            <w:vAlign w:val="bottom"/>
            <w:hideMark/>
          </w:tcPr>
          <w:p w14:paraId="353D3560"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 </w:t>
            </w:r>
          </w:p>
        </w:tc>
        <w:tc>
          <w:tcPr>
            <w:tcW w:w="1180" w:type="dxa"/>
            <w:tcBorders>
              <w:top w:val="single" w:sz="4" w:space="0" w:color="auto"/>
              <w:left w:val="nil"/>
              <w:bottom w:val="single" w:sz="4" w:space="0" w:color="auto"/>
              <w:right w:val="nil"/>
            </w:tcBorders>
            <w:shd w:val="clear" w:color="auto" w:fill="auto"/>
            <w:noWrap/>
            <w:vAlign w:val="bottom"/>
            <w:hideMark/>
          </w:tcPr>
          <w:p w14:paraId="08356704"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 </w:t>
            </w:r>
          </w:p>
        </w:tc>
        <w:tc>
          <w:tcPr>
            <w:tcW w:w="880" w:type="dxa"/>
            <w:tcBorders>
              <w:top w:val="single" w:sz="4" w:space="0" w:color="auto"/>
              <w:left w:val="nil"/>
              <w:bottom w:val="single" w:sz="4" w:space="0" w:color="auto"/>
              <w:right w:val="nil"/>
            </w:tcBorders>
            <w:shd w:val="clear" w:color="auto" w:fill="auto"/>
            <w:noWrap/>
            <w:vAlign w:val="bottom"/>
            <w:hideMark/>
          </w:tcPr>
          <w:p w14:paraId="03BDAE58"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 </w:t>
            </w:r>
          </w:p>
        </w:tc>
        <w:tc>
          <w:tcPr>
            <w:tcW w:w="1080" w:type="dxa"/>
            <w:tcBorders>
              <w:top w:val="single" w:sz="4" w:space="0" w:color="auto"/>
              <w:left w:val="nil"/>
              <w:bottom w:val="single" w:sz="4" w:space="0" w:color="auto"/>
              <w:right w:val="nil"/>
            </w:tcBorders>
            <w:shd w:val="clear" w:color="auto" w:fill="auto"/>
            <w:noWrap/>
            <w:vAlign w:val="bottom"/>
            <w:hideMark/>
          </w:tcPr>
          <w:p w14:paraId="1ED607B0"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0,683</w:t>
            </w:r>
          </w:p>
        </w:tc>
        <w:tc>
          <w:tcPr>
            <w:tcW w:w="960" w:type="dxa"/>
            <w:tcBorders>
              <w:top w:val="single" w:sz="4" w:space="0" w:color="auto"/>
              <w:left w:val="nil"/>
              <w:bottom w:val="single" w:sz="4" w:space="0" w:color="auto"/>
              <w:right w:val="nil"/>
            </w:tcBorders>
            <w:shd w:val="clear" w:color="auto" w:fill="auto"/>
            <w:noWrap/>
            <w:vAlign w:val="bottom"/>
            <w:hideMark/>
          </w:tcPr>
          <w:p w14:paraId="13F1BABD"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 </w:t>
            </w:r>
          </w:p>
        </w:tc>
        <w:tc>
          <w:tcPr>
            <w:tcW w:w="960" w:type="dxa"/>
            <w:tcBorders>
              <w:top w:val="single" w:sz="4" w:space="0" w:color="auto"/>
              <w:left w:val="nil"/>
              <w:bottom w:val="single" w:sz="4" w:space="0" w:color="auto"/>
              <w:right w:val="nil"/>
            </w:tcBorders>
            <w:shd w:val="clear" w:color="auto" w:fill="auto"/>
            <w:noWrap/>
            <w:vAlign w:val="bottom"/>
            <w:hideMark/>
          </w:tcPr>
          <w:p w14:paraId="3B95A94C"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 </w:t>
            </w:r>
          </w:p>
        </w:tc>
      </w:tr>
    </w:tbl>
    <w:p w14:paraId="764BEF70" w14:textId="77777777" w:rsidR="009E5478" w:rsidRPr="009E5478" w:rsidRDefault="009E5478" w:rsidP="005E586A">
      <w:pPr>
        <w:jc w:val="both"/>
        <w:rPr>
          <w:rFonts w:asciiTheme="minorHAnsi" w:hAnsiTheme="minorHAnsi"/>
          <w:lang w:val="en-US"/>
        </w:rPr>
      </w:pPr>
    </w:p>
    <w:p w14:paraId="4D642EC3" w14:textId="5A2502A8" w:rsidR="009E5478" w:rsidRDefault="009E5478" w:rsidP="009E5478">
      <w:pPr>
        <w:jc w:val="both"/>
        <w:rPr>
          <w:rFonts w:asciiTheme="minorHAnsi" w:hAnsiTheme="minorHAnsi"/>
        </w:rPr>
      </w:pPr>
      <w:r>
        <w:rPr>
          <w:rFonts w:asciiTheme="minorHAnsi" w:hAnsiTheme="minorHAnsi"/>
        </w:rPr>
        <w:t>Estatística de ajuste AFC – WVS 2014 Brasil</w:t>
      </w:r>
    </w:p>
    <w:p w14:paraId="249473B4" w14:textId="77777777" w:rsidR="009E5478" w:rsidRDefault="009E5478" w:rsidP="005E586A">
      <w:pPr>
        <w:jc w:val="both"/>
        <w:rPr>
          <w:rFonts w:asciiTheme="minorHAnsi" w:hAnsiTheme="minorHAnsi"/>
        </w:rPr>
      </w:pPr>
    </w:p>
    <w:tbl>
      <w:tblPr>
        <w:tblW w:w="4095" w:type="dxa"/>
        <w:tblCellMar>
          <w:left w:w="70" w:type="dxa"/>
          <w:right w:w="70" w:type="dxa"/>
        </w:tblCellMar>
        <w:tblLook w:val="04A0" w:firstRow="1" w:lastRow="0" w:firstColumn="1" w:lastColumn="0" w:noHBand="0" w:noVBand="1"/>
      </w:tblPr>
      <w:tblGrid>
        <w:gridCol w:w="3119"/>
        <w:gridCol w:w="976"/>
      </w:tblGrid>
      <w:tr w:rsidR="001C63EB" w:rsidRPr="009E5478" w14:paraId="19403E1C" w14:textId="77777777" w:rsidTr="00D67DAF">
        <w:trPr>
          <w:trHeight w:val="300"/>
        </w:trPr>
        <w:tc>
          <w:tcPr>
            <w:tcW w:w="3119" w:type="dxa"/>
            <w:tcBorders>
              <w:top w:val="single" w:sz="4" w:space="0" w:color="auto"/>
              <w:left w:val="nil"/>
              <w:bottom w:val="single" w:sz="4" w:space="0" w:color="auto"/>
              <w:right w:val="nil"/>
            </w:tcBorders>
            <w:shd w:val="clear" w:color="auto" w:fill="auto"/>
            <w:noWrap/>
            <w:vAlign w:val="bottom"/>
            <w:hideMark/>
          </w:tcPr>
          <w:p w14:paraId="1F2BC0C2" w14:textId="218FD2F5" w:rsidR="001C63EB" w:rsidRPr="009E5478" w:rsidRDefault="001C63EB" w:rsidP="001C63EB">
            <w:pPr>
              <w:rPr>
                <w:rFonts w:ascii="Calibri" w:hAnsi="Calibri"/>
                <w:color w:val="000000"/>
                <w:sz w:val="22"/>
                <w:szCs w:val="22"/>
              </w:rPr>
            </w:pPr>
            <w:r>
              <w:rPr>
                <w:rFonts w:ascii="Calibri" w:hAnsi="Calibri"/>
                <w:color w:val="000000"/>
                <w:sz w:val="22"/>
                <w:szCs w:val="22"/>
              </w:rPr>
              <w:t>Estatística</w:t>
            </w:r>
          </w:p>
        </w:tc>
        <w:tc>
          <w:tcPr>
            <w:tcW w:w="976" w:type="dxa"/>
            <w:tcBorders>
              <w:top w:val="single" w:sz="4" w:space="0" w:color="auto"/>
              <w:left w:val="single" w:sz="4" w:space="0" w:color="auto"/>
              <w:bottom w:val="single" w:sz="4" w:space="0" w:color="auto"/>
              <w:right w:val="nil"/>
            </w:tcBorders>
            <w:shd w:val="clear" w:color="auto" w:fill="auto"/>
            <w:noWrap/>
            <w:vAlign w:val="bottom"/>
            <w:hideMark/>
          </w:tcPr>
          <w:p w14:paraId="6C8E86ED" w14:textId="0BE394E5" w:rsidR="001C63EB" w:rsidRPr="009E5478" w:rsidRDefault="001C63EB" w:rsidP="001C63EB">
            <w:pPr>
              <w:rPr>
                <w:rFonts w:ascii="Calibri" w:hAnsi="Calibri"/>
                <w:color w:val="000000"/>
                <w:sz w:val="22"/>
                <w:szCs w:val="22"/>
              </w:rPr>
            </w:pPr>
            <w:r>
              <w:rPr>
                <w:rFonts w:ascii="Calibri" w:hAnsi="Calibri"/>
                <w:color w:val="000000"/>
                <w:sz w:val="22"/>
                <w:szCs w:val="22"/>
              </w:rPr>
              <w:t>Valor</w:t>
            </w:r>
          </w:p>
        </w:tc>
      </w:tr>
      <w:tr w:rsidR="001C63EB" w:rsidRPr="009E5478" w14:paraId="371742CB" w14:textId="77777777" w:rsidTr="00D67DAF">
        <w:trPr>
          <w:trHeight w:val="300"/>
        </w:trPr>
        <w:tc>
          <w:tcPr>
            <w:tcW w:w="3119" w:type="dxa"/>
            <w:tcBorders>
              <w:top w:val="nil"/>
              <w:left w:val="nil"/>
              <w:bottom w:val="nil"/>
              <w:right w:val="nil"/>
            </w:tcBorders>
            <w:shd w:val="clear" w:color="auto" w:fill="auto"/>
            <w:noWrap/>
            <w:vAlign w:val="bottom"/>
            <w:hideMark/>
          </w:tcPr>
          <w:p w14:paraId="63298154"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chi2_ms(2)</w:t>
            </w:r>
          </w:p>
        </w:tc>
        <w:tc>
          <w:tcPr>
            <w:tcW w:w="976" w:type="dxa"/>
            <w:tcBorders>
              <w:top w:val="nil"/>
              <w:left w:val="single" w:sz="4" w:space="0" w:color="auto"/>
              <w:bottom w:val="nil"/>
              <w:right w:val="nil"/>
            </w:tcBorders>
            <w:shd w:val="clear" w:color="auto" w:fill="auto"/>
            <w:noWrap/>
            <w:vAlign w:val="bottom"/>
            <w:hideMark/>
          </w:tcPr>
          <w:p w14:paraId="4A534E67"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10,815</w:t>
            </w:r>
          </w:p>
        </w:tc>
      </w:tr>
      <w:tr w:rsidR="001C63EB" w:rsidRPr="009E5478" w14:paraId="0F855880" w14:textId="77777777" w:rsidTr="00D67DAF">
        <w:trPr>
          <w:trHeight w:val="300"/>
        </w:trPr>
        <w:tc>
          <w:tcPr>
            <w:tcW w:w="3119" w:type="dxa"/>
            <w:tcBorders>
              <w:top w:val="nil"/>
              <w:left w:val="nil"/>
              <w:bottom w:val="nil"/>
              <w:right w:val="nil"/>
            </w:tcBorders>
            <w:shd w:val="clear" w:color="auto" w:fill="auto"/>
            <w:noWrap/>
            <w:vAlign w:val="bottom"/>
            <w:hideMark/>
          </w:tcPr>
          <w:p w14:paraId="126A394B"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p &gt; chi2</w:t>
            </w:r>
          </w:p>
        </w:tc>
        <w:tc>
          <w:tcPr>
            <w:tcW w:w="976" w:type="dxa"/>
            <w:tcBorders>
              <w:top w:val="nil"/>
              <w:left w:val="single" w:sz="4" w:space="0" w:color="auto"/>
              <w:bottom w:val="nil"/>
              <w:right w:val="nil"/>
            </w:tcBorders>
            <w:shd w:val="clear" w:color="auto" w:fill="auto"/>
            <w:noWrap/>
            <w:vAlign w:val="bottom"/>
            <w:hideMark/>
          </w:tcPr>
          <w:p w14:paraId="1024BA08"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0,004</w:t>
            </w:r>
          </w:p>
        </w:tc>
      </w:tr>
      <w:tr w:rsidR="001C63EB" w:rsidRPr="009E5478" w14:paraId="5621F13E" w14:textId="77777777" w:rsidTr="00D67DAF">
        <w:trPr>
          <w:trHeight w:val="300"/>
        </w:trPr>
        <w:tc>
          <w:tcPr>
            <w:tcW w:w="3119" w:type="dxa"/>
            <w:tcBorders>
              <w:top w:val="nil"/>
              <w:left w:val="nil"/>
              <w:bottom w:val="nil"/>
              <w:right w:val="nil"/>
            </w:tcBorders>
            <w:shd w:val="clear" w:color="auto" w:fill="auto"/>
            <w:noWrap/>
            <w:vAlign w:val="bottom"/>
            <w:hideMark/>
          </w:tcPr>
          <w:p w14:paraId="09A0E72B"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chi2_bs(6)</w:t>
            </w:r>
          </w:p>
        </w:tc>
        <w:tc>
          <w:tcPr>
            <w:tcW w:w="976" w:type="dxa"/>
            <w:tcBorders>
              <w:top w:val="nil"/>
              <w:left w:val="single" w:sz="4" w:space="0" w:color="auto"/>
              <w:bottom w:val="nil"/>
              <w:right w:val="nil"/>
            </w:tcBorders>
            <w:shd w:val="clear" w:color="auto" w:fill="auto"/>
            <w:noWrap/>
            <w:vAlign w:val="bottom"/>
            <w:hideMark/>
          </w:tcPr>
          <w:p w14:paraId="7CD106BA"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833,108</w:t>
            </w:r>
          </w:p>
        </w:tc>
      </w:tr>
      <w:tr w:rsidR="001C63EB" w:rsidRPr="009E5478" w14:paraId="731A3EF3" w14:textId="77777777" w:rsidTr="00D67DAF">
        <w:trPr>
          <w:trHeight w:val="300"/>
        </w:trPr>
        <w:tc>
          <w:tcPr>
            <w:tcW w:w="3119" w:type="dxa"/>
            <w:tcBorders>
              <w:top w:val="nil"/>
              <w:left w:val="nil"/>
              <w:bottom w:val="single" w:sz="4" w:space="0" w:color="auto"/>
              <w:right w:val="nil"/>
            </w:tcBorders>
            <w:shd w:val="clear" w:color="auto" w:fill="auto"/>
            <w:noWrap/>
            <w:vAlign w:val="bottom"/>
            <w:hideMark/>
          </w:tcPr>
          <w:p w14:paraId="6F30CAB0"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p &gt; chi2</w:t>
            </w:r>
          </w:p>
        </w:tc>
        <w:tc>
          <w:tcPr>
            <w:tcW w:w="976" w:type="dxa"/>
            <w:tcBorders>
              <w:top w:val="nil"/>
              <w:left w:val="single" w:sz="4" w:space="0" w:color="auto"/>
              <w:bottom w:val="single" w:sz="4" w:space="0" w:color="auto"/>
              <w:right w:val="nil"/>
            </w:tcBorders>
            <w:shd w:val="clear" w:color="auto" w:fill="auto"/>
            <w:noWrap/>
            <w:vAlign w:val="bottom"/>
            <w:hideMark/>
          </w:tcPr>
          <w:p w14:paraId="3DDCA2BF"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0</w:t>
            </w:r>
          </w:p>
        </w:tc>
      </w:tr>
      <w:tr w:rsidR="001C63EB" w:rsidRPr="00686A3D" w14:paraId="1BE12A30" w14:textId="77777777" w:rsidTr="00D67DAF">
        <w:trPr>
          <w:trHeight w:val="300"/>
        </w:trPr>
        <w:tc>
          <w:tcPr>
            <w:tcW w:w="3119" w:type="dxa"/>
            <w:tcBorders>
              <w:top w:val="nil"/>
              <w:left w:val="nil"/>
              <w:bottom w:val="nil"/>
              <w:right w:val="nil"/>
            </w:tcBorders>
            <w:shd w:val="clear" w:color="auto" w:fill="auto"/>
            <w:noWrap/>
            <w:vAlign w:val="bottom"/>
            <w:hideMark/>
          </w:tcPr>
          <w:p w14:paraId="0B997FC9"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RMSEA</w:t>
            </w:r>
          </w:p>
        </w:tc>
        <w:tc>
          <w:tcPr>
            <w:tcW w:w="976" w:type="dxa"/>
            <w:tcBorders>
              <w:top w:val="nil"/>
              <w:left w:val="single" w:sz="4" w:space="0" w:color="auto"/>
              <w:bottom w:val="nil"/>
              <w:right w:val="nil"/>
            </w:tcBorders>
            <w:shd w:val="clear" w:color="auto" w:fill="auto"/>
            <w:noWrap/>
            <w:vAlign w:val="bottom"/>
            <w:hideMark/>
          </w:tcPr>
          <w:p w14:paraId="1AC7F725"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0,055</w:t>
            </w:r>
          </w:p>
        </w:tc>
      </w:tr>
      <w:tr w:rsidR="001C63EB" w:rsidRPr="009E5478" w14:paraId="299F4204" w14:textId="77777777" w:rsidTr="00D67DAF">
        <w:trPr>
          <w:trHeight w:val="300"/>
        </w:trPr>
        <w:tc>
          <w:tcPr>
            <w:tcW w:w="3119" w:type="dxa"/>
            <w:tcBorders>
              <w:top w:val="nil"/>
              <w:left w:val="nil"/>
              <w:bottom w:val="nil"/>
              <w:right w:val="nil"/>
            </w:tcBorders>
            <w:shd w:val="clear" w:color="auto" w:fill="auto"/>
            <w:noWrap/>
            <w:vAlign w:val="bottom"/>
            <w:hideMark/>
          </w:tcPr>
          <w:p w14:paraId="726DA3BB"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AIC</w:t>
            </w:r>
          </w:p>
        </w:tc>
        <w:tc>
          <w:tcPr>
            <w:tcW w:w="976" w:type="dxa"/>
            <w:tcBorders>
              <w:top w:val="nil"/>
              <w:left w:val="single" w:sz="4" w:space="0" w:color="auto"/>
              <w:bottom w:val="nil"/>
              <w:right w:val="nil"/>
            </w:tcBorders>
            <w:shd w:val="clear" w:color="auto" w:fill="auto"/>
            <w:noWrap/>
            <w:vAlign w:val="bottom"/>
            <w:hideMark/>
          </w:tcPr>
          <w:p w14:paraId="732F30FF"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25760,52</w:t>
            </w:r>
          </w:p>
        </w:tc>
      </w:tr>
      <w:tr w:rsidR="001C63EB" w:rsidRPr="009E5478" w14:paraId="637D421E" w14:textId="77777777" w:rsidTr="00D67DAF">
        <w:trPr>
          <w:trHeight w:val="300"/>
        </w:trPr>
        <w:tc>
          <w:tcPr>
            <w:tcW w:w="3119" w:type="dxa"/>
            <w:tcBorders>
              <w:top w:val="nil"/>
              <w:left w:val="nil"/>
              <w:bottom w:val="single" w:sz="4" w:space="0" w:color="auto"/>
              <w:right w:val="nil"/>
            </w:tcBorders>
            <w:shd w:val="clear" w:color="auto" w:fill="auto"/>
            <w:noWrap/>
            <w:vAlign w:val="bottom"/>
            <w:hideMark/>
          </w:tcPr>
          <w:p w14:paraId="5DB44E45"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BIC</w:t>
            </w:r>
          </w:p>
        </w:tc>
        <w:tc>
          <w:tcPr>
            <w:tcW w:w="976" w:type="dxa"/>
            <w:tcBorders>
              <w:top w:val="nil"/>
              <w:left w:val="single" w:sz="4" w:space="0" w:color="auto"/>
              <w:bottom w:val="single" w:sz="4" w:space="0" w:color="auto"/>
              <w:right w:val="nil"/>
            </w:tcBorders>
            <w:shd w:val="clear" w:color="auto" w:fill="auto"/>
            <w:noWrap/>
            <w:vAlign w:val="bottom"/>
            <w:hideMark/>
          </w:tcPr>
          <w:p w14:paraId="692B9D75"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25823,8</w:t>
            </w:r>
          </w:p>
        </w:tc>
      </w:tr>
      <w:tr w:rsidR="001C63EB" w:rsidRPr="009E5478" w14:paraId="4E8A8949" w14:textId="77777777" w:rsidTr="00D67DAF">
        <w:trPr>
          <w:trHeight w:val="300"/>
        </w:trPr>
        <w:tc>
          <w:tcPr>
            <w:tcW w:w="3119" w:type="dxa"/>
            <w:tcBorders>
              <w:top w:val="nil"/>
              <w:left w:val="nil"/>
              <w:bottom w:val="nil"/>
              <w:right w:val="nil"/>
            </w:tcBorders>
            <w:shd w:val="clear" w:color="auto" w:fill="auto"/>
            <w:noWrap/>
            <w:vAlign w:val="bottom"/>
            <w:hideMark/>
          </w:tcPr>
          <w:p w14:paraId="46922871"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CFI</w:t>
            </w:r>
          </w:p>
        </w:tc>
        <w:tc>
          <w:tcPr>
            <w:tcW w:w="976" w:type="dxa"/>
            <w:tcBorders>
              <w:top w:val="nil"/>
              <w:left w:val="single" w:sz="4" w:space="0" w:color="auto"/>
              <w:bottom w:val="nil"/>
              <w:right w:val="nil"/>
            </w:tcBorders>
            <w:shd w:val="clear" w:color="auto" w:fill="auto"/>
            <w:noWrap/>
            <w:vAlign w:val="bottom"/>
            <w:hideMark/>
          </w:tcPr>
          <w:p w14:paraId="70264D4A"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0,989</w:t>
            </w:r>
          </w:p>
        </w:tc>
      </w:tr>
      <w:tr w:rsidR="001C63EB" w:rsidRPr="009E5478" w14:paraId="711BD5D5" w14:textId="77777777" w:rsidTr="00D67DAF">
        <w:trPr>
          <w:trHeight w:val="300"/>
        </w:trPr>
        <w:tc>
          <w:tcPr>
            <w:tcW w:w="3119" w:type="dxa"/>
            <w:tcBorders>
              <w:top w:val="nil"/>
              <w:left w:val="nil"/>
              <w:bottom w:val="single" w:sz="4" w:space="0" w:color="auto"/>
              <w:right w:val="nil"/>
            </w:tcBorders>
            <w:shd w:val="clear" w:color="auto" w:fill="auto"/>
            <w:noWrap/>
            <w:vAlign w:val="bottom"/>
            <w:hideMark/>
          </w:tcPr>
          <w:p w14:paraId="33C1A610"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TLI</w:t>
            </w:r>
          </w:p>
        </w:tc>
        <w:tc>
          <w:tcPr>
            <w:tcW w:w="976" w:type="dxa"/>
            <w:tcBorders>
              <w:top w:val="nil"/>
              <w:left w:val="single" w:sz="4" w:space="0" w:color="auto"/>
              <w:bottom w:val="single" w:sz="4" w:space="0" w:color="auto"/>
              <w:right w:val="nil"/>
            </w:tcBorders>
            <w:shd w:val="clear" w:color="auto" w:fill="auto"/>
            <w:noWrap/>
            <w:vAlign w:val="bottom"/>
            <w:hideMark/>
          </w:tcPr>
          <w:p w14:paraId="270C86E9"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0,968</w:t>
            </w:r>
          </w:p>
        </w:tc>
      </w:tr>
      <w:tr w:rsidR="001C63EB" w:rsidRPr="00686A3D" w14:paraId="6715D92E" w14:textId="77777777" w:rsidTr="00D67DAF">
        <w:trPr>
          <w:trHeight w:val="300"/>
        </w:trPr>
        <w:tc>
          <w:tcPr>
            <w:tcW w:w="3119" w:type="dxa"/>
            <w:tcBorders>
              <w:top w:val="nil"/>
              <w:left w:val="nil"/>
              <w:bottom w:val="nil"/>
              <w:right w:val="nil"/>
            </w:tcBorders>
            <w:shd w:val="clear" w:color="auto" w:fill="auto"/>
            <w:noWrap/>
            <w:vAlign w:val="bottom"/>
            <w:hideMark/>
          </w:tcPr>
          <w:p w14:paraId="23442A82"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SRMR</w:t>
            </w:r>
          </w:p>
        </w:tc>
        <w:tc>
          <w:tcPr>
            <w:tcW w:w="976" w:type="dxa"/>
            <w:tcBorders>
              <w:top w:val="nil"/>
              <w:left w:val="single" w:sz="4" w:space="0" w:color="auto"/>
              <w:bottom w:val="nil"/>
              <w:right w:val="nil"/>
            </w:tcBorders>
            <w:shd w:val="clear" w:color="auto" w:fill="auto"/>
            <w:noWrap/>
            <w:vAlign w:val="bottom"/>
            <w:hideMark/>
          </w:tcPr>
          <w:p w14:paraId="091F8756"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0,015</w:t>
            </w:r>
          </w:p>
        </w:tc>
      </w:tr>
      <w:tr w:rsidR="001C63EB" w:rsidRPr="009E5478" w14:paraId="4B75F878" w14:textId="77777777" w:rsidTr="00D67DAF">
        <w:trPr>
          <w:trHeight w:val="300"/>
        </w:trPr>
        <w:tc>
          <w:tcPr>
            <w:tcW w:w="3119" w:type="dxa"/>
            <w:tcBorders>
              <w:top w:val="nil"/>
              <w:left w:val="nil"/>
              <w:bottom w:val="single" w:sz="4" w:space="0" w:color="auto"/>
              <w:right w:val="nil"/>
            </w:tcBorders>
            <w:shd w:val="clear" w:color="auto" w:fill="auto"/>
            <w:noWrap/>
            <w:vAlign w:val="bottom"/>
            <w:hideMark/>
          </w:tcPr>
          <w:p w14:paraId="4C39AC5A" w14:textId="77777777" w:rsidR="001C63EB" w:rsidRPr="009E5478" w:rsidRDefault="001C63EB" w:rsidP="009E5478">
            <w:pPr>
              <w:rPr>
                <w:rFonts w:ascii="Calibri" w:hAnsi="Calibri"/>
                <w:color w:val="000000"/>
                <w:sz w:val="22"/>
                <w:szCs w:val="22"/>
              </w:rPr>
            </w:pPr>
            <w:r w:rsidRPr="009E5478">
              <w:rPr>
                <w:rFonts w:ascii="Calibri" w:hAnsi="Calibri"/>
                <w:color w:val="000000"/>
                <w:sz w:val="22"/>
                <w:szCs w:val="22"/>
              </w:rPr>
              <w:t>CD</w:t>
            </w:r>
          </w:p>
        </w:tc>
        <w:tc>
          <w:tcPr>
            <w:tcW w:w="976" w:type="dxa"/>
            <w:tcBorders>
              <w:top w:val="nil"/>
              <w:left w:val="single" w:sz="4" w:space="0" w:color="auto"/>
              <w:bottom w:val="single" w:sz="4" w:space="0" w:color="auto"/>
              <w:right w:val="nil"/>
            </w:tcBorders>
            <w:shd w:val="clear" w:color="auto" w:fill="auto"/>
            <w:noWrap/>
            <w:vAlign w:val="bottom"/>
            <w:hideMark/>
          </w:tcPr>
          <w:p w14:paraId="5B95CF16" w14:textId="77777777" w:rsidR="001C63EB" w:rsidRPr="009E5478" w:rsidRDefault="001C63EB" w:rsidP="009E5478">
            <w:pPr>
              <w:jc w:val="right"/>
              <w:rPr>
                <w:rFonts w:ascii="Calibri" w:hAnsi="Calibri"/>
                <w:color w:val="000000"/>
                <w:sz w:val="22"/>
                <w:szCs w:val="22"/>
              </w:rPr>
            </w:pPr>
            <w:r w:rsidRPr="009E5478">
              <w:rPr>
                <w:rFonts w:ascii="Calibri" w:hAnsi="Calibri"/>
                <w:color w:val="000000"/>
                <w:sz w:val="22"/>
                <w:szCs w:val="22"/>
              </w:rPr>
              <w:t>0,683</w:t>
            </w:r>
          </w:p>
        </w:tc>
      </w:tr>
    </w:tbl>
    <w:p w14:paraId="6E277A75" w14:textId="77777777" w:rsidR="009E5478" w:rsidRDefault="009E5478" w:rsidP="005E586A">
      <w:pPr>
        <w:jc w:val="both"/>
        <w:rPr>
          <w:rFonts w:asciiTheme="minorHAnsi" w:hAnsiTheme="minorHAnsi"/>
        </w:rPr>
      </w:pPr>
    </w:p>
    <w:p w14:paraId="07C9F6F4" w14:textId="77777777" w:rsidR="009E5478" w:rsidRDefault="009E5478" w:rsidP="005E586A">
      <w:pPr>
        <w:jc w:val="both"/>
        <w:rPr>
          <w:rFonts w:asciiTheme="minorHAnsi" w:hAnsiTheme="minorHAnsi"/>
        </w:rPr>
      </w:pPr>
    </w:p>
    <w:tbl>
      <w:tblPr>
        <w:tblW w:w="384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976"/>
        <w:gridCol w:w="960"/>
        <w:gridCol w:w="960"/>
        <w:gridCol w:w="976"/>
      </w:tblGrid>
      <w:tr w:rsidR="009E5478" w:rsidRPr="009E5478" w14:paraId="373AF91C" w14:textId="77777777" w:rsidTr="009E5478">
        <w:trPr>
          <w:trHeight w:val="300"/>
        </w:trPr>
        <w:tc>
          <w:tcPr>
            <w:tcW w:w="960" w:type="dxa"/>
            <w:tcBorders>
              <w:right w:val="single" w:sz="4" w:space="0" w:color="auto"/>
            </w:tcBorders>
            <w:shd w:val="clear" w:color="auto" w:fill="auto"/>
            <w:noWrap/>
            <w:vAlign w:val="bottom"/>
            <w:hideMark/>
          </w:tcPr>
          <w:p w14:paraId="77C5FF87"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SSI</w:t>
            </w:r>
          </w:p>
        </w:tc>
        <w:tc>
          <w:tcPr>
            <w:tcW w:w="960" w:type="dxa"/>
            <w:tcBorders>
              <w:top w:val="single" w:sz="4" w:space="0" w:color="auto"/>
              <w:left w:val="single" w:sz="4" w:space="0" w:color="auto"/>
              <w:bottom w:val="nil"/>
              <w:right w:val="single" w:sz="4" w:space="0" w:color="auto"/>
            </w:tcBorders>
            <w:shd w:val="clear" w:color="auto" w:fill="auto"/>
            <w:noWrap/>
            <w:vAlign w:val="bottom"/>
            <w:hideMark/>
          </w:tcPr>
          <w:p w14:paraId="01E8E332"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SEV</w:t>
            </w:r>
          </w:p>
        </w:tc>
        <w:tc>
          <w:tcPr>
            <w:tcW w:w="960" w:type="dxa"/>
            <w:tcBorders>
              <w:top w:val="single" w:sz="4" w:space="0" w:color="auto"/>
              <w:left w:val="single" w:sz="4" w:space="0" w:color="auto"/>
              <w:bottom w:val="nil"/>
              <w:right w:val="single" w:sz="4" w:space="0" w:color="auto"/>
            </w:tcBorders>
            <w:shd w:val="clear" w:color="auto" w:fill="auto"/>
            <w:noWrap/>
            <w:vAlign w:val="bottom"/>
            <w:hideMark/>
          </w:tcPr>
          <w:p w14:paraId="5E60A019"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CR</w:t>
            </w:r>
          </w:p>
        </w:tc>
        <w:tc>
          <w:tcPr>
            <w:tcW w:w="960" w:type="dxa"/>
            <w:tcBorders>
              <w:left w:val="single" w:sz="4" w:space="0" w:color="auto"/>
            </w:tcBorders>
            <w:shd w:val="clear" w:color="auto" w:fill="auto"/>
            <w:noWrap/>
            <w:vAlign w:val="bottom"/>
            <w:hideMark/>
          </w:tcPr>
          <w:p w14:paraId="3BEABBFF" w14:textId="77777777" w:rsidR="009E5478" w:rsidRPr="009E5478" w:rsidRDefault="009E5478" w:rsidP="009E5478">
            <w:pPr>
              <w:rPr>
                <w:rFonts w:ascii="Calibri" w:hAnsi="Calibri"/>
                <w:color w:val="000000"/>
                <w:sz w:val="22"/>
                <w:szCs w:val="22"/>
              </w:rPr>
            </w:pPr>
            <w:r w:rsidRPr="009E5478">
              <w:rPr>
                <w:rFonts w:ascii="Calibri" w:hAnsi="Calibri"/>
                <w:color w:val="000000"/>
                <w:sz w:val="22"/>
                <w:szCs w:val="22"/>
              </w:rPr>
              <w:t>AVE</w:t>
            </w:r>
          </w:p>
        </w:tc>
      </w:tr>
      <w:tr w:rsidR="009E5478" w:rsidRPr="009E5478" w14:paraId="678FD9E7" w14:textId="77777777" w:rsidTr="009E5478">
        <w:trPr>
          <w:trHeight w:val="300"/>
        </w:trPr>
        <w:tc>
          <w:tcPr>
            <w:tcW w:w="960" w:type="dxa"/>
            <w:tcBorders>
              <w:right w:val="single" w:sz="4" w:space="0" w:color="auto"/>
            </w:tcBorders>
            <w:shd w:val="clear" w:color="auto" w:fill="auto"/>
            <w:noWrap/>
            <w:vAlign w:val="bottom"/>
            <w:hideMark/>
          </w:tcPr>
          <w:p w14:paraId="6C7367FC"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5,570444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2690CF5"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2,60551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322E7C0"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0,68132</w:t>
            </w:r>
          </w:p>
        </w:tc>
        <w:tc>
          <w:tcPr>
            <w:tcW w:w="960" w:type="dxa"/>
            <w:tcBorders>
              <w:left w:val="single" w:sz="4" w:space="0" w:color="auto"/>
            </w:tcBorders>
            <w:shd w:val="clear" w:color="auto" w:fill="auto"/>
            <w:noWrap/>
            <w:vAlign w:val="bottom"/>
            <w:hideMark/>
          </w:tcPr>
          <w:p w14:paraId="5D2174EF" w14:textId="77777777" w:rsidR="009E5478" w:rsidRPr="009E5478" w:rsidRDefault="009E5478" w:rsidP="009E5478">
            <w:pPr>
              <w:jc w:val="right"/>
              <w:rPr>
                <w:rFonts w:ascii="Calibri" w:hAnsi="Calibri"/>
                <w:color w:val="000000"/>
                <w:sz w:val="22"/>
                <w:szCs w:val="22"/>
              </w:rPr>
            </w:pPr>
            <w:r w:rsidRPr="009E5478">
              <w:rPr>
                <w:rFonts w:ascii="Calibri" w:hAnsi="Calibri"/>
                <w:color w:val="000000"/>
                <w:sz w:val="22"/>
                <w:szCs w:val="22"/>
              </w:rPr>
              <w:t>0,348623</w:t>
            </w:r>
          </w:p>
        </w:tc>
      </w:tr>
    </w:tbl>
    <w:p w14:paraId="0DB834B5" w14:textId="77777777" w:rsidR="009E5478" w:rsidRDefault="009E5478" w:rsidP="005E586A">
      <w:pPr>
        <w:jc w:val="both"/>
        <w:rPr>
          <w:rFonts w:asciiTheme="minorHAnsi" w:hAnsiTheme="minorHAnsi"/>
        </w:rPr>
      </w:pPr>
    </w:p>
    <w:p w14:paraId="6ECAC1F1" w14:textId="77777777" w:rsidR="009E5478" w:rsidRDefault="009E5478" w:rsidP="005E586A">
      <w:pPr>
        <w:jc w:val="both"/>
        <w:rPr>
          <w:rFonts w:asciiTheme="minorHAnsi" w:hAnsiTheme="minorHAnsi"/>
        </w:rPr>
      </w:pPr>
    </w:p>
    <w:p w14:paraId="737F319C" w14:textId="77777777" w:rsidR="009E5478" w:rsidRDefault="009E5478" w:rsidP="005E586A">
      <w:pPr>
        <w:jc w:val="both"/>
        <w:rPr>
          <w:rFonts w:asciiTheme="minorHAnsi" w:hAnsiTheme="minorHAnsi"/>
        </w:rPr>
      </w:pPr>
    </w:p>
    <w:p w14:paraId="719F1FA3" w14:textId="77777777" w:rsidR="009E5478" w:rsidRDefault="009E5478" w:rsidP="005E586A">
      <w:pPr>
        <w:jc w:val="both"/>
        <w:rPr>
          <w:rFonts w:asciiTheme="minorHAnsi" w:hAnsiTheme="minorHAnsi"/>
        </w:rPr>
      </w:pPr>
    </w:p>
    <w:p w14:paraId="5C38F2E8" w14:textId="77777777" w:rsidR="005E586A" w:rsidRPr="00AB315F" w:rsidRDefault="005E586A" w:rsidP="005E586A">
      <w:pPr>
        <w:jc w:val="both"/>
        <w:rPr>
          <w:rFonts w:asciiTheme="minorHAnsi" w:hAnsiTheme="minorHAnsi"/>
        </w:rPr>
      </w:pPr>
      <w:r w:rsidRPr="00AB315F">
        <w:rPr>
          <w:rFonts w:asciiTheme="minorHAnsi" w:hAnsiTheme="minorHAnsi"/>
        </w:rPr>
        <w:t>Teste de hipótese de que as médias do ITC2006 são todas iguais para as categorias de idade.</w:t>
      </w:r>
    </w:p>
    <w:p w14:paraId="0FF75A8A" w14:textId="125091CA" w:rsidR="005E586A" w:rsidRPr="00D67DAF" w:rsidRDefault="00D67DAF" w:rsidP="005E586A">
      <w:pPr>
        <w:pBdr>
          <w:top w:val="single" w:sz="4" w:space="1" w:color="auto"/>
          <w:left w:val="single" w:sz="4" w:space="4" w:color="auto"/>
          <w:bottom w:val="single" w:sz="4" w:space="1" w:color="auto"/>
          <w:right w:val="single" w:sz="4" w:space="4" w:color="auto"/>
        </w:pBdr>
        <w:spacing w:line="360" w:lineRule="auto"/>
        <w:jc w:val="both"/>
        <w:rPr>
          <w:rFonts w:asciiTheme="minorHAnsi" w:hAnsiTheme="minorHAnsi"/>
        </w:rPr>
      </w:pPr>
      <w:r w:rsidRPr="00D67DAF">
        <w:rPr>
          <w:rFonts w:asciiTheme="minorHAnsi" w:hAnsiTheme="minorHAnsi"/>
        </w:rPr>
        <w:t xml:space="preserve">Teste de </w:t>
      </w:r>
      <w:r w:rsidR="005E586A" w:rsidRPr="00D67DAF">
        <w:rPr>
          <w:rFonts w:asciiTheme="minorHAnsi" w:hAnsiTheme="minorHAnsi"/>
        </w:rPr>
        <w:t>Bartlett's</w:t>
      </w:r>
      <w:r w:rsidRPr="00D67DAF">
        <w:rPr>
          <w:rFonts w:asciiTheme="minorHAnsi" w:hAnsiTheme="minorHAnsi"/>
        </w:rPr>
        <w:t xml:space="preserve"> p</w:t>
      </w:r>
      <w:r>
        <w:rPr>
          <w:rFonts w:asciiTheme="minorHAnsi" w:hAnsiTheme="minorHAnsi"/>
        </w:rPr>
        <w:t>ara varianças iguais</w:t>
      </w:r>
      <w:r w:rsidR="005E586A" w:rsidRPr="00D67DAF">
        <w:rPr>
          <w:rFonts w:asciiTheme="minorHAnsi" w:hAnsiTheme="minorHAnsi"/>
        </w:rPr>
        <w:tab/>
        <w:t>:  chi2(65) =  92,3582  Prob&gt;chi2 = 0,014</w:t>
      </w:r>
    </w:p>
    <w:p w14:paraId="1F591269" w14:textId="77777777" w:rsidR="005E586A" w:rsidRPr="00D67DAF" w:rsidRDefault="005E586A" w:rsidP="005E586A">
      <w:pPr>
        <w:rPr>
          <w:rFonts w:asciiTheme="minorHAnsi" w:hAnsiTheme="minorHAnsi"/>
        </w:rPr>
      </w:pPr>
    </w:p>
    <w:p w14:paraId="1CC95D5B" w14:textId="247B3A86" w:rsidR="00401A89" w:rsidRDefault="00401A89">
      <w:pPr>
        <w:spacing w:after="160" w:line="259" w:lineRule="auto"/>
        <w:rPr>
          <w:rFonts w:asciiTheme="minorHAnsi" w:hAnsiTheme="minorHAnsi"/>
        </w:rPr>
      </w:pPr>
      <w:r>
        <w:rPr>
          <w:rFonts w:asciiTheme="minorHAnsi" w:hAnsiTheme="minorHAnsi"/>
        </w:rPr>
        <w:br w:type="page"/>
      </w:r>
    </w:p>
    <w:p w14:paraId="673184B8" w14:textId="1C77E1C2" w:rsidR="006967AF" w:rsidRPr="005E586A" w:rsidRDefault="006967AF" w:rsidP="006967AF">
      <w:pPr>
        <w:rPr>
          <w:rFonts w:asciiTheme="minorHAnsi" w:hAnsiTheme="minorHAnsi"/>
        </w:rPr>
      </w:pPr>
      <w:r w:rsidRPr="005E586A">
        <w:rPr>
          <w:rFonts w:asciiTheme="minorHAnsi" w:hAnsiTheme="minorHAnsi"/>
        </w:rPr>
        <w:lastRenderedPageBreak/>
        <w:t>Regressão mu</w:t>
      </w:r>
      <w:r w:rsidR="001C63EB">
        <w:rPr>
          <w:rFonts w:asciiTheme="minorHAnsi" w:hAnsiTheme="minorHAnsi"/>
        </w:rPr>
        <w:t>l</w:t>
      </w:r>
      <w:r w:rsidRPr="005E586A">
        <w:rPr>
          <w:rFonts w:asciiTheme="minorHAnsi" w:hAnsiTheme="minorHAnsi"/>
        </w:rPr>
        <w:t>tinomial</w:t>
      </w:r>
    </w:p>
    <w:tbl>
      <w:tblPr>
        <w:tblW w:w="8692" w:type="dxa"/>
        <w:tblCellMar>
          <w:left w:w="70" w:type="dxa"/>
          <w:right w:w="70" w:type="dxa"/>
        </w:tblCellMar>
        <w:tblLook w:val="04A0" w:firstRow="1" w:lastRow="0" w:firstColumn="1" w:lastColumn="0" w:noHBand="0" w:noVBand="1"/>
      </w:tblPr>
      <w:tblGrid>
        <w:gridCol w:w="4700"/>
        <w:gridCol w:w="960"/>
        <w:gridCol w:w="1112"/>
        <w:gridCol w:w="960"/>
        <w:gridCol w:w="960"/>
      </w:tblGrid>
      <w:tr w:rsidR="006967AF" w:rsidRPr="00AB315F" w14:paraId="364EED70" w14:textId="77777777" w:rsidTr="001C63EB">
        <w:trPr>
          <w:trHeight w:val="290"/>
        </w:trPr>
        <w:tc>
          <w:tcPr>
            <w:tcW w:w="4700" w:type="dxa"/>
            <w:tcBorders>
              <w:top w:val="nil"/>
              <w:left w:val="nil"/>
              <w:bottom w:val="nil"/>
              <w:right w:val="nil"/>
            </w:tcBorders>
            <w:shd w:val="clear" w:color="auto" w:fill="auto"/>
            <w:noWrap/>
            <w:vAlign w:val="center"/>
            <w:hideMark/>
          </w:tcPr>
          <w:p w14:paraId="6FFFC073"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É corrupto e deve ser castigado</w:t>
            </w:r>
          </w:p>
        </w:tc>
        <w:tc>
          <w:tcPr>
            <w:tcW w:w="960" w:type="dxa"/>
            <w:tcBorders>
              <w:top w:val="nil"/>
              <w:left w:val="single" w:sz="4" w:space="0" w:color="auto"/>
              <w:bottom w:val="nil"/>
              <w:right w:val="nil"/>
            </w:tcBorders>
            <w:shd w:val="clear" w:color="auto" w:fill="auto"/>
            <w:noWrap/>
            <w:vAlign w:val="center"/>
            <w:hideMark/>
          </w:tcPr>
          <w:p w14:paraId="4186DE4F"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 </w:t>
            </w:r>
          </w:p>
        </w:tc>
        <w:tc>
          <w:tcPr>
            <w:tcW w:w="1112" w:type="dxa"/>
            <w:tcBorders>
              <w:top w:val="nil"/>
              <w:left w:val="single" w:sz="4" w:space="0" w:color="auto"/>
              <w:bottom w:val="nil"/>
              <w:right w:val="nil"/>
            </w:tcBorders>
            <w:shd w:val="clear" w:color="auto" w:fill="auto"/>
            <w:noWrap/>
            <w:vAlign w:val="center"/>
            <w:hideMark/>
          </w:tcPr>
          <w:p w14:paraId="6E0B5124"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 </w:t>
            </w:r>
          </w:p>
        </w:tc>
        <w:tc>
          <w:tcPr>
            <w:tcW w:w="960" w:type="dxa"/>
            <w:tcBorders>
              <w:top w:val="nil"/>
              <w:left w:val="single" w:sz="4" w:space="0" w:color="auto"/>
              <w:bottom w:val="nil"/>
              <w:right w:val="nil"/>
            </w:tcBorders>
            <w:shd w:val="clear" w:color="auto" w:fill="auto"/>
            <w:noWrap/>
            <w:vAlign w:val="center"/>
            <w:hideMark/>
          </w:tcPr>
          <w:p w14:paraId="4334C71E"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 </w:t>
            </w:r>
          </w:p>
        </w:tc>
        <w:tc>
          <w:tcPr>
            <w:tcW w:w="960" w:type="dxa"/>
            <w:tcBorders>
              <w:top w:val="nil"/>
              <w:left w:val="single" w:sz="4" w:space="0" w:color="auto"/>
              <w:bottom w:val="nil"/>
              <w:right w:val="nil"/>
            </w:tcBorders>
            <w:shd w:val="clear" w:color="auto" w:fill="auto"/>
            <w:noWrap/>
            <w:vAlign w:val="center"/>
            <w:hideMark/>
          </w:tcPr>
          <w:p w14:paraId="5AC7993F"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 </w:t>
            </w:r>
          </w:p>
        </w:tc>
      </w:tr>
      <w:tr w:rsidR="006967AF" w:rsidRPr="00AB315F" w14:paraId="7ECB1D6A" w14:textId="77777777" w:rsidTr="001C63EB">
        <w:trPr>
          <w:trHeight w:val="290"/>
        </w:trPr>
        <w:tc>
          <w:tcPr>
            <w:tcW w:w="4700" w:type="dxa"/>
            <w:tcBorders>
              <w:top w:val="single" w:sz="4" w:space="0" w:color="auto"/>
              <w:left w:val="nil"/>
              <w:bottom w:val="single" w:sz="4" w:space="0" w:color="auto"/>
              <w:right w:val="nil"/>
            </w:tcBorders>
            <w:shd w:val="clear" w:color="auto" w:fill="auto"/>
            <w:noWrap/>
            <w:vAlign w:val="center"/>
            <w:hideMark/>
          </w:tcPr>
          <w:p w14:paraId="0CF7BC94" w14:textId="67DB2810" w:rsidR="006967AF" w:rsidRPr="00AB315F" w:rsidRDefault="001C63EB" w:rsidP="00EC4A80">
            <w:pPr>
              <w:jc w:val="center"/>
              <w:rPr>
                <w:rFonts w:ascii="Calibri" w:hAnsi="Calibri"/>
                <w:b/>
                <w:bCs/>
                <w:sz w:val="22"/>
                <w:szCs w:val="22"/>
              </w:rPr>
            </w:pPr>
            <w:r>
              <w:rPr>
                <w:rFonts w:ascii="Calibri" w:hAnsi="Calibri"/>
                <w:b/>
                <w:bCs/>
                <w:sz w:val="22"/>
                <w:szCs w:val="22"/>
              </w:rPr>
              <w:t>Cená</w:t>
            </w:r>
            <w:r w:rsidR="006967AF" w:rsidRPr="00AB315F">
              <w:rPr>
                <w:rFonts w:ascii="Calibri" w:hAnsi="Calibri"/>
                <w:b/>
                <w:bCs/>
                <w:sz w:val="22"/>
                <w:szCs w:val="22"/>
              </w:rPr>
              <w:t>rio1</w:t>
            </w:r>
          </w:p>
        </w:tc>
        <w:tc>
          <w:tcPr>
            <w:tcW w:w="960" w:type="dxa"/>
            <w:tcBorders>
              <w:top w:val="single" w:sz="4" w:space="0" w:color="auto"/>
              <w:left w:val="single" w:sz="4" w:space="0" w:color="auto"/>
              <w:bottom w:val="single" w:sz="4" w:space="0" w:color="auto"/>
              <w:right w:val="nil"/>
            </w:tcBorders>
            <w:shd w:val="clear" w:color="auto" w:fill="auto"/>
            <w:noWrap/>
            <w:vAlign w:val="center"/>
            <w:hideMark/>
          </w:tcPr>
          <w:p w14:paraId="170A39E8"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RRR</w:t>
            </w:r>
          </w:p>
        </w:tc>
        <w:tc>
          <w:tcPr>
            <w:tcW w:w="1112" w:type="dxa"/>
            <w:tcBorders>
              <w:top w:val="single" w:sz="4" w:space="0" w:color="auto"/>
              <w:left w:val="single" w:sz="4" w:space="0" w:color="auto"/>
              <w:bottom w:val="single" w:sz="4" w:space="0" w:color="auto"/>
              <w:right w:val="nil"/>
            </w:tcBorders>
            <w:shd w:val="clear" w:color="auto" w:fill="auto"/>
            <w:noWrap/>
            <w:vAlign w:val="center"/>
            <w:hideMark/>
          </w:tcPr>
          <w:p w14:paraId="7E5C3F56" w14:textId="44E514DA" w:rsidR="006967AF" w:rsidRPr="00AB315F" w:rsidRDefault="006967AF" w:rsidP="00EC4A80">
            <w:pPr>
              <w:jc w:val="center"/>
              <w:rPr>
                <w:rFonts w:ascii="Calibri" w:hAnsi="Calibri"/>
                <w:b/>
                <w:bCs/>
                <w:sz w:val="22"/>
                <w:szCs w:val="22"/>
              </w:rPr>
            </w:pPr>
            <w:r w:rsidRPr="00AB315F">
              <w:rPr>
                <w:rFonts w:ascii="Calibri" w:hAnsi="Calibri"/>
                <w:b/>
                <w:bCs/>
                <w:sz w:val="22"/>
                <w:szCs w:val="22"/>
              </w:rPr>
              <w:t>Err.</w:t>
            </w:r>
            <w:r w:rsidR="001C63EB">
              <w:rPr>
                <w:rFonts w:ascii="Calibri" w:hAnsi="Calibri"/>
                <w:b/>
                <w:bCs/>
                <w:sz w:val="22"/>
                <w:szCs w:val="22"/>
              </w:rPr>
              <w:t>Padrão</w:t>
            </w:r>
          </w:p>
        </w:tc>
        <w:tc>
          <w:tcPr>
            <w:tcW w:w="960" w:type="dxa"/>
            <w:tcBorders>
              <w:top w:val="single" w:sz="4" w:space="0" w:color="auto"/>
              <w:left w:val="single" w:sz="4" w:space="0" w:color="auto"/>
              <w:bottom w:val="single" w:sz="4" w:space="0" w:color="auto"/>
              <w:right w:val="nil"/>
            </w:tcBorders>
            <w:shd w:val="clear" w:color="auto" w:fill="auto"/>
            <w:noWrap/>
            <w:vAlign w:val="center"/>
            <w:hideMark/>
          </w:tcPr>
          <w:p w14:paraId="33F6C014"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z</w:t>
            </w:r>
          </w:p>
        </w:tc>
        <w:tc>
          <w:tcPr>
            <w:tcW w:w="960" w:type="dxa"/>
            <w:tcBorders>
              <w:top w:val="single" w:sz="4" w:space="0" w:color="auto"/>
              <w:left w:val="single" w:sz="4" w:space="0" w:color="auto"/>
              <w:bottom w:val="single" w:sz="4" w:space="0" w:color="auto"/>
              <w:right w:val="nil"/>
            </w:tcBorders>
            <w:shd w:val="clear" w:color="auto" w:fill="auto"/>
            <w:noWrap/>
            <w:vAlign w:val="center"/>
            <w:hideMark/>
          </w:tcPr>
          <w:p w14:paraId="1C33803B"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 xml:space="preserve">P&gt;z    </w:t>
            </w:r>
          </w:p>
        </w:tc>
      </w:tr>
      <w:tr w:rsidR="006967AF" w:rsidRPr="00AB315F" w14:paraId="2537A685" w14:textId="77777777" w:rsidTr="001C63EB">
        <w:trPr>
          <w:trHeight w:val="290"/>
        </w:trPr>
        <w:tc>
          <w:tcPr>
            <w:tcW w:w="4700" w:type="dxa"/>
            <w:tcBorders>
              <w:top w:val="nil"/>
              <w:left w:val="nil"/>
              <w:right w:val="nil"/>
            </w:tcBorders>
            <w:shd w:val="clear" w:color="auto" w:fill="auto"/>
            <w:noWrap/>
            <w:vAlign w:val="center"/>
            <w:hideMark/>
          </w:tcPr>
          <w:p w14:paraId="51345E5F" w14:textId="77777777" w:rsidR="006967AF" w:rsidRPr="00AB315F" w:rsidRDefault="006967AF" w:rsidP="00EC4A80">
            <w:pPr>
              <w:jc w:val="center"/>
              <w:rPr>
                <w:rFonts w:ascii="Calibri" w:hAnsi="Calibri"/>
                <w:sz w:val="22"/>
                <w:szCs w:val="22"/>
              </w:rPr>
            </w:pPr>
            <w:r w:rsidRPr="00AB315F">
              <w:rPr>
                <w:rFonts w:ascii="Calibri" w:hAnsi="Calibri"/>
                <w:sz w:val="22"/>
                <w:szCs w:val="22"/>
              </w:rPr>
              <w:t>Macro Região</w:t>
            </w:r>
          </w:p>
        </w:tc>
        <w:tc>
          <w:tcPr>
            <w:tcW w:w="960" w:type="dxa"/>
            <w:tcBorders>
              <w:top w:val="nil"/>
              <w:left w:val="single" w:sz="4" w:space="0" w:color="auto"/>
              <w:bottom w:val="nil"/>
              <w:right w:val="nil"/>
            </w:tcBorders>
            <w:shd w:val="clear" w:color="auto" w:fill="auto"/>
            <w:noWrap/>
            <w:vAlign w:val="center"/>
            <w:hideMark/>
          </w:tcPr>
          <w:p w14:paraId="61154DE2"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nil"/>
              <w:left w:val="single" w:sz="4" w:space="0" w:color="auto"/>
              <w:bottom w:val="nil"/>
              <w:right w:val="nil"/>
            </w:tcBorders>
            <w:shd w:val="clear" w:color="auto" w:fill="auto"/>
            <w:noWrap/>
            <w:vAlign w:val="center"/>
            <w:hideMark/>
          </w:tcPr>
          <w:p w14:paraId="0959BC1C"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52922BF4"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4CAD08CE"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187BF4" w:rsidRPr="00AB315F" w14:paraId="29171251" w14:textId="77777777" w:rsidTr="001C63EB">
        <w:trPr>
          <w:trHeight w:val="290"/>
        </w:trPr>
        <w:tc>
          <w:tcPr>
            <w:tcW w:w="4700" w:type="dxa"/>
            <w:tcBorders>
              <w:top w:val="nil"/>
              <w:bottom w:val="nil"/>
              <w:right w:val="nil"/>
            </w:tcBorders>
            <w:shd w:val="clear" w:color="auto" w:fill="auto"/>
            <w:noWrap/>
            <w:vAlign w:val="center"/>
          </w:tcPr>
          <w:p w14:paraId="4A489192" w14:textId="5BD9AC06" w:rsidR="00187BF4" w:rsidRPr="00AB315F" w:rsidRDefault="00187BF4" w:rsidP="00EC4A80">
            <w:pPr>
              <w:jc w:val="center"/>
              <w:rPr>
                <w:rFonts w:ascii="Calibri" w:hAnsi="Calibri"/>
                <w:sz w:val="22"/>
                <w:szCs w:val="22"/>
              </w:rPr>
            </w:pPr>
            <w:r>
              <w:rPr>
                <w:rFonts w:ascii="Calibri" w:hAnsi="Calibri"/>
                <w:sz w:val="22"/>
                <w:szCs w:val="22"/>
              </w:rPr>
              <w:t>Sudeste</w:t>
            </w:r>
          </w:p>
        </w:tc>
        <w:tc>
          <w:tcPr>
            <w:tcW w:w="960" w:type="dxa"/>
            <w:tcBorders>
              <w:top w:val="nil"/>
              <w:left w:val="single" w:sz="4" w:space="0" w:color="auto"/>
              <w:bottom w:val="nil"/>
              <w:right w:val="nil"/>
            </w:tcBorders>
            <w:shd w:val="clear" w:color="auto" w:fill="auto"/>
            <w:noWrap/>
            <w:vAlign w:val="center"/>
          </w:tcPr>
          <w:p w14:paraId="5D056BEC" w14:textId="36CEDFBD" w:rsidR="00187BF4" w:rsidRPr="00AB315F" w:rsidRDefault="00187BF4" w:rsidP="00EC4A80">
            <w:pPr>
              <w:jc w:val="center"/>
              <w:rPr>
                <w:rFonts w:ascii="Calibri" w:hAnsi="Calibri"/>
                <w:sz w:val="22"/>
                <w:szCs w:val="22"/>
              </w:rPr>
            </w:pPr>
            <w:r>
              <w:rPr>
                <w:rFonts w:ascii="Calibri" w:hAnsi="Calibri"/>
                <w:sz w:val="22"/>
                <w:szCs w:val="22"/>
              </w:rPr>
              <w:t>1(ref.)</w:t>
            </w:r>
          </w:p>
        </w:tc>
        <w:tc>
          <w:tcPr>
            <w:tcW w:w="1112" w:type="dxa"/>
            <w:tcBorders>
              <w:top w:val="nil"/>
              <w:left w:val="single" w:sz="4" w:space="0" w:color="auto"/>
              <w:bottom w:val="nil"/>
              <w:right w:val="nil"/>
            </w:tcBorders>
            <w:shd w:val="clear" w:color="auto" w:fill="auto"/>
            <w:noWrap/>
            <w:vAlign w:val="center"/>
          </w:tcPr>
          <w:p w14:paraId="340A2D6D" w14:textId="77777777" w:rsidR="00187BF4" w:rsidRPr="00AB315F" w:rsidRDefault="00187BF4" w:rsidP="00EC4A80">
            <w:pPr>
              <w:jc w:val="center"/>
              <w:rPr>
                <w:rFonts w:ascii="Calibri" w:hAnsi="Calibri"/>
                <w:sz w:val="22"/>
                <w:szCs w:val="22"/>
              </w:rPr>
            </w:pPr>
          </w:p>
        </w:tc>
        <w:tc>
          <w:tcPr>
            <w:tcW w:w="960" w:type="dxa"/>
            <w:tcBorders>
              <w:top w:val="nil"/>
              <w:left w:val="single" w:sz="4" w:space="0" w:color="auto"/>
              <w:bottom w:val="nil"/>
              <w:right w:val="nil"/>
            </w:tcBorders>
            <w:shd w:val="clear" w:color="auto" w:fill="auto"/>
            <w:noWrap/>
            <w:vAlign w:val="center"/>
          </w:tcPr>
          <w:p w14:paraId="057D8FA2" w14:textId="77777777" w:rsidR="00187BF4" w:rsidRPr="00AB315F" w:rsidRDefault="00187BF4" w:rsidP="00EC4A80">
            <w:pPr>
              <w:jc w:val="center"/>
              <w:rPr>
                <w:rFonts w:ascii="Calibri" w:hAnsi="Calibri"/>
                <w:sz w:val="22"/>
                <w:szCs w:val="22"/>
              </w:rPr>
            </w:pPr>
          </w:p>
        </w:tc>
        <w:tc>
          <w:tcPr>
            <w:tcW w:w="960" w:type="dxa"/>
            <w:tcBorders>
              <w:top w:val="nil"/>
              <w:left w:val="single" w:sz="4" w:space="0" w:color="auto"/>
              <w:bottom w:val="nil"/>
              <w:right w:val="nil"/>
            </w:tcBorders>
            <w:shd w:val="clear" w:color="auto" w:fill="auto"/>
            <w:noWrap/>
            <w:vAlign w:val="center"/>
          </w:tcPr>
          <w:p w14:paraId="3CFBF5F2" w14:textId="77777777" w:rsidR="00187BF4" w:rsidRPr="00AB315F" w:rsidRDefault="00187BF4" w:rsidP="00EC4A80">
            <w:pPr>
              <w:jc w:val="center"/>
              <w:rPr>
                <w:rFonts w:ascii="Calibri" w:hAnsi="Calibri"/>
                <w:sz w:val="22"/>
                <w:szCs w:val="22"/>
              </w:rPr>
            </w:pPr>
          </w:p>
        </w:tc>
      </w:tr>
      <w:tr w:rsidR="006967AF" w:rsidRPr="00AB315F" w14:paraId="338EA8F8" w14:textId="77777777" w:rsidTr="001C63EB">
        <w:trPr>
          <w:trHeight w:val="290"/>
        </w:trPr>
        <w:tc>
          <w:tcPr>
            <w:tcW w:w="4700" w:type="dxa"/>
            <w:tcBorders>
              <w:top w:val="nil"/>
              <w:bottom w:val="nil"/>
              <w:right w:val="nil"/>
            </w:tcBorders>
            <w:shd w:val="clear" w:color="auto" w:fill="auto"/>
            <w:vAlign w:val="center"/>
            <w:hideMark/>
          </w:tcPr>
          <w:p w14:paraId="62FC146E" w14:textId="77777777" w:rsidR="006967AF" w:rsidRPr="00AB315F" w:rsidRDefault="006967AF" w:rsidP="00EC4A80">
            <w:pPr>
              <w:jc w:val="center"/>
              <w:rPr>
                <w:rFonts w:ascii="Calibri" w:hAnsi="Calibri"/>
                <w:sz w:val="20"/>
                <w:szCs w:val="20"/>
              </w:rPr>
            </w:pPr>
            <w:r w:rsidRPr="00AB315F">
              <w:rPr>
                <w:rFonts w:ascii="Calibri" w:hAnsi="Calibri"/>
                <w:sz w:val="20"/>
                <w:szCs w:val="20"/>
              </w:rPr>
              <w:t>Sul</w:t>
            </w:r>
          </w:p>
        </w:tc>
        <w:tc>
          <w:tcPr>
            <w:tcW w:w="960" w:type="dxa"/>
            <w:tcBorders>
              <w:top w:val="nil"/>
              <w:left w:val="single" w:sz="4" w:space="0" w:color="auto"/>
              <w:bottom w:val="nil"/>
              <w:right w:val="nil"/>
            </w:tcBorders>
            <w:shd w:val="clear" w:color="auto" w:fill="auto"/>
            <w:noWrap/>
            <w:vAlign w:val="center"/>
            <w:hideMark/>
          </w:tcPr>
          <w:p w14:paraId="7BA8B12D" w14:textId="77777777" w:rsidR="006967AF" w:rsidRPr="00AB315F" w:rsidRDefault="006967AF" w:rsidP="00EC4A80">
            <w:pPr>
              <w:jc w:val="center"/>
              <w:rPr>
                <w:rFonts w:ascii="Calibri" w:hAnsi="Calibri"/>
                <w:sz w:val="22"/>
                <w:szCs w:val="22"/>
              </w:rPr>
            </w:pPr>
            <w:r w:rsidRPr="00AB315F">
              <w:rPr>
                <w:rFonts w:ascii="Calibri" w:hAnsi="Calibri"/>
                <w:sz w:val="22"/>
                <w:szCs w:val="22"/>
              </w:rPr>
              <w:t>1,877</w:t>
            </w:r>
          </w:p>
        </w:tc>
        <w:tc>
          <w:tcPr>
            <w:tcW w:w="1112" w:type="dxa"/>
            <w:tcBorders>
              <w:top w:val="nil"/>
              <w:left w:val="single" w:sz="4" w:space="0" w:color="auto"/>
              <w:bottom w:val="nil"/>
              <w:right w:val="nil"/>
            </w:tcBorders>
            <w:shd w:val="clear" w:color="auto" w:fill="auto"/>
            <w:noWrap/>
            <w:vAlign w:val="center"/>
            <w:hideMark/>
          </w:tcPr>
          <w:p w14:paraId="11A1F6CC" w14:textId="77777777" w:rsidR="006967AF" w:rsidRPr="00AB315F" w:rsidRDefault="006967AF" w:rsidP="00EC4A80">
            <w:pPr>
              <w:jc w:val="center"/>
              <w:rPr>
                <w:rFonts w:ascii="Calibri" w:hAnsi="Calibri"/>
                <w:sz w:val="22"/>
                <w:szCs w:val="22"/>
              </w:rPr>
            </w:pPr>
            <w:r w:rsidRPr="00AB315F">
              <w:rPr>
                <w:rFonts w:ascii="Calibri" w:hAnsi="Calibri"/>
                <w:sz w:val="22"/>
                <w:szCs w:val="22"/>
              </w:rPr>
              <w:t>0,544</w:t>
            </w:r>
          </w:p>
        </w:tc>
        <w:tc>
          <w:tcPr>
            <w:tcW w:w="960" w:type="dxa"/>
            <w:tcBorders>
              <w:top w:val="nil"/>
              <w:left w:val="single" w:sz="4" w:space="0" w:color="auto"/>
              <w:bottom w:val="nil"/>
              <w:right w:val="nil"/>
            </w:tcBorders>
            <w:shd w:val="clear" w:color="000000" w:fill="D9D9D9"/>
            <w:noWrap/>
            <w:vAlign w:val="center"/>
            <w:hideMark/>
          </w:tcPr>
          <w:p w14:paraId="0D85B5DF" w14:textId="77777777" w:rsidR="006967AF" w:rsidRPr="00AB315F" w:rsidRDefault="006967AF" w:rsidP="00EC4A80">
            <w:pPr>
              <w:jc w:val="center"/>
              <w:rPr>
                <w:rFonts w:ascii="Calibri" w:hAnsi="Calibri"/>
                <w:sz w:val="22"/>
                <w:szCs w:val="22"/>
              </w:rPr>
            </w:pPr>
            <w:r w:rsidRPr="00AB315F">
              <w:rPr>
                <w:rFonts w:ascii="Calibri" w:hAnsi="Calibri"/>
                <w:sz w:val="22"/>
                <w:szCs w:val="22"/>
              </w:rPr>
              <w:t>2,17</w:t>
            </w:r>
          </w:p>
        </w:tc>
        <w:tc>
          <w:tcPr>
            <w:tcW w:w="960" w:type="dxa"/>
            <w:tcBorders>
              <w:top w:val="nil"/>
              <w:left w:val="single" w:sz="4" w:space="0" w:color="auto"/>
              <w:bottom w:val="nil"/>
              <w:right w:val="nil"/>
            </w:tcBorders>
            <w:shd w:val="clear" w:color="auto" w:fill="auto"/>
            <w:noWrap/>
            <w:vAlign w:val="center"/>
            <w:hideMark/>
          </w:tcPr>
          <w:p w14:paraId="5D9EE39B" w14:textId="77777777" w:rsidR="006967AF" w:rsidRPr="00AB315F" w:rsidRDefault="006967AF" w:rsidP="00EC4A80">
            <w:pPr>
              <w:jc w:val="center"/>
              <w:rPr>
                <w:rFonts w:ascii="Calibri" w:hAnsi="Calibri"/>
                <w:sz w:val="22"/>
                <w:szCs w:val="22"/>
              </w:rPr>
            </w:pPr>
            <w:r w:rsidRPr="00AB315F">
              <w:rPr>
                <w:rFonts w:ascii="Calibri" w:hAnsi="Calibri"/>
                <w:sz w:val="22"/>
                <w:szCs w:val="22"/>
              </w:rPr>
              <w:t>0,03</w:t>
            </w:r>
          </w:p>
        </w:tc>
      </w:tr>
      <w:tr w:rsidR="006967AF" w:rsidRPr="00AB315F" w14:paraId="313F38DE" w14:textId="77777777" w:rsidTr="001C63EB">
        <w:trPr>
          <w:trHeight w:val="290"/>
        </w:trPr>
        <w:tc>
          <w:tcPr>
            <w:tcW w:w="4700" w:type="dxa"/>
            <w:tcBorders>
              <w:top w:val="nil"/>
              <w:bottom w:val="nil"/>
              <w:right w:val="nil"/>
            </w:tcBorders>
            <w:shd w:val="clear" w:color="auto" w:fill="auto"/>
            <w:vAlign w:val="center"/>
            <w:hideMark/>
          </w:tcPr>
          <w:p w14:paraId="02F50F02" w14:textId="77777777" w:rsidR="006967AF" w:rsidRPr="00AB315F" w:rsidRDefault="006967AF" w:rsidP="00EC4A80">
            <w:pPr>
              <w:jc w:val="center"/>
              <w:rPr>
                <w:rFonts w:ascii="Calibri" w:hAnsi="Calibri"/>
                <w:sz w:val="20"/>
                <w:szCs w:val="20"/>
              </w:rPr>
            </w:pPr>
            <w:r w:rsidRPr="00AB315F">
              <w:rPr>
                <w:rFonts w:ascii="Calibri" w:hAnsi="Calibri"/>
                <w:sz w:val="20"/>
                <w:szCs w:val="20"/>
              </w:rPr>
              <w:t>Centro-Oeste</w:t>
            </w:r>
          </w:p>
        </w:tc>
        <w:tc>
          <w:tcPr>
            <w:tcW w:w="960" w:type="dxa"/>
            <w:tcBorders>
              <w:top w:val="nil"/>
              <w:left w:val="single" w:sz="4" w:space="0" w:color="auto"/>
              <w:bottom w:val="nil"/>
              <w:right w:val="nil"/>
            </w:tcBorders>
            <w:shd w:val="clear" w:color="auto" w:fill="auto"/>
            <w:noWrap/>
            <w:vAlign w:val="center"/>
            <w:hideMark/>
          </w:tcPr>
          <w:p w14:paraId="0E4D7C32" w14:textId="77777777" w:rsidR="006967AF" w:rsidRPr="00AB315F" w:rsidRDefault="006967AF" w:rsidP="00EC4A80">
            <w:pPr>
              <w:jc w:val="center"/>
              <w:rPr>
                <w:rFonts w:ascii="Calibri" w:hAnsi="Calibri"/>
                <w:sz w:val="22"/>
                <w:szCs w:val="22"/>
              </w:rPr>
            </w:pPr>
            <w:r w:rsidRPr="00AB315F">
              <w:rPr>
                <w:rFonts w:ascii="Calibri" w:hAnsi="Calibri"/>
                <w:sz w:val="22"/>
                <w:szCs w:val="22"/>
              </w:rPr>
              <w:t>0,608</w:t>
            </w:r>
          </w:p>
        </w:tc>
        <w:tc>
          <w:tcPr>
            <w:tcW w:w="1112" w:type="dxa"/>
            <w:tcBorders>
              <w:top w:val="nil"/>
              <w:left w:val="single" w:sz="4" w:space="0" w:color="auto"/>
              <w:bottom w:val="nil"/>
              <w:right w:val="nil"/>
            </w:tcBorders>
            <w:shd w:val="clear" w:color="auto" w:fill="auto"/>
            <w:noWrap/>
            <w:vAlign w:val="center"/>
            <w:hideMark/>
          </w:tcPr>
          <w:p w14:paraId="4DA2540C" w14:textId="77777777" w:rsidR="006967AF" w:rsidRPr="00AB315F" w:rsidRDefault="006967AF" w:rsidP="00EC4A80">
            <w:pPr>
              <w:jc w:val="center"/>
              <w:rPr>
                <w:rFonts w:ascii="Calibri" w:hAnsi="Calibri"/>
                <w:sz w:val="22"/>
                <w:szCs w:val="22"/>
              </w:rPr>
            </w:pPr>
            <w:r w:rsidRPr="00AB315F">
              <w:rPr>
                <w:rFonts w:ascii="Calibri" w:hAnsi="Calibri"/>
                <w:sz w:val="22"/>
                <w:szCs w:val="22"/>
              </w:rPr>
              <w:t>0,249</w:t>
            </w:r>
          </w:p>
        </w:tc>
        <w:tc>
          <w:tcPr>
            <w:tcW w:w="960" w:type="dxa"/>
            <w:tcBorders>
              <w:top w:val="nil"/>
              <w:left w:val="single" w:sz="4" w:space="0" w:color="auto"/>
              <w:bottom w:val="nil"/>
              <w:right w:val="nil"/>
            </w:tcBorders>
            <w:shd w:val="clear" w:color="auto" w:fill="auto"/>
            <w:noWrap/>
            <w:vAlign w:val="center"/>
            <w:hideMark/>
          </w:tcPr>
          <w:p w14:paraId="677F1E95" w14:textId="77777777" w:rsidR="006967AF" w:rsidRPr="00AB315F" w:rsidRDefault="006967AF" w:rsidP="00EC4A80">
            <w:pPr>
              <w:jc w:val="center"/>
              <w:rPr>
                <w:rFonts w:ascii="Calibri" w:hAnsi="Calibri"/>
                <w:sz w:val="22"/>
                <w:szCs w:val="22"/>
              </w:rPr>
            </w:pPr>
            <w:r w:rsidRPr="00AB315F">
              <w:rPr>
                <w:rFonts w:ascii="Calibri" w:hAnsi="Calibri"/>
                <w:sz w:val="22"/>
                <w:szCs w:val="22"/>
              </w:rPr>
              <w:t>-1,21</w:t>
            </w:r>
          </w:p>
        </w:tc>
        <w:tc>
          <w:tcPr>
            <w:tcW w:w="960" w:type="dxa"/>
            <w:tcBorders>
              <w:top w:val="nil"/>
              <w:left w:val="single" w:sz="4" w:space="0" w:color="auto"/>
              <w:bottom w:val="nil"/>
              <w:right w:val="nil"/>
            </w:tcBorders>
            <w:shd w:val="clear" w:color="auto" w:fill="auto"/>
            <w:noWrap/>
            <w:vAlign w:val="center"/>
            <w:hideMark/>
          </w:tcPr>
          <w:p w14:paraId="12C52C3F" w14:textId="77777777" w:rsidR="006967AF" w:rsidRPr="00AB315F" w:rsidRDefault="006967AF" w:rsidP="00EC4A80">
            <w:pPr>
              <w:jc w:val="center"/>
              <w:rPr>
                <w:rFonts w:ascii="Calibri" w:hAnsi="Calibri"/>
                <w:sz w:val="22"/>
                <w:szCs w:val="22"/>
              </w:rPr>
            </w:pPr>
            <w:r w:rsidRPr="00AB315F">
              <w:rPr>
                <w:rFonts w:ascii="Calibri" w:hAnsi="Calibri"/>
                <w:sz w:val="22"/>
                <w:szCs w:val="22"/>
              </w:rPr>
              <w:t>0,225</w:t>
            </w:r>
          </w:p>
        </w:tc>
      </w:tr>
      <w:tr w:rsidR="006967AF" w:rsidRPr="00AB315F" w14:paraId="57619DBA" w14:textId="77777777" w:rsidTr="001C63EB">
        <w:trPr>
          <w:trHeight w:val="290"/>
        </w:trPr>
        <w:tc>
          <w:tcPr>
            <w:tcW w:w="4700" w:type="dxa"/>
            <w:tcBorders>
              <w:top w:val="nil"/>
              <w:bottom w:val="nil"/>
              <w:right w:val="nil"/>
            </w:tcBorders>
            <w:shd w:val="clear" w:color="auto" w:fill="auto"/>
            <w:vAlign w:val="center"/>
            <w:hideMark/>
          </w:tcPr>
          <w:p w14:paraId="6175572A" w14:textId="77777777" w:rsidR="006967AF" w:rsidRPr="00AB315F" w:rsidRDefault="006967AF" w:rsidP="00EC4A80">
            <w:pPr>
              <w:jc w:val="center"/>
              <w:rPr>
                <w:rFonts w:ascii="Calibri" w:hAnsi="Calibri"/>
                <w:sz w:val="20"/>
                <w:szCs w:val="20"/>
              </w:rPr>
            </w:pPr>
            <w:r w:rsidRPr="00AB315F">
              <w:rPr>
                <w:rFonts w:ascii="Calibri" w:hAnsi="Calibri"/>
                <w:sz w:val="20"/>
                <w:szCs w:val="20"/>
              </w:rPr>
              <w:t>Nordeste</w:t>
            </w:r>
          </w:p>
        </w:tc>
        <w:tc>
          <w:tcPr>
            <w:tcW w:w="960" w:type="dxa"/>
            <w:tcBorders>
              <w:top w:val="nil"/>
              <w:left w:val="single" w:sz="4" w:space="0" w:color="auto"/>
              <w:bottom w:val="nil"/>
              <w:right w:val="nil"/>
            </w:tcBorders>
            <w:shd w:val="clear" w:color="auto" w:fill="auto"/>
            <w:noWrap/>
            <w:vAlign w:val="center"/>
            <w:hideMark/>
          </w:tcPr>
          <w:p w14:paraId="6D9DE123" w14:textId="77777777" w:rsidR="006967AF" w:rsidRPr="00AB315F" w:rsidRDefault="006967AF" w:rsidP="00EC4A80">
            <w:pPr>
              <w:jc w:val="center"/>
              <w:rPr>
                <w:rFonts w:ascii="Calibri" w:hAnsi="Calibri"/>
                <w:sz w:val="22"/>
                <w:szCs w:val="22"/>
              </w:rPr>
            </w:pPr>
            <w:r w:rsidRPr="00AB315F">
              <w:rPr>
                <w:rFonts w:ascii="Calibri" w:hAnsi="Calibri"/>
                <w:sz w:val="22"/>
                <w:szCs w:val="22"/>
              </w:rPr>
              <w:t>2,006</w:t>
            </w:r>
          </w:p>
        </w:tc>
        <w:tc>
          <w:tcPr>
            <w:tcW w:w="1112" w:type="dxa"/>
            <w:tcBorders>
              <w:top w:val="nil"/>
              <w:left w:val="single" w:sz="4" w:space="0" w:color="auto"/>
              <w:bottom w:val="nil"/>
              <w:right w:val="nil"/>
            </w:tcBorders>
            <w:shd w:val="clear" w:color="auto" w:fill="auto"/>
            <w:noWrap/>
            <w:vAlign w:val="center"/>
            <w:hideMark/>
          </w:tcPr>
          <w:p w14:paraId="5CD2F7B8" w14:textId="77777777" w:rsidR="006967AF" w:rsidRPr="00AB315F" w:rsidRDefault="006967AF" w:rsidP="00EC4A80">
            <w:pPr>
              <w:jc w:val="center"/>
              <w:rPr>
                <w:rFonts w:ascii="Calibri" w:hAnsi="Calibri"/>
                <w:sz w:val="22"/>
                <w:szCs w:val="22"/>
              </w:rPr>
            </w:pPr>
            <w:r w:rsidRPr="00AB315F">
              <w:rPr>
                <w:rFonts w:ascii="Calibri" w:hAnsi="Calibri"/>
                <w:sz w:val="22"/>
                <w:szCs w:val="22"/>
              </w:rPr>
              <w:t>0,544</w:t>
            </w:r>
          </w:p>
        </w:tc>
        <w:tc>
          <w:tcPr>
            <w:tcW w:w="960" w:type="dxa"/>
            <w:tcBorders>
              <w:top w:val="nil"/>
              <w:left w:val="single" w:sz="4" w:space="0" w:color="auto"/>
              <w:bottom w:val="nil"/>
              <w:right w:val="nil"/>
            </w:tcBorders>
            <w:shd w:val="clear" w:color="000000" w:fill="D9D9D9"/>
            <w:noWrap/>
            <w:vAlign w:val="center"/>
            <w:hideMark/>
          </w:tcPr>
          <w:p w14:paraId="24763F5D" w14:textId="77777777" w:rsidR="006967AF" w:rsidRPr="00AB315F" w:rsidRDefault="006967AF" w:rsidP="00EC4A80">
            <w:pPr>
              <w:jc w:val="center"/>
              <w:rPr>
                <w:rFonts w:ascii="Calibri" w:hAnsi="Calibri"/>
                <w:sz w:val="22"/>
                <w:szCs w:val="22"/>
              </w:rPr>
            </w:pPr>
            <w:r w:rsidRPr="00AB315F">
              <w:rPr>
                <w:rFonts w:ascii="Calibri" w:hAnsi="Calibri"/>
                <w:sz w:val="22"/>
                <w:szCs w:val="22"/>
              </w:rPr>
              <w:t>2,57</w:t>
            </w:r>
          </w:p>
        </w:tc>
        <w:tc>
          <w:tcPr>
            <w:tcW w:w="960" w:type="dxa"/>
            <w:tcBorders>
              <w:top w:val="nil"/>
              <w:left w:val="single" w:sz="4" w:space="0" w:color="auto"/>
              <w:bottom w:val="nil"/>
              <w:right w:val="nil"/>
            </w:tcBorders>
            <w:shd w:val="clear" w:color="auto" w:fill="auto"/>
            <w:noWrap/>
            <w:vAlign w:val="center"/>
            <w:hideMark/>
          </w:tcPr>
          <w:p w14:paraId="67698D61" w14:textId="77777777" w:rsidR="006967AF" w:rsidRPr="00AB315F" w:rsidRDefault="006967AF" w:rsidP="00EC4A80">
            <w:pPr>
              <w:jc w:val="center"/>
              <w:rPr>
                <w:rFonts w:ascii="Calibri" w:hAnsi="Calibri"/>
                <w:sz w:val="22"/>
                <w:szCs w:val="22"/>
              </w:rPr>
            </w:pPr>
            <w:r w:rsidRPr="00AB315F">
              <w:rPr>
                <w:rFonts w:ascii="Calibri" w:hAnsi="Calibri"/>
                <w:sz w:val="22"/>
                <w:szCs w:val="22"/>
              </w:rPr>
              <w:t>0,01</w:t>
            </w:r>
          </w:p>
        </w:tc>
      </w:tr>
      <w:tr w:rsidR="006967AF" w:rsidRPr="00AB315F" w14:paraId="1D580999" w14:textId="77777777" w:rsidTr="001C63EB">
        <w:trPr>
          <w:trHeight w:val="290"/>
        </w:trPr>
        <w:tc>
          <w:tcPr>
            <w:tcW w:w="4700" w:type="dxa"/>
            <w:tcBorders>
              <w:top w:val="nil"/>
              <w:bottom w:val="single" w:sz="4" w:space="0" w:color="auto"/>
              <w:right w:val="nil"/>
            </w:tcBorders>
            <w:shd w:val="clear" w:color="auto" w:fill="auto"/>
            <w:vAlign w:val="center"/>
            <w:hideMark/>
          </w:tcPr>
          <w:p w14:paraId="56ECBA17" w14:textId="77777777" w:rsidR="006967AF" w:rsidRPr="00AB315F" w:rsidRDefault="006967AF" w:rsidP="00EC4A80">
            <w:pPr>
              <w:jc w:val="center"/>
              <w:rPr>
                <w:rFonts w:ascii="Calibri" w:hAnsi="Calibri"/>
                <w:sz w:val="20"/>
                <w:szCs w:val="20"/>
              </w:rPr>
            </w:pPr>
            <w:r w:rsidRPr="00AB315F">
              <w:rPr>
                <w:rFonts w:ascii="Calibri" w:hAnsi="Calibri"/>
                <w:sz w:val="20"/>
                <w:szCs w:val="20"/>
              </w:rPr>
              <w:t>Norte</w:t>
            </w:r>
          </w:p>
        </w:tc>
        <w:tc>
          <w:tcPr>
            <w:tcW w:w="960" w:type="dxa"/>
            <w:tcBorders>
              <w:top w:val="nil"/>
              <w:left w:val="single" w:sz="4" w:space="0" w:color="auto"/>
              <w:bottom w:val="single" w:sz="4" w:space="0" w:color="auto"/>
              <w:right w:val="nil"/>
            </w:tcBorders>
            <w:shd w:val="clear" w:color="auto" w:fill="auto"/>
            <w:noWrap/>
            <w:vAlign w:val="center"/>
            <w:hideMark/>
          </w:tcPr>
          <w:p w14:paraId="52ABF62C" w14:textId="77777777" w:rsidR="006967AF" w:rsidRPr="00AB315F" w:rsidRDefault="006967AF" w:rsidP="00EC4A80">
            <w:pPr>
              <w:jc w:val="center"/>
              <w:rPr>
                <w:rFonts w:ascii="Calibri" w:hAnsi="Calibri"/>
                <w:sz w:val="22"/>
                <w:szCs w:val="22"/>
              </w:rPr>
            </w:pPr>
            <w:r w:rsidRPr="00AB315F">
              <w:rPr>
                <w:rFonts w:ascii="Calibri" w:hAnsi="Calibri"/>
                <w:sz w:val="22"/>
                <w:szCs w:val="22"/>
              </w:rPr>
              <w:t>0,534</w:t>
            </w:r>
          </w:p>
        </w:tc>
        <w:tc>
          <w:tcPr>
            <w:tcW w:w="1112" w:type="dxa"/>
            <w:tcBorders>
              <w:top w:val="nil"/>
              <w:left w:val="single" w:sz="4" w:space="0" w:color="auto"/>
              <w:bottom w:val="single" w:sz="4" w:space="0" w:color="auto"/>
              <w:right w:val="nil"/>
            </w:tcBorders>
            <w:shd w:val="clear" w:color="auto" w:fill="auto"/>
            <w:noWrap/>
            <w:vAlign w:val="center"/>
            <w:hideMark/>
          </w:tcPr>
          <w:p w14:paraId="2A0FCC74" w14:textId="77777777" w:rsidR="006967AF" w:rsidRPr="00AB315F" w:rsidRDefault="006967AF" w:rsidP="00EC4A80">
            <w:pPr>
              <w:jc w:val="center"/>
              <w:rPr>
                <w:rFonts w:ascii="Calibri" w:hAnsi="Calibri"/>
                <w:sz w:val="22"/>
                <w:szCs w:val="22"/>
              </w:rPr>
            </w:pPr>
            <w:r w:rsidRPr="00AB315F">
              <w:rPr>
                <w:rFonts w:ascii="Calibri" w:hAnsi="Calibri"/>
                <w:sz w:val="22"/>
                <w:szCs w:val="22"/>
              </w:rPr>
              <w:t>0,274</w:t>
            </w:r>
          </w:p>
        </w:tc>
        <w:tc>
          <w:tcPr>
            <w:tcW w:w="960" w:type="dxa"/>
            <w:tcBorders>
              <w:top w:val="nil"/>
              <w:left w:val="single" w:sz="4" w:space="0" w:color="auto"/>
              <w:bottom w:val="single" w:sz="4" w:space="0" w:color="auto"/>
              <w:right w:val="nil"/>
            </w:tcBorders>
            <w:shd w:val="clear" w:color="auto" w:fill="auto"/>
            <w:noWrap/>
            <w:vAlign w:val="center"/>
            <w:hideMark/>
          </w:tcPr>
          <w:p w14:paraId="3B234925" w14:textId="77777777" w:rsidR="006967AF" w:rsidRPr="00AB315F" w:rsidRDefault="006967AF" w:rsidP="00EC4A80">
            <w:pPr>
              <w:jc w:val="center"/>
              <w:rPr>
                <w:rFonts w:ascii="Calibri" w:hAnsi="Calibri"/>
                <w:sz w:val="22"/>
                <w:szCs w:val="22"/>
              </w:rPr>
            </w:pPr>
            <w:r w:rsidRPr="00AB315F">
              <w:rPr>
                <w:rFonts w:ascii="Calibri" w:hAnsi="Calibri"/>
                <w:sz w:val="22"/>
                <w:szCs w:val="22"/>
              </w:rPr>
              <w:t>-1,22</w:t>
            </w:r>
          </w:p>
        </w:tc>
        <w:tc>
          <w:tcPr>
            <w:tcW w:w="960" w:type="dxa"/>
            <w:tcBorders>
              <w:top w:val="nil"/>
              <w:left w:val="single" w:sz="4" w:space="0" w:color="auto"/>
              <w:bottom w:val="single" w:sz="4" w:space="0" w:color="auto"/>
              <w:right w:val="nil"/>
            </w:tcBorders>
            <w:shd w:val="clear" w:color="auto" w:fill="auto"/>
            <w:noWrap/>
            <w:vAlign w:val="center"/>
            <w:hideMark/>
          </w:tcPr>
          <w:p w14:paraId="53B9E376" w14:textId="77777777" w:rsidR="006967AF" w:rsidRPr="00AB315F" w:rsidRDefault="006967AF" w:rsidP="00EC4A80">
            <w:pPr>
              <w:jc w:val="center"/>
              <w:rPr>
                <w:rFonts w:ascii="Calibri" w:hAnsi="Calibri"/>
                <w:sz w:val="22"/>
                <w:szCs w:val="22"/>
              </w:rPr>
            </w:pPr>
            <w:r w:rsidRPr="00AB315F">
              <w:rPr>
                <w:rFonts w:ascii="Calibri" w:hAnsi="Calibri"/>
                <w:sz w:val="22"/>
                <w:szCs w:val="22"/>
              </w:rPr>
              <w:t>0,221</w:t>
            </w:r>
          </w:p>
        </w:tc>
      </w:tr>
      <w:tr w:rsidR="006967AF" w:rsidRPr="00AB315F" w14:paraId="14EA2550" w14:textId="77777777" w:rsidTr="001C63EB">
        <w:trPr>
          <w:trHeight w:val="290"/>
        </w:trPr>
        <w:tc>
          <w:tcPr>
            <w:tcW w:w="4700" w:type="dxa"/>
            <w:tcBorders>
              <w:top w:val="nil"/>
              <w:bottom w:val="nil"/>
              <w:right w:val="nil"/>
            </w:tcBorders>
            <w:shd w:val="clear" w:color="auto" w:fill="auto"/>
            <w:noWrap/>
            <w:vAlign w:val="center"/>
            <w:hideMark/>
          </w:tcPr>
          <w:p w14:paraId="5575035B" w14:textId="77777777" w:rsidR="006967AF" w:rsidRPr="00AB315F" w:rsidRDefault="006967AF" w:rsidP="00EC4A80">
            <w:pPr>
              <w:jc w:val="center"/>
              <w:rPr>
                <w:rFonts w:ascii="Calibri" w:hAnsi="Calibri"/>
                <w:sz w:val="22"/>
                <w:szCs w:val="22"/>
              </w:rPr>
            </w:pPr>
            <w:r w:rsidRPr="00AB315F">
              <w:rPr>
                <w:rFonts w:ascii="Calibri" w:hAnsi="Calibri"/>
                <w:sz w:val="22"/>
                <w:szCs w:val="22"/>
              </w:rPr>
              <w:t>Tamanho da cidade</w:t>
            </w:r>
          </w:p>
        </w:tc>
        <w:tc>
          <w:tcPr>
            <w:tcW w:w="960" w:type="dxa"/>
            <w:tcBorders>
              <w:top w:val="nil"/>
              <w:left w:val="single" w:sz="4" w:space="0" w:color="auto"/>
              <w:bottom w:val="nil"/>
              <w:right w:val="nil"/>
            </w:tcBorders>
            <w:shd w:val="clear" w:color="auto" w:fill="auto"/>
            <w:noWrap/>
            <w:vAlign w:val="center"/>
            <w:hideMark/>
          </w:tcPr>
          <w:p w14:paraId="050E8C8F"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nil"/>
              <w:left w:val="single" w:sz="4" w:space="0" w:color="auto"/>
              <w:bottom w:val="nil"/>
              <w:right w:val="nil"/>
            </w:tcBorders>
            <w:shd w:val="clear" w:color="auto" w:fill="auto"/>
            <w:noWrap/>
            <w:vAlign w:val="center"/>
            <w:hideMark/>
          </w:tcPr>
          <w:p w14:paraId="1A32FCE7"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311CF12D"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3E5D1B39"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187BF4" w:rsidRPr="00AB315F" w14:paraId="55138462" w14:textId="77777777" w:rsidTr="001C63EB">
        <w:trPr>
          <w:trHeight w:val="290"/>
        </w:trPr>
        <w:tc>
          <w:tcPr>
            <w:tcW w:w="4700" w:type="dxa"/>
            <w:tcBorders>
              <w:top w:val="nil"/>
              <w:bottom w:val="nil"/>
              <w:right w:val="nil"/>
            </w:tcBorders>
            <w:shd w:val="clear" w:color="auto" w:fill="auto"/>
            <w:noWrap/>
            <w:vAlign w:val="center"/>
          </w:tcPr>
          <w:p w14:paraId="3EA1FA72" w14:textId="186BC205" w:rsidR="00187BF4" w:rsidRPr="00AB315F" w:rsidRDefault="00187BF4" w:rsidP="00EC4A80">
            <w:pPr>
              <w:jc w:val="center"/>
              <w:rPr>
                <w:rFonts w:ascii="Calibri" w:hAnsi="Calibri"/>
                <w:sz w:val="22"/>
                <w:szCs w:val="22"/>
              </w:rPr>
            </w:pPr>
            <w:r>
              <w:rPr>
                <w:rFonts w:ascii="Calibri" w:hAnsi="Calibri"/>
                <w:sz w:val="22"/>
                <w:szCs w:val="22"/>
              </w:rPr>
              <w:t>Capital</w:t>
            </w:r>
          </w:p>
        </w:tc>
        <w:tc>
          <w:tcPr>
            <w:tcW w:w="960" w:type="dxa"/>
            <w:tcBorders>
              <w:top w:val="nil"/>
              <w:left w:val="single" w:sz="4" w:space="0" w:color="auto"/>
              <w:bottom w:val="nil"/>
              <w:right w:val="nil"/>
            </w:tcBorders>
            <w:shd w:val="clear" w:color="auto" w:fill="auto"/>
            <w:noWrap/>
            <w:vAlign w:val="center"/>
          </w:tcPr>
          <w:p w14:paraId="6711B5C9" w14:textId="7110CC05" w:rsidR="00187BF4" w:rsidRPr="00AB315F" w:rsidRDefault="00187BF4" w:rsidP="00187BF4">
            <w:pPr>
              <w:jc w:val="center"/>
              <w:rPr>
                <w:rFonts w:ascii="Calibri" w:hAnsi="Calibri"/>
                <w:sz w:val="22"/>
                <w:szCs w:val="22"/>
              </w:rPr>
            </w:pPr>
            <w:r>
              <w:rPr>
                <w:rFonts w:ascii="Calibri" w:hAnsi="Calibri"/>
                <w:sz w:val="22"/>
                <w:szCs w:val="22"/>
              </w:rPr>
              <w:t>1 (ref.)</w:t>
            </w:r>
          </w:p>
        </w:tc>
        <w:tc>
          <w:tcPr>
            <w:tcW w:w="1112" w:type="dxa"/>
            <w:tcBorders>
              <w:top w:val="nil"/>
              <w:left w:val="single" w:sz="4" w:space="0" w:color="auto"/>
              <w:bottom w:val="nil"/>
              <w:right w:val="nil"/>
            </w:tcBorders>
            <w:shd w:val="clear" w:color="auto" w:fill="auto"/>
            <w:noWrap/>
            <w:vAlign w:val="center"/>
          </w:tcPr>
          <w:p w14:paraId="2D77E013" w14:textId="77777777" w:rsidR="00187BF4" w:rsidRPr="00AB315F" w:rsidRDefault="00187BF4" w:rsidP="00EC4A80">
            <w:pPr>
              <w:jc w:val="center"/>
              <w:rPr>
                <w:rFonts w:ascii="Calibri" w:hAnsi="Calibri"/>
                <w:sz w:val="22"/>
                <w:szCs w:val="22"/>
              </w:rPr>
            </w:pPr>
          </w:p>
        </w:tc>
        <w:tc>
          <w:tcPr>
            <w:tcW w:w="960" w:type="dxa"/>
            <w:tcBorders>
              <w:top w:val="nil"/>
              <w:left w:val="single" w:sz="4" w:space="0" w:color="auto"/>
              <w:bottom w:val="nil"/>
              <w:right w:val="nil"/>
            </w:tcBorders>
            <w:shd w:val="clear" w:color="auto" w:fill="auto"/>
            <w:noWrap/>
            <w:vAlign w:val="center"/>
          </w:tcPr>
          <w:p w14:paraId="6ADBFCA3" w14:textId="77777777" w:rsidR="00187BF4" w:rsidRPr="00AB315F" w:rsidRDefault="00187BF4" w:rsidP="00EC4A80">
            <w:pPr>
              <w:jc w:val="center"/>
              <w:rPr>
                <w:rFonts w:ascii="Calibri" w:hAnsi="Calibri"/>
                <w:sz w:val="22"/>
                <w:szCs w:val="22"/>
              </w:rPr>
            </w:pPr>
          </w:p>
        </w:tc>
        <w:tc>
          <w:tcPr>
            <w:tcW w:w="960" w:type="dxa"/>
            <w:tcBorders>
              <w:top w:val="nil"/>
              <w:left w:val="single" w:sz="4" w:space="0" w:color="auto"/>
              <w:bottom w:val="nil"/>
              <w:right w:val="nil"/>
            </w:tcBorders>
            <w:shd w:val="clear" w:color="auto" w:fill="auto"/>
            <w:noWrap/>
            <w:vAlign w:val="center"/>
          </w:tcPr>
          <w:p w14:paraId="1477DAD9" w14:textId="77777777" w:rsidR="00187BF4" w:rsidRPr="00AB315F" w:rsidRDefault="00187BF4" w:rsidP="00EC4A80">
            <w:pPr>
              <w:jc w:val="center"/>
              <w:rPr>
                <w:rFonts w:ascii="Calibri" w:hAnsi="Calibri"/>
                <w:sz w:val="22"/>
                <w:szCs w:val="22"/>
              </w:rPr>
            </w:pPr>
          </w:p>
        </w:tc>
      </w:tr>
      <w:tr w:rsidR="006967AF" w:rsidRPr="00AB315F" w14:paraId="05A7FC13" w14:textId="77777777" w:rsidTr="001C63EB">
        <w:trPr>
          <w:trHeight w:val="290"/>
        </w:trPr>
        <w:tc>
          <w:tcPr>
            <w:tcW w:w="4700" w:type="dxa"/>
            <w:tcBorders>
              <w:top w:val="nil"/>
              <w:bottom w:val="nil"/>
              <w:right w:val="nil"/>
            </w:tcBorders>
            <w:shd w:val="clear" w:color="auto" w:fill="auto"/>
            <w:vAlign w:val="center"/>
            <w:hideMark/>
          </w:tcPr>
          <w:p w14:paraId="75A62C1A" w14:textId="77777777" w:rsidR="006967AF" w:rsidRPr="00AB315F" w:rsidRDefault="006967AF" w:rsidP="00EC4A80">
            <w:pPr>
              <w:jc w:val="center"/>
              <w:rPr>
                <w:rFonts w:ascii="Calibri" w:hAnsi="Calibri"/>
                <w:sz w:val="20"/>
                <w:szCs w:val="20"/>
              </w:rPr>
            </w:pPr>
            <w:r w:rsidRPr="00AB315F">
              <w:rPr>
                <w:rFonts w:ascii="Calibri" w:hAnsi="Calibri"/>
                <w:sz w:val="20"/>
                <w:szCs w:val="20"/>
              </w:rPr>
              <w:t>Cidade grande</w:t>
            </w:r>
          </w:p>
        </w:tc>
        <w:tc>
          <w:tcPr>
            <w:tcW w:w="960" w:type="dxa"/>
            <w:tcBorders>
              <w:top w:val="nil"/>
              <w:left w:val="single" w:sz="4" w:space="0" w:color="auto"/>
              <w:bottom w:val="nil"/>
              <w:right w:val="nil"/>
            </w:tcBorders>
            <w:shd w:val="clear" w:color="auto" w:fill="auto"/>
            <w:noWrap/>
            <w:vAlign w:val="center"/>
            <w:hideMark/>
          </w:tcPr>
          <w:p w14:paraId="02F6CA93" w14:textId="77777777" w:rsidR="006967AF" w:rsidRPr="00AB315F" w:rsidRDefault="006967AF" w:rsidP="00EC4A80">
            <w:pPr>
              <w:jc w:val="center"/>
              <w:rPr>
                <w:rFonts w:ascii="Calibri" w:hAnsi="Calibri"/>
                <w:sz w:val="22"/>
                <w:szCs w:val="22"/>
              </w:rPr>
            </w:pPr>
            <w:r w:rsidRPr="00AB315F">
              <w:rPr>
                <w:rFonts w:ascii="Calibri" w:hAnsi="Calibri"/>
                <w:sz w:val="22"/>
                <w:szCs w:val="22"/>
              </w:rPr>
              <w:t>0,636</w:t>
            </w:r>
          </w:p>
        </w:tc>
        <w:tc>
          <w:tcPr>
            <w:tcW w:w="1112" w:type="dxa"/>
            <w:tcBorders>
              <w:top w:val="nil"/>
              <w:left w:val="single" w:sz="4" w:space="0" w:color="auto"/>
              <w:bottom w:val="nil"/>
              <w:right w:val="nil"/>
            </w:tcBorders>
            <w:shd w:val="clear" w:color="auto" w:fill="auto"/>
            <w:noWrap/>
            <w:vAlign w:val="center"/>
            <w:hideMark/>
          </w:tcPr>
          <w:p w14:paraId="50C616E2" w14:textId="77777777" w:rsidR="006967AF" w:rsidRPr="00AB315F" w:rsidRDefault="006967AF" w:rsidP="00EC4A80">
            <w:pPr>
              <w:jc w:val="center"/>
              <w:rPr>
                <w:rFonts w:ascii="Calibri" w:hAnsi="Calibri"/>
                <w:sz w:val="22"/>
                <w:szCs w:val="22"/>
              </w:rPr>
            </w:pPr>
            <w:r w:rsidRPr="00AB315F">
              <w:rPr>
                <w:rFonts w:ascii="Calibri" w:hAnsi="Calibri"/>
                <w:sz w:val="22"/>
                <w:szCs w:val="22"/>
              </w:rPr>
              <w:t>0,201</w:t>
            </w:r>
          </w:p>
        </w:tc>
        <w:tc>
          <w:tcPr>
            <w:tcW w:w="960" w:type="dxa"/>
            <w:tcBorders>
              <w:top w:val="nil"/>
              <w:left w:val="single" w:sz="4" w:space="0" w:color="auto"/>
              <w:bottom w:val="nil"/>
              <w:right w:val="nil"/>
            </w:tcBorders>
            <w:shd w:val="clear" w:color="auto" w:fill="auto"/>
            <w:noWrap/>
            <w:vAlign w:val="center"/>
            <w:hideMark/>
          </w:tcPr>
          <w:p w14:paraId="5A68BFC2" w14:textId="77777777" w:rsidR="006967AF" w:rsidRPr="00AB315F" w:rsidRDefault="006967AF" w:rsidP="00EC4A80">
            <w:pPr>
              <w:jc w:val="center"/>
              <w:rPr>
                <w:rFonts w:ascii="Calibri" w:hAnsi="Calibri"/>
                <w:sz w:val="22"/>
                <w:szCs w:val="22"/>
              </w:rPr>
            </w:pPr>
            <w:r w:rsidRPr="00AB315F">
              <w:rPr>
                <w:rFonts w:ascii="Calibri" w:hAnsi="Calibri"/>
                <w:sz w:val="22"/>
                <w:szCs w:val="22"/>
              </w:rPr>
              <w:t>-1,43</w:t>
            </w:r>
          </w:p>
        </w:tc>
        <w:tc>
          <w:tcPr>
            <w:tcW w:w="960" w:type="dxa"/>
            <w:tcBorders>
              <w:top w:val="nil"/>
              <w:left w:val="single" w:sz="4" w:space="0" w:color="auto"/>
              <w:bottom w:val="nil"/>
              <w:right w:val="nil"/>
            </w:tcBorders>
            <w:shd w:val="clear" w:color="auto" w:fill="auto"/>
            <w:noWrap/>
            <w:vAlign w:val="center"/>
            <w:hideMark/>
          </w:tcPr>
          <w:p w14:paraId="7F915648" w14:textId="77777777" w:rsidR="006967AF" w:rsidRPr="00AB315F" w:rsidRDefault="006967AF" w:rsidP="00EC4A80">
            <w:pPr>
              <w:jc w:val="center"/>
              <w:rPr>
                <w:rFonts w:ascii="Calibri" w:hAnsi="Calibri"/>
                <w:sz w:val="22"/>
                <w:szCs w:val="22"/>
              </w:rPr>
            </w:pPr>
            <w:r w:rsidRPr="00AB315F">
              <w:rPr>
                <w:rFonts w:ascii="Calibri" w:hAnsi="Calibri"/>
                <w:sz w:val="22"/>
                <w:szCs w:val="22"/>
              </w:rPr>
              <w:t>0,152</w:t>
            </w:r>
          </w:p>
        </w:tc>
      </w:tr>
      <w:tr w:rsidR="006967AF" w:rsidRPr="00AB315F" w14:paraId="56EDC2E1" w14:textId="77777777" w:rsidTr="001C63EB">
        <w:trPr>
          <w:trHeight w:val="290"/>
        </w:trPr>
        <w:tc>
          <w:tcPr>
            <w:tcW w:w="4700" w:type="dxa"/>
            <w:tcBorders>
              <w:top w:val="nil"/>
              <w:bottom w:val="nil"/>
              <w:right w:val="nil"/>
            </w:tcBorders>
            <w:shd w:val="clear" w:color="auto" w:fill="auto"/>
            <w:vAlign w:val="center"/>
            <w:hideMark/>
          </w:tcPr>
          <w:p w14:paraId="187E1861" w14:textId="77777777" w:rsidR="006967AF" w:rsidRPr="00AB315F" w:rsidRDefault="006967AF" w:rsidP="00EC4A80">
            <w:pPr>
              <w:jc w:val="center"/>
              <w:rPr>
                <w:rFonts w:ascii="Calibri" w:hAnsi="Calibri"/>
                <w:sz w:val="20"/>
                <w:szCs w:val="20"/>
              </w:rPr>
            </w:pPr>
            <w:r w:rsidRPr="00AB315F">
              <w:rPr>
                <w:rFonts w:ascii="Calibri" w:hAnsi="Calibri"/>
                <w:sz w:val="20"/>
                <w:szCs w:val="20"/>
              </w:rPr>
              <w:t>Cidade mediana</w:t>
            </w:r>
          </w:p>
        </w:tc>
        <w:tc>
          <w:tcPr>
            <w:tcW w:w="960" w:type="dxa"/>
            <w:tcBorders>
              <w:top w:val="nil"/>
              <w:left w:val="single" w:sz="4" w:space="0" w:color="auto"/>
              <w:bottom w:val="nil"/>
              <w:right w:val="nil"/>
            </w:tcBorders>
            <w:shd w:val="clear" w:color="auto" w:fill="auto"/>
            <w:noWrap/>
            <w:vAlign w:val="center"/>
            <w:hideMark/>
          </w:tcPr>
          <w:p w14:paraId="387A12E9" w14:textId="77777777" w:rsidR="006967AF" w:rsidRPr="00AB315F" w:rsidRDefault="006967AF" w:rsidP="00EC4A80">
            <w:pPr>
              <w:jc w:val="center"/>
              <w:rPr>
                <w:rFonts w:ascii="Calibri" w:hAnsi="Calibri"/>
                <w:sz w:val="22"/>
                <w:szCs w:val="22"/>
              </w:rPr>
            </w:pPr>
            <w:r w:rsidRPr="00AB315F">
              <w:rPr>
                <w:rFonts w:ascii="Calibri" w:hAnsi="Calibri"/>
                <w:sz w:val="22"/>
                <w:szCs w:val="22"/>
              </w:rPr>
              <w:t>0,715</w:t>
            </w:r>
          </w:p>
        </w:tc>
        <w:tc>
          <w:tcPr>
            <w:tcW w:w="1112" w:type="dxa"/>
            <w:tcBorders>
              <w:top w:val="nil"/>
              <w:left w:val="single" w:sz="4" w:space="0" w:color="auto"/>
              <w:bottom w:val="nil"/>
              <w:right w:val="nil"/>
            </w:tcBorders>
            <w:shd w:val="clear" w:color="auto" w:fill="auto"/>
            <w:noWrap/>
            <w:vAlign w:val="center"/>
            <w:hideMark/>
          </w:tcPr>
          <w:p w14:paraId="3E344E09" w14:textId="77777777" w:rsidR="006967AF" w:rsidRPr="00AB315F" w:rsidRDefault="006967AF" w:rsidP="00EC4A80">
            <w:pPr>
              <w:jc w:val="center"/>
              <w:rPr>
                <w:rFonts w:ascii="Calibri" w:hAnsi="Calibri"/>
                <w:sz w:val="22"/>
                <w:szCs w:val="22"/>
              </w:rPr>
            </w:pPr>
            <w:r w:rsidRPr="00AB315F">
              <w:rPr>
                <w:rFonts w:ascii="Calibri" w:hAnsi="Calibri"/>
                <w:sz w:val="22"/>
                <w:szCs w:val="22"/>
              </w:rPr>
              <w:t>0,242</w:t>
            </w:r>
          </w:p>
        </w:tc>
        <w:tc>
          <w:tcPr>
            <w:tcW w:w="960" w:type="dxa"/>
            <w:tcBorders>
              <w:top w:val="nil"/>
              <w:left w:val="single" w:sz="4" w:space="0" w:color="auto"/>
              <w:bottom w:val="nil"/>
              <w:right w:val="nil"/>
            </w:tcBorders>
            <w:shd w:val="clear" w:color="auto" w:fill="auto"/>
            <w:noWrap/>
            <w:vAlign w:val="center"/>
            <w:hideMark/>
          </w:tcPr>
          <w:p w14:paraId="77A27D7E" w14:textId="77777777" w:rsidR="006967AF" w:rsidRPr="00AB315F" w:rsidRDefault="006967AF" w:rsidP="00EC4A80">
            <w:pPr>
              <w:jc w:val="center"/>
              <w:rPr>
                <w:rFonts w:ascii="Calibri" w:hAnsi="Calibri"/>
                <w:sz w:val="22"/>
                <w:szCs w:val="22"/>
              </w:rPr>
            </w:pPr>
            <w:r w:rsidRPr="00AB315F">
              <w:rPr>
                <w:rFonts w:ascii="Calibri" w:hAnsi="Calibri"/>
                <w:sz w:val="22"/>
                <w:szCs w:val="22"/>
              </w:rPr>
              <w:t>-0,99</w:t>
            </w:r>
          </w:p>
        </w:tc>
        <w:tc>
          <w:tcPr>
            <w:tcW w:w="960" w:type="dxa"/>
            <w:tcBorders>
              <w:top w:val="nil"/>
              <w:left w:val="single" w:sz="4" w:space="0" w:color="auto"/>
              <w:bottom w:val="nil"/>
              <w:right w:val="nil"/>
            </w:tcBorders>
            <w:shd w:val="clear" w:color="auto" w:fill="auto"/>
            <w:noWrap/>
            <w:vAlign w:val="center"/>
            <w:hideMark/>
          </w:tcPr>
          <w:p w14:paraId="2FB53CE4" w14:textId="77777777" w:rsidR="006967AF" w:rsidRPr="00AB315F" w:rsidRDefault="006967AF" w:rsidP="00EC4A80">
            <w:pPr>
              <w:jc w:val="center"/>
              <w:rPr>
                <w:rFonts w:ascii="Calibri" w:hAnsi="Calibri"/>
                <w:sz w:val="22"/>
                <w:szCs w:val="22"/>
              </w:rPr>
            </w:pPr>
            <w:r w:rsidRPr="00AB315F">
              <w:rPr>
                <w:rFonts w:ascii="Calibri" w:hAnsi="Calibri"/>
                <w:sz w:val="22"/>
                <w:szCs w:val="22"/>
              </w:rPr>
              <w:t>0,322</w:t>
            </w:r>
          </w:p>
        </w:tc>
      </w:tr>
      <w:tr w:rsidR="006967AF" w:rsidRPr="00AB315F" w14:paraId="0A19D691" w14:textId="77777777" w:rsidTr="001C63EB">
        <w:trPr>
          <w:trHeight w:val="290"/>
        </w:trPr>
        <w:tc>
          <w:tcPr>
            <w:tcW w:w="4700" w:type="dxa"/>
            <w:tcBorders>
              <w:top w:val="nil"/>
              <w:bottom w:val="nil"/>
              <w:right w:val="nil"/>
            </w:tcBorders>
            <w:shd w:val="clear" w:color="auto" w:fill="auto"/>
            <w:vAlign w:val="center"/>
            <w:hideMark/>
          </w:tcPr>
          <w:p w14:paraId="7A5A1996" w14:textId="77777777" w:rsidR="006967AF" w:rsidRPr="00AB315F" w:rsidRDefault="006967AF" w:rsidP="00EC4A80">
            <w:pPr>
              <w:jc w:val="center"/>
              <w:rPr>
                <w:rFonts w:ascii="Calibri" w:hAnsi="Calibri"/>
                <w:sz w:val="20"/>
                <w:szCs w:val="20"/>
              </w:rPr>
            </w:pPr>
            <w:r w:rsidRPr="00AB315F">
              <w:rPr>
                <w:rFonts w:ascii="Calibri" w:hAnsi="Calibri"/>
                <w:sz w:val="20"/>
                <w:szCs w:val="20"/>
              </w:rPr>
              <w:t>Cidade pequena</w:t>
            </w:r>
          </w:p>
        </w:tc>
        <w:tc>
          <w:tcPr>
            <w:tcW w:w="960" w:type="dxa"/>
            <w:tcBorders>
              <w:top w:val="nil"/>
              <w:left w:val="single" w:sz="4" w:space="0" w:color="auto"/>
              <w:bottom w:val="nil"/>
              <w:right w:val="nil"/>
            </w:tcBorders>
            <w:shd w:val="clear" w:color="auto" w:fill="auto"/>
            <w:noWrap/>
            <w:vAlign w:val="center"/>
            <w:hideMark/>
          </w:tcPr>
          <w:p w14:paraId="6D948640" w14:textId="77777777" w:rsidR="006967AF" w:rsidRPr="00AB315F" w:rsidRDefault="006967AF" w:rsidP="00EC4A80">
            <w:pPr>
              <w:jc w:val="center"/>
              <w:rPr>
                <w:rFonts w:ascii="Calibri" w:hAnsi="Calibri"/>
                <w:sz w:val="22"/>
                <w:szCs w:val="22"/>
              </w:rPr>
            </w:pPr>
            <w:r w:rsidRPr="00AB315F">
              <w:rPr>
                <w:rFonts w:ascii="Calibri" w:hAnsi="Calibri"/>
                <w:sz w:val="22"/>
                <w:szCs w:val="22"/>
              </w:rPr>
              <w:t>0,868</w:t>
            </w:r>
          </w:p>
        </w:tc>
        <w:tc>
          <w:tcPr>
            <w:tcW w:w="1112" w:type="dxa"/>
            <w:tcBorders>
              <w:top w:val="nil"/>
              <w:left w:val="single" w:sz="4" w:space="0" w:color="auto"/>
              <w:bottom w:val="nil"/>
              <w:right w:val="nil"/>
            </w:tcBorders>
            <w:shd w:val="clear" w:color="auto" w:fill="auto"/>
            <w:noWrap/>
            <w:vAlign w:val="center"/>
            <w:hideMark/>
          </w:tcPr>
          <w:p w14:paraId="75EF41B4" w14:textId="77777777" w:rsidR="006967AF" w:rsidRPr="00AB315F" w:rsidRDefault="006967AF" w:rsidP="00EC4A80">
            <w:pPr>
              <w:jc w:val="center"/>
              <w:rPr>
                <w:rFonts w:ascii="Calibri" w:hAnsi="Calibri"/>
                <w:sz w:val="22"/>
                <w:szCs w:val="22"/>
              </w:rPr>
            </w:pPr>
            <w:r w:rsidRPr="00AB315F">
              <w:rPr>
                <w:rFonts w:ascii="Calibri" w:hAnsi="Calibri"/>
                <w:sz w:val="22"/>
                <w:szCs w:val="22"/>
              </w:rPr>
              <w:t>0,284</w:t>
            </w:r>
          </w:p>
        </w:tc>
        <w:tc>
          <w:tcPr>
            <w:tcW w:w="960" w:type="dxa"/>
            <w:tcBorders>
              <w:top w:val="nil"/>
              <w:left w:val="single" w:sz="4" w:space="0" w:color="auto"/>
              <w:bottom w:val="nil"/>
              <w:right w:val="nil"/>
            </w:tcBorders>
            <w:shd w:val="clear" w:color="auto" w:fill="auto"/>
            <w:noWrap/>
            <w:vAlign w:val="center"/>
            <w:hideMark/>
          </w:tcPr>
          <w:p w14:paraId="76B88B5A" w14:textId="77777777" w:rsidR="006967AF" w:rsidRPr="00AB315F" w:rsidRDefault="006967AF" w:rsidP="00EC4A80">
            <w:pPr>
              <w:jc w:val="center"/>
              <w:rPr>
                <w:rFonts w:ascii="Calibri" w:hAnsi="Calibri"/>
                <w:sz w:val="22"/>
                <w:szCs w:val="22"/>
              </w:rPr>
            </w:pPr>
            <w:r w:rsidRPr="00AB315F">
              <w:rPr>
                <w:rFonts w:ascii="Calibri" w:hAnsi="Calibri"/>
                <w:sz w:val="22"/>
                <w:szCs w:val="22"/>
              </w:rPr>
              <w:t>-0,43</w:t>
            </w:r>
          </w:p>
        </w:tc>
        <w:tc>
          <w:tcPr>
            <w:tcW w:w="960" w:type="dxa"/>
            <w:tcBorders>
              <w:top w:val="nil"/>
              <w:left w:val="single" w:sz="4" w:space="0" w:color="auto"/>
              <w:bottom w:val="nil"/>
              <w:right w:val="nil"/>
            </w:tcBorders>
            <w:shd w:val="clear" w:color="auto" w:fill="auto"/>
            <w:noWrap/>
            <w:vAlign w:val="center"/>
            <w:hideMark/>
          </w:tcPr>
          <w:p w14:paraId="20C6EA5E" w14:textId="77777777" w:rsidR="006967AF" w:rsidRPr="00AB315F" w:rsidRDefault="006967AF" w:rsidP="00EC4A80">
            <w:pPr>
              <w:jc w:val="center"/>
              <w:rPr>
                <w:rFonts w:ascii="Calibri" w:hAnsi="Calibri"/>
                <w:sz w:val="22"/>
                <w:szCs w:val="22"/>
              </w:rPr>
            </w:pPr>
            <w:r w:rsidRPr="00AB315F">
              <w:rPr>
                <w:rFonts w:ascii="Calibri" w:hAnsi="Calibri"/>
                <w:sz w:val="22"/>
                <w:szCs w:val="22"/>
              </w:rPr>
              <w:t>0,666</w:t>
            </w:r>
          </w:p>
        </w:tc>
      </w:tr>
      <w:tr w:rsidR="006967AF" w:rsidRPr="00AB315F" w14:paraId="19BF816D" w14:textId="77777777" w:rsidTr="001C63EB">
        <w:trPr>
          <w:trHeight w:val="290"/>
        </w:trPr>
        <w:tc>
          <w:tcPr>
            <w:tcW w:w="4700" w:type="dxa"/>
            <w:tcBorders>
              <w:top w:val="nil"/>
              <w:bottom w:val="single" w:sz="4" w:space="0" w:color="auto"/>
              <w:right w:val="nil"/>
            </w:tcBorders>
            <w:shd w:val="clear" w:color="auto" w:fill="auto"/>
            <w:vAlign w:val="center"/>
            <w:hideMark/>
          </w:tcPr>
          <w:p w14:paraId="1C4937EB" w14:textId="77777777" w:rsidR="006967AF" w:rsidRPr="00AB315F" w:rsidRDefault="006967AF" w:rsidP="00EC4A80">
            <w:pPr>
              <w:jc w:val="center"/>
              <w:rPr>
                <w:rFonts w:ascii="Calibri" w:hAnsi="Calibri"/>
                <w:sz w:val="20"/>
                <w:szCs w:val="20"/>
              </w:rPr>
            </w:pPr>
            <w:r w:rsidRPr="00AB315F">
              <w:rPr>
                <w:rFonts w:ascii="Calibri" w:hAnsi="Calibri"/>
                <w:sz w:val="20"/>
                <w:szCs w:val="20"/>
              </w:rPr>
              <w:t>Área rural</w:t>
            </w:r>
          </w:p>
        </w:tc>
        <w:tc>
          <w:tcPr>
            <w:tcW w:w="960" w:type="dxa"/>
            <w:tcBorders>
              <w:top w:val="nil"/>
              <w:left w:val="single" w:sz="4" w:space="0" w:color="auto"/>
              <w:bottom w:val="single" w:sz="4" w:space="0" w:color="auto"/>
              <w:right w:val="nil"/>
            </w:tcBorders>
            <w:shd w:val="clear" w:color="auto" w:fill="auto"/>
            <w:noWrap/>
            <w:vAlign w:val="center"/>
            <w:hideMark/>
          </w:tcPr>
          <w:p w14:paraId="3FF2F189" w14:textId="77777777" w:rsidR="006967AF" w:rsidRPr="00AB315F" w:rsidRDefault="006967AF" w:rsidP="00EC4A80">
            <w:pPr>
              <w:jc w:val="center"/>
              <w:rPr>
                <w:rFonts w:ascii="Calibri" w:hAnsi="Calibri"/>
                <w:sz w:val="22"/>
                <w:szCs w:val="22"/>
              </w:rPr>
            </w:pPr>
            <w:r w:rsidRPr="00AB315F">
              <w:rPr>
                <w:rFonts w:ascii="Calibri" w:hAnsi="Calibri"/>
                <w:sz w:val="22"/>
                <w:szCs w:val="22"/>
              </w:rPr>
              <w:t>0,420</w:t>
            </w:r>
          </w:p>
        </w:tc>
        <w:tc>
          <w:tcPr>
            <w:tcW w:w="1112" w:type="dxa"/>
            <w:tcBorders>
              <w:top w:val="nil"/>
              <w:left w:val="single" w:sz="4" w:space="0" w:color="auto"/>
              <w:bottom w:val="single" w:sz="4" w:space="0" w:color="auto"/>
              <w:right w:val="nil"/>
            </w:tcBorders>
            <w:shd w:val="clear" w:color="auto" w:fill="auto"/>
            <w:noWrap/>
            <w:vAlign w:val="center"/>
            <w:hideMark/>
          </w:tcPr>
          <w:p w14:paraId="6628F354" w14:textId="77777777" w:rsidR="006967AF" w:rsidRPr="00AB315F" w:rsidRDefault="006967AF" w:rsidP="00EC4A80">
            <w:pPr>
              <w:jc w:val="center"/>
              <w:rPr>
                <w:rFonts w:ascii="Calibri" w:hAnsi="Calibri"/>
                <w:sz w:val="22"/>
                <w:szCs w:val="22"/>
              </w:rPr>
            </w:pPr>
            <w:r w:rsidRPr="00AB315F">
              <w:rPr>
                <w:rFonts w:ascii="Calibri" w:hAnsi="Calibri"/>
                <w:sz w:val="22"/>
                <w:szCs w:val="22"/>
              </w:rPr>
              <w:t>0,144</w:t>
            </w:r>
          </w:p>
        </w:tc>
        <w:tc>
          <w:tcPr>
            <w:tcW w:w="960" w:type="dxa"/>
            <w:tcBorders>
              <w:top w:val="nil"/>
              <w:left w:val="single" w:sz="4" w:space="0" w:color="auto"/>
              <w:bottom w:val="single" w:sz="4" w:space="0" w:color="auto"/>
              <w:right w:val="nil"/>
            </w:tcBorders>
            <w:shd w:val="clear" w:color="000000" w:fill="D9D9D9"/>
            <w:noWrap/>
            <w:vAlign w:val="center"/>
            <w:hideMark/>
          </w:tcPr>
          <w:p w14:paraId="4C0BC032" w14:textId="77777777" w:rsidR="006967AF" w:rsidRPr="00AB315F" w:rsidRDefault="006967AF" w:rsidP="00EC4A80">
            <w:pPr>
              <w:jc w:val="center"/>
              <w:rPr>
                <w:rFonts w:ascii="Calibri" w:hAnsi="Calibri"/>
                <w:sz w:val="22"/>
                <w:szCs w:val="22"/>
              </w:rPr>
            </w:pPr>
            <w:r w:rsidRPr="00AB315F">
              <w:rPr>
                <w:rFonts w:ascii="Calibri" w:hAnsi="Calibri"/>
                <w:sz w:val="22"/>
                <w:szCs w:val="22"/>
              </w:rPr>
              <w:t>-2,52</w:t>
            </w:r>
          </w:p>
        </w:tc>
        <w:tc>
          <w:tcPr>
            <w:tcW w:w="960" w:type="dxa"/>
            <w:tcBorders>
              <w:top w:val="nil"/>
              <w:left w:val="single" w:sz="4" w:space="0" w:color="auto"/>
              <w:bottom w:val="single" w:sz="4" w:space="0" w:color="auto"/>
              <w:right w:val="nil"/>
            </w:tcBorders>
            <w:shd w:val="clear" w:color="auto" w:fill="auto"/>
            <w:noWrap/>
            <w:vAlign w:val="center"/>
            <w:hideMark/>
          </w:tcPr>
          <w:p w14:paraId="79D92077" w14:textId="77777777" w:rsidR="006967AF" w:rsidRPr="00AB315F" w:rsidRDefault="006967AF" w:rsidP="00EC4A80">
            <w:pPr>
              <w:jc w:val="center"/>
              <w:rPr>
                <w:rFonts w:ascii="Calibri" w:hAnsi="Calibri"/>
                <w:sz w:val="22"/>
                <w:szCs w:val="22"/>
              </w:rPr>
            </w:pPr>
            <w:r w:rsidRPr="00AB315F">
              <w:rPr>
                <w:rFonts w:ascii="Calibri" w:hAnsi="Calibri"/>
                <w:sz w:val="22"/>
                <w:szCs w:val="22"/>
              </w:rPr>
              <w:t>0,012</w:t>
            </w:r>
          </w:p>
        </w:tc>
      </w:tr>
      <w:tr w:rsidR="006967AF" w:rsidRPr="00AB315F" w14:paraId="6AF90BB4" w14:textId="77777777" w:rsidTr="001C63EB">
        <w:trPr>
          <w:trHeight w:val="290"/>
        </w:trPr>
        <w:tc>
          <w:tcPr>
            <w:tcW w:w="4700" w:type="dxa"/>
            <w:tcBorders>
              <w:top w:val="nil"/>
              <w:bottom w:val="nil"/>
              <w:right w:val="nil"/>
            </w:tcBorders>
            <w:shd w:val="clear" w:color="auto" w:fill="auto"/>
            <w:noWrap/>
            <w:vAlign w:val="center"/>
            <w:hideMark/>
          </w:tcPr>
          <w:p w14:paraId="62D4E061" w14:textId="77777777" w:rsidR="006967AF" w:rsidRPr="00AB315F" w:rsidRDefault="006967AF" w:rsidP="00EC4A80">
            <w:pPr>
              <w:jc w:val="center"/>
              <w:rPr>
                <w:rFonts w:ascii="Calibri" w:hAnsi="Calibri"/>
                <w:sz w:val="22"/>
                <w:szCs w:val="22"/>
              </w:rPr>
            </w:pPr>
            <w:r w:rsidRPr="00AB315F">
              <w:rPr>
                <w:rFonts w:ascii="Calibri" w:hAnsi="Calibri"/>
                <w:sz w:val="22"/>
                <w:szCs w:val="22"/>
              </w:rPr>
              <w:t>Gênero</w:t>
            </w:r>
          </w:p>
        </w:tc>
        <w:tc>
          <w:tcPr>
            <w:tcW w:w="960" w:type="dxa"/>
            <w:tcBorders>
              <w:top w:val="nil"/>
              <w:left w:val="single" w:sz="4" w:space="0" w:color="auto"/>
              <w:bottom w:val="nil"/>
              <w:right w:val="nil"/>
            </w:tcBorders>
            <w:shd w:val="clear" w:color="auto" w:fill="auto"/>
            <w:noWrap/>
            <w:vAlign w:val="center"/>
            <w:hideMark/>
          </w:tcPr>
          <w:p w14:paraId="1BB0C268" w14:textId="77777777" w:rsidR="006967AF" w:rsidRPr="00AB315F" w:rsidRDefault="006967AF" w:rsidP="00EC4A80">
            <w:pPr>
              <w:jc w:val="center"/>
              <w:rPr>
                <w:rFonts w:ascii="Calibri" w:hAnsi="Calibri"/>
                <w:sz w:val="22"/>
                <w:szCs w:val="22"/>
              </w:rPr>
            </w:pPr>
            <w:r w:rsidRPr="00AB315F">
              <w:rPr>
                <w:rFonts w:ascii="Calibri" w:hAnsi="Calibri"/>
                <w:sz w:val="22"/>
                <w:szCs w:val="22"/>
              </w:rPr>
              <w:t>0,921</w:t>
            </w:r>
          </w:p>
        </w:tc>
        <w:tc>
          <w:tcPr>
            <w:tcW w:w="1112" w:type="dxa"/>
            <w:tcBorders>
              <w:top w:val="nil"/>
              <w:left w:val="single" w:sz="4" w:space="0" w:color="auto"/>
              <w:bottom w:val="nil"/>
              <w:right w:val="nil"/>
            </w:tcBorders>
            <w:shd w:val="clear" w:color="auto" w:fill="auto"/>
            <w:noWrap/>
            <w:vAlign w:val="center"/>
            <w:hideMark/>
          </w:tcPr>
          <w:p w14:paraId="671EC919" w14:textId="77777777" w:rsidR="006967AF" w:rsidRPr="00AB315F" w:rsidRDefault="006967AF" w:rsidP="00EC4A80">
            <w:pPr>
              <w:jc w:val="center"/>
              <w:rPr>
                <w:rFonts w:ascii="Calibri" w:hAnsi="Calibri"/>
                <w:sz w:val="22"/>
                <w:szCs w:val="22"/>
              </w:rPr>
            </w:pPr>
            <w:r w:rsidRPr="00AB315F">
              <w:rPr>
                <w:rFonts w:ascii="Calibri" w:hAnsi="Calibri"/>
                <w:sz w:val="22"/>
                <w:szCs w:val="22"/>
              </w:rPr>
              <w:t>0,190</w:t>
            </w:r>
          </w:p>
        </w:tc>
        <w:tc>
          <w:tcPr>
            <w:tcW w:w="960" w:type="dxa"/>
            <w:tcBorders>
              <w:top w:val="nil"/>
              <w:left w:val="single" w:sz="4" w:space="0" w:color="auto"/>
              <w:bottom w:val="nil"/>
              <w:right w:val="nil"/>
            </w:tcBorders>
            <w:shd w:val="clear" w:color="auto" w:fill="auto"/>
            <w:noWrap/>
            <w:vAlign w:val="center"/>
            <w:hideMark/>
          </w:tcPr>
          <w:p w14:paraId="2315C290" w14:textId="77777777" w:rsidR="006967AF" w:rsidRPr="00AB315F" w:rsidRDefault="006967AF" w:rsidP="00EC4A80">
            <w:pPr>
              <w:jc w:val="center"/>
              <w:rPr>
                <w:rFonts w:ascii="Calibri" w:hAnsi="Calibri"/>
                <w:sz w:val="22"/>
                <w:szCs w:val="22"/>
              </w:rPr>
            </w:pPr>
            <w:r w:rsidRPr="00AB315F">
              <w:rPr>
                <w:rFonts w:ascii="Calibri" w:hAnsi="Calibri"/>
                <w:sz w:val="22"/>
                <w:szCs w:val="22"/>
              </w:rPr>
              <w:t>-0,4</w:t>
            </w:r>
          </w:p>
        </w:tc>
        <w:tc>
          <w:tcPr>
            <w:tcW w:w="960" w:type="dxa"/>
            <w:tcBorders>
              <w:top w:val="nil"/>
              <w:left w:val="single" w:sz="4" w:space="0" w:color="auto"/>
              <w:bottom w:val="nil"/>
              <w:right w:val="nil"/>
            </w:tcBorders>
            <w:shd w:val="clear" w:color="auto" w:fill="auto"/>
            <w:noWrap/>
            <w:vAlign w:val="center"/>
            <w:hideMark/>
          </w:tcPr>
          <w:p w14:paraId="14D5D92B" w14:textId="77777777" w:rsidR="006967AF" w:rsidRPr="00AB315F" w:rsidRDefault="006967AF" w:rsidP="00EC4A80">
            <w:pPr>
              <w:jc w:val="center"/>
              <w:rPr>
                <w:rFonts w:ascii="Calibri" w:hAnsi="Calibri"/>
                <w:sz w:val="22"/>
                <w:szCs w:val="22"/>
              </w:rPr>
            </w:pPr>
            <w:r w:rsidRPr="00AB315F">
              <w:rPr>
                <w:rFonts w:ascii="Calibri" w:hAnsi="Calibri"/>
                <w:sz w:val="22"/>
                <w:szCs w:val="22"/>
              </w:rPr>
              <w:t>0,689</w:t>
            </w:r>
          </w:p>
        </w:tc>
      </w:tr>
      <w:tr w:rsidR="006967AF" w:rsidRPr="00AB315F" w14:paraId="3894BA73" w14:textId="77777777" w:rsidTr="001C63EB">
        <w:trPr>
          <w:trHeight w:val="290"/>
        </w:trPr>
        <w:tc>
          <w:tcPr>
            <w:tcW w:w="4700" w:type="dxa"/>
            <w:tcBorders>
              <w:top w:val="single" w:sz="4" w:space="0" w:color="auto"/>
              <w:bottom w:val="nil"/>
              <w:right w:val="nil"/>
            </w:tcBorders>
            <w:shd w:val="clear" w:color="auto" w:fill="auto"/>
            <w:noWrap/>
            <w:vAlign w:val="center"/>
            <w:hideMark/>
          </w:tcPr>
          <w:p w14:paraId="6F42E45C" w14:textId="77777777" w:rsidR="006967AF" w:rsidRPr="00AB315F" w:rsidRDefault="006967AF" w:rsidP="00EC4A80">
            <w:pPr>
              <w:jc w:val="center"/>
              <w:rPr>
                <w:rFonts w:ascii="Calibri" w:hAnsi="Calibri"/>
                <w:sz w:val="22"/>
                <w:szCs w:val="22"/>
              </w:rPr>
            </w:pPr>
            <w:r w:rsidRPr="00AB315F">
              <w:rPr>
                <w:rFonts w:ascii="Calibri" w:hAnsi="Calibri"/>
                <w:sz w:val="22"/>
                <w:szCs w:val="22"/>
              </w:rPr>
              <w:t>Idade</w:t>
            </w:r>
          </w:p>
        </w:tc>
        <w:tc>
          <w:tcPr>
            <w:tcW w:w="960" w:type="dxa"/>
            <w:tcBorders>
              <w:top w:val="single" w:sz="4" w:space="0" w:color="auto"/>
              <w:left w:val="single" w:sz="4" w:space="0" w:color="auto"/>
              <w:bottom w:val="nil"/>
              <w:right w:val="nil"/>
            </w:tcBorders>
            <w:shd w:val="clear" w:color="auto" w:fill="auto"/>
            <w:noWrap/>
            <w:vAlign w:val="center"/>
            <w:hideMark/>
          </w:tcPr>
          <w:p w14:paraId="743F93E1"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single" w:sz="4" w:space="0" w:color="auto"/>
              <w:left w:val="single" w:sz="4" w:space="0" w:color="auto"/>
              <w:bottom w:val="nil"/>
              <w:right w:val="nil"/>
            </w:tcBorders>
            <w:shd w:val="clear" w:color="auto" w:fill="auto"/>
            <w:noWrap/>
            <w:vAlign w:val="center"/>
            <w:hideMark/>
          </w:tcPr>
          <w:p w14:paraId="461925AF"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single" w:sz="4" w:space="0" w:color="auto"/>
              <w:left w:val="single" w:sz="4" w:space="0" w:color="auto"/>
              <w:bottom w:val="nil"/>
              <w:right w:val="nil"/>
            </w:tcBorders>
            <w:shd w:val="clear" w:color="auto" w:fill="auto"/>
            <w:noWrap/>
            <w:vAlign w:val="center"/>
            <w:hideMark/>
          </w:tcPr>
          <w:p w14:paraId="4DC789A8"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single" w:sz="4" w:space="0" w:color="auto"/>
              <w:left w:val="single" w:sz="4" w:space="0" w:color="auto"/>
              <w:bottom w:val="nil"/>
              <w:right w:val="nil"/>
            </w:tcBorders>
            <w:shd w:val="clear" w:color="auto" w:fill="auto"/>
            <w:noWrap/>
            <w:vAlign w:val="center"/>
            <w:hideMark/>
          </w:tcPr>
          <w:p w14:paraId="7AF8DF20"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187BF4" w:rsidRPr="00AB315F" w14:paraId="428CBE0B" w14:textId="77777777" w:rsidTr="001C63EB">
        <w:trPr>
          <w:trHeight w:val="290"/>
        </w:trPr>
        <w:tc>
          <w:tcPr>
            <w:tcW w:w="4700" w:type="dxa"/>
            <w:tcBorders>
              <w:top w:val="single" w:sz="4" w:space="0" w:color="auto"/>
              <w:bottom w:val="nil"/>
              <w:right w:val="nil"/>
            </w:tcBorders>
            <w:shd w:val="clear" w:color="auto" w:fill="auto"/>
            <w:noWrap/>
            <w:vAlign w:val="center"/>
          </w:tcPr>
          <w:p w14:paraId="3777A65F" w14:textId="37BBE37D" w:rsidR="00187BF4" w:rsidRPr="00AB315F" w:rsidRDefault="00187BF4" w:rsidP="00EC4A80">
            <w:pPr>
              <w:jc w:val="center"/>
              <w:rPr>
                <w:rFonts w:ascii="Calibri" w:hAnsi="Calibri"/>
                <w:sz w:val="22"/>
                <w:szCs w:val="22"/>
              </w:rPr>
            </w:pPr>
            <w:r>
              <w:rPr>
                <w:rFonts w:ascii="Calibri" w:hAnsi="Calibri"/>
                <w:sz w:val="22"/>
                <w:szCs w:val="22"/>
              </w:rPr>
              <w:t>16 a 31</w:t>
            </w:r>
          </w:p>
        </w:tc>
        <w:tc>
          <w:tcPr>
            <w:tcW w:w="960" w:type="dxa"/>
            <w:tcBorders>
              <w:top w:val="single" w:sz="4" w:space="0" w:color="auto"/>
              <w:left w:val="single" w:sz="4" w:space="0" w:color="auto"/>
              <w:bottom w:val="nil"/>
              <w:right w:val="nil"/>
            </w:tcBorders>
            <w:shd w:val="clear" w:color="auto" w:fill="auto"/>
            <w:noWrap/>
            <w:vAlign w:val="center"/>
          </w:tcPr>
          <w:p w14:paraId="0436494E" w14:textId="76A29BF8" w:rsidR="00187BF4" w:rsidRPr="00AB315F" w:rsidRDefault="00187BF4" w:rsidP="00EC4A80">
            <w:pPr>
              <w:jc w:val="center"/>
              <w:rPr>
                <w:rFonts w:ascii="Calibri" w:hAnsi="Calibri"/>
                <w:sz w:val="22"/>
                <w:szCs w:val="22"/>
              </w:rPr>
            </w:pPr>
            <w:r>
              <w:rPr>
                <w:rFonts w:ascii="Calibri" w:hAnsi="Calibri"/>
                <w:sz w:val="22"/>
                <w:szCs w:val="22"/>
              </w:rPr>
              <w:t>1 (ref.)</w:t>
            </w:r>
          </w:p>
        </w:tc>
        <w:tc>
          <w:tcPr>
            <w:tcW w:w="1112" w:type="dxa"/>
            <w:tcBorders>
              <w:top w:val="single" w:sz="4" w:space="0" w:color="auto"/>
              <w:left w:val="single" w:sz="4" w:space="0" w:color="auto"/>
              <w:bottom w:val="nil"/>
              <w:right w:val="nil"/>
            </w:tcBorders>
            <w:shd w:val="clear" w:color="auto" w:fill="auto"/>
            <w:noWrap/>
            <w:vAlign w:val="center"/>
          </w:tcPr>
          <w:p w14:paraId="31A6F10E" w14:textId="77777777" w:rsidR="00187BF4" w:rsidRPr="00AB315F" w:rsidRDefault="00187BF4" w:rsidP="00EC4A80">
            <w:pPr>
              <w:jc w:val="center"/>
              <w:rPr>
                <w:rFonts w:ascii="Calibri" w:hAnsi="Calibri"/>
                <w:sz w:val="22"/>
                <w:szCs w:val="22"/>
              </w:rPr>
            </w:pPr>
          </w:p>
        </w:tc>
        <w:tc>
          <w:tcPr>
            <w:tcW w:w="960" w:type="dxa"/>
            <w:tcBorders>
              <w:top w:val="single" w:sz="4" w:space="0" w:color="auto"/>
              <w:left w:val="single" w:sz="4" w:space="0" w:color="auto"/>
              <w:bottom w:val="nil"/>
              <w:right w:val="nil"/>
            </w:tcBorders>
            <w:shd w:val="clear" w:color="auto" w:fill="auto"/>
            <w:noWrap/>
            <w:vAlign w:val="center"/>
          </w:tcPr>
          <w:p w14:paraId="6C7A7702" w14:textId="77777777" w:rsidR="00187BF4" w:rsidRPr="00AB315F" w:rsidRDefault="00187BF4" w:rsidP="00EC4A80">
            <w:pPr>
              <w:jc w:val="center"/>
              <w:rPr>
                <w:rFonts w:ascii="Calibri" w:hAnsi="Calibri"/>
                <w:sz w:val="22"/>
                <w:szCs w:val="22"/>
              </w:rPr>
            </w:pPr>
          </w:p>
        </w:tc>
        <w:tc>
          <w:tcPr>
            <w:tcW w:w="960" w:type="dxa"/>
            <w:tcBorders>
              <w:top w:val="single" w:sz="4" w:space="0" w:color="auto"/>
              <w:left w:val="single" w:sz="4" w:space="0" w:color="auto"/>
              <w:bottom w:val="nil"/>
              <w:right w:val="nil"/>
            </w:tcBorders>
            <w:shd w:val="clear" w:color="auto" w:fill="auto"/>
            <w:noWrap/>
            <w:vAlign w:val="center"/>
          </w:tcPr>
          <w:p w14:paraId="31346829" w14:textId="77777777" w:rsidR="00187BF4" w:rsidRPr="00AB315F" w:rsidRDefault="00187BF4" w:rsidP="00EC4A80">
            <w:pPr>
              <w:jc w:val="center"/>
              <w:rPr>
                <w:rFonts w:ascii="Calibri" w:hAnsi="Calibri"/>
                <w:sz w:val="22"/>
                <w:szCs w:val="22"/>
              </w:rPr>
            </w:pPr>
          </w:p>
        </w:tc>
      </w:tr>
      <w:tr w:rsidR="006967AF" w:rsidRPr="00AB315F" w14:paraId="00E593D9" w14:textId="77777777" w:rsidTr="001C63EB">
        <w:trPr>
          <w:trHeight w:val="290"/>
        </w:trPr>
        <w:tc>
          <w:tcPr>
            <w:tcW w:w="4700" w:type="dxa"/>
            <w:tcBorders>
              <w:top w:val="nil"/>
              <w:bottom w:val="nil"/>
              <w:right w:val="nil"/>
            </w:tcBorders>
            <w:shd w:val="clear" w:color="auto" w:fill="auto"/>
            <w:vAlign w:val="center"/>
            <w:hideMark/>
          </w:tcPr>
          <w:p w14:paraId="3CC18FF1" w14:textId="77777777" w:rsidR="006967AF" w:rsidRPr="00AB315F" w:rsidRDefault="006967AF" w:rsidP="00EC4A80">
            <w:pPr>
              <w:jc w:val="center"/>
              <w:rPr>
                <w:rFonts w:ascii="Calibri" w:hAnsi="Calibri"/>
                <w:sz w:val="20"/>
                <w:szCs w:val="20"/>
              </w:rPr>
            </w:pPr>
            <w:r w:rsidRPr="00AB315F">
              <w:rPr>
                <w:rFonts w:ascii="Calibri" w:hAnsi="Calibri"/>
                <w:sz w:val="20"/>
                <w:szCs w:val="20"/>
              </w:rPr>
              <w:t>31 a 40</w:t>
            </w:r>
          </w:p>
        </w:tc>
        <w:tc>
          <w:tcPr>
            <w:tcW w:w="960" w:type="dxa"/>
            <w:tcBorders>
              <w:top w:val="nil"/>
              <w:left w:val="single" w:sz="4" w:space="0" w:color="auto"/>
              <w:bottom w:val="nil"/>
              <w:right w:val="nil"/>
            </w:tcBorders>
            <w:shd w:val="clear" w:color="auto" w:fill="auto"/>
            <w:noWrap/>
            <w:vAlign w:val="center"/>
            <w:hideMark/>
          </w:tcPr>
          <w:p w14:paraId="68BBD2EF" w14:textId="77777777" w:rsidR="006967AF" w:rsidRPr="00AB315F" w:rsidRDefault="006967AF" w:rsidP="00EC4A80">
            <w:pPr>
              <w:jc w:val="center"/>
              <w:rPr>
                <w:rFonts w:ascii="Calibri" w:hAnsi="Calibri"/>
                <w:sz w:val="22"/>
                <w:szCs w:val="22"/>
              </w:rPr>
            </w:pPr>
            <w:r w:rsidRPr="00AB315F">
              <w:rPr>
                <w:rFonts w:ascii="Calibri" w:hAnsi="Calibri"/>
                <w:sz w:val="22"/>
                <w:szCs w:val="22"/>
              </w:rPr>
              <w:t>0,708</w:t>
            </w:r>
          </w:p>
        </w:tc>
        <w:tc>
          <w:tcPr>
            <w:tcW w:w="1112" w:type="dxa"/>
            <w:tcBorders>
              <w:top w:val="nil"/>
              <w:left w:val="single" w:sz="4" w:space="0" w:color="auto"/>
              <w:bottom w:val="nil"/>
              <w:right w:val="nil"/>
            </w:tcBorders>
            <w:shd w:val="clear" w:color="auto" w:fill="auto"/>
            <w:noWrap/>
            <w:vAlign w:val="center"/>
            <w:hideMark/>
          </w:tcPr>
          <w:p w14:paraId="0898187C" w14:textId="77777777" w:rsidR="006967AF" w:rsidRPr="00AB315F" w:rsidRDefault="006967AF" w:rsidP="00EC4A80">
            <w:pPr>
              <w:jc w:val="center"/>
              <w:rPr>
                <w:rFonts w:ascii="Calibri" w:hAnsi="Calibri"/>
                <w:sz w:val="22"/>
                <w:szCs w:val="22"/>
              </w:rPr>
            </w:pPr>
            <w:r w:rsidRPr="00AB315F">
              <w:rPr>
                <w:rFonts w:ascii="Calibri" w:hAnsi="Calibri"/>
                <w:sz w:val="22"/>
                <w:szCs w:val="22"/>
              </w:rPr>
              <w:t>0,200</w:t>
            </w:r>
          </w:p>
        </w:tc>
        <w:tc>
          <w:tcPr>
            <w:tcW w:w="960" w:type="dxa"/>
            <w:tcBorders>
              <w:top w:val="nil"/>
              <w:left w:val="single" w:sz="4" w:space="0" w:color="auto"/>
              <w:bottom w:val="nil"/>
              <w:right w:val="nil"/>
            </w:tcBorders>
            <w:shd w:val="clear" w:color="auto" w:fill="auto"/>
            <w:noWrap/>
            <w:vAlign w:val="center"/>
            <w:hideMark/>
          </w:tcPr>
          <w:p w14:paraId="4DEFF19D" w14:textId="77777777" w:rsidR="006967AF" w:rsidRPr="00AB315F" w:rsidRDefault="006967AF" w:rsidP="00EC4A80">
            <w:pPr>
              <w:jc w:val="center"/>
              <w:rPr>
                <w:rFonts w:ascii="Calibri" w:hAnsi="Calibri"/>
                <w:sz w:val="22"/>
                <w:szCs w:val="22"/>
              </w:rPr>
            </w:pPr>
            <w:r w:rsidRPr="00AB315F">
              <w:rPr>
                <w:rFonts w:ascii="Calibri" w:hAnsi="Calibri"/>
                <w:sz w:val="22"/>
                <w:szCs w:val="22"/>
              </w:rPr>
              <w:t>-1,22</w:t>
            </w:r>
          </w:p>
        </w:tc>
        <w:tc>
          <w:tcPr>
            <w:tcW w:w="960" w:type="dxa"/>
            <w:tcBorders>
              <w:top w:val="nil"/>
              <w:left w:val="single" w:sz="4" w:space="0" w:color="auto"/>
              <w:bottom w:val="nil"/>
              <w:right w:val="nil"/>
            </w:tcBorders>
            <w:shd w:val="clear" w:color="auto" w:fill="auto"/>
            <w:noWrap/>
            <w:vAlign w:val="center"/>
            <w:hideMark/>
          </w:tcPr>
          <w:p w14:paraId="0914E017" w14:textId="77777777" w:rsidR="006967AF" w:rsidRPr="00AB315F" w:rsidRDefault="006967AF" w:rsidP="00EC4A80">
            <w:pPr>
              <w:jc w:val="center"/>
              <w:rPr>
                <w:rFonts w:ascii="Calibri" w:hAnsi="Calibri"/>
                <w:sz w:val="22"/>
                <w:szCs w:val="22"/>
              </w:rPr>
            </w:pPr>
            <w:r w:rsidRPr="00AB315F">
              <w:rPr>
                <w:rFonts w:ascii="Calibri" w:hAnsi="Calibri"/>
                <w:sz w:val="22"/>
                <w:szCs w:val="22"/>
              </w:rPr>
              <w:t>0,222</w:t>
            </w:r>
          </w:p>
        </w:tc>
      </w:tr>
      <w:tr w:rsidR="006967AF" w:rsidRPr="00AB315F" w14:paraId="669E118E" w14:textId="77777777" w:rsidTr="001C63EB">
        <w:trPr>
          <w:trHeight w:val="290"/>
        </w:trPr>
        <w:tc>
          <w:tcPr>
            <w:tcW w:w="4700" w:type="dxa"/>
            <w:tcBorders>
              <w:top w:val="nil"/>
              <w:bottom w:val="nil"/>
              <w:right w:val="nil"/>
            </w:tcBorders>
            <w:shd w:val="clear" w:color="auto" w:fill="auto"/>
            <w:vAlign w:val="center"/>
            <w:hideMark/>
          </w:tcPr>
          <w:p w14:paraId="026595DF" w14:textId="77777777" w:rsidR="006967AF" w:rsidRPr="00AB315F" w:rsidRDefault="006967AF" w:rsidP="00EC4A80">
            <w:pPr>
              <w:jc w:val="center"/>
              <w:rPr>
                <w:rFonts w:ascii="Calibri" w:hAnsi="Calibri"/>
                <w:sz w:val="20"/>
                <w:szCs w:val="20"/>
              </w:rPr>
            </w:pPr>
            <w:r w:rsidRPr="00AB315F">
              <w:rPr>
                <w:rFonts w:ascii="Calibri" w:hAnsi="Calibri"/>
                <w:sz w:val="20"/>
                <w:szCs w:val="20"/>
              </w:rPr>
              <w:t>41 a 50</w:t>
            </w:r>
          </w:p>
        </w:tc>
        <w:tc>
          <w:tcPr>
            <w:tcW w:w="960" w:type="dxa"/>
            <w:tcBorders>
              <w:top w:val="nil"/>
              <w:left w:val="single" w:sz="4" w:space="0" w:color="auto"/>
              <w:bottom w:val="nil"/>
              <w:right w:val="nil"/>
            </w:tcBorders>
            <w:shd w:val="clear" w:color="auto" w:fill="auto"/>
            <w:noWrap/>
            <w:vAlign w:val="center"/>
            <w:hideMark/>
          </w:tcPr>
          <w:p w14:paraId="0E333BAC" w14:textId="77777777" w:rsidR="006967AF" w:rsidRPr="00AB315F" w:rsidRDefault="006967AF" w:rsidP="00EC4A80">
            <w:pPr>
              <w:jc w:val="center"/>
              <w:rPr>
                <w:rFonts w:ascii="Calibri" w:hAnsi="Calibri"/>
                <w:sz w:val="22"/>
                <w:szCs w:val="22"/>
              </w:rPr>
            </w:pPr>
            <w:r w:rsidRPr="00AB315F">
              <w:rPr>
                <w:rFonts w:ascii="Calibri" w:hAnsi="Calibri"/>
                <w:sz w:val="22"/>
                <w:szCs w:val="22"/>
              </w:rPr>
              <w:t>0,802</w:t>
            </w:r>
          </w:p>
        </w:tc>
        <w:tc>
          <w:tcPr>
            <w:tcW w:w="1112" w:type="dxa"/>
            <w:tcBorders>
              <w:top w:val="nil"/>
              <w:left w:val="single" w:sz="4" w:space="0" w:color="auto"/>
              <w:bottom w:val="nil"/>
              <w:right w:val="nil"/>
            </w:tcBorders>
            <w:shd w:val="clear" w:color="auto" w:fill="auto"/>
            <w:noWrap/>
            <w:vAlign w:val="center"/>
            <w:hideMark/>
          </w:tcPr>
          <w:p w14:paraId="5E84E22D" w14:textId="77777777" w:rsidR="006967AF" w:rsidRPr="00AB315F" w:rsidRDefault="006967AF" w:rsidP="00EC4A80">
            <w:pPr>
              <w:jc w:val="center"/>
              <w:rPr>
                <w:rFonts w:ascii="Calibri" w:hAnsi="Calibri"/>
                <w:sz w:val="22"/>
                <w:szCs w:val="22"/>
              </w:rPr>
            </w:pPr>
            <w:r w:rsidRPr="00AB315F">
              <w:rPr>
                <w:rFonts w:ascii="Calibri" w:hAnsi="Calibri"/>
                <w:sz w:val="22"/>
                <w:szCs w:val="22"/>
              </w:rPr>
              <w:t>0,253</w:t>
            </w:r>
          </w:p>
        </w:tc>
        <w:tc>
          <w:tcPr>
            <w:tcW w:w="960" w:type="dxa"/>
            <w:tcBorders>
              <w:top w:val="nil"/>
              <w:left w:val="single" w:sz="4" w:space="0" w:color="auto"/>
              <w:bottom w:val="nil"/>
              <w:right w:val="nil"/>
            </w:tcBorders>
            <w:shd w:val="clear" w:color="auto" w:fill="auto"/>
            <w:noWrap/>
            <w:vAlign w:val="center"/>
            <w:hideMark/>
          </w:tcPr>
          <w:p w14:paraId="2AE5BBBE" w14:textId="77777777" w:rsidR="006967AF" w:rsidRPr="00AB315F" w:rsidRDefault="006967AF" w:rsidP="00EC4A80">
            <w:pPr>
              <w:jc w:val="center"/>
              <w:rPr>
                <w:rFonts w:ascii="Calibri" w:hAnsi="Calibri"/>
                <w:sz w:val="22"/>
                <w:szCs w:val="22"/>
              </w:rPr>
            </w:pPr>
            <w:r w:rsidRPr="00AB315F">
              <w:rPr>
                <w:rFonts w:ascii="Calibri" w:hAnsi="Calibri"/>
                <w:sz w:val="22"/>
                <w:szCs w:val="22"/>
              </w:rPr>
              <w:t>-0,7</w:t>
            </w:r>
          </w:p>
        </w:tc>
        <w:tc>
          <w:tcPr>
            <w:tcW w:w="960" w:type="dxa"/>
            <w:tcBorders>
              <w:top w:val="nil"/>
              <w:left w:val="single" w:sz="4" w:space="0" w:color="auto"/>
              <w:bottom w:val="nil"/>
              <w:right w:val="nil"/>
            </w:tcBorders>
            <w:shd w:val="clear" w:color="auto" w:fill="auto"/>
            <w:noWrap/>
            <w:vAlign w:val="center"/>
            <w:hideMark/>
          </w:tcPr>
          <w:p w14:paraId="4A602CA8" w14:textId="77777777" w:rsidR="006967AF" w:rsidRPr="00AB315F" w:rsidRDefault="006967AF" w:rsidP="00EC4A80">
            <w:pPr>
              <w:jc w:val="center"/>
              <w:rPr>
                <w:rFonts w:ascii="Calibri" w:hAnsi="Calibri"/>
                <w:sz w:val="22"/>
                <w:szCs w:val="22"/>
              </w:rPr>
            </w:pPr>
            <w:r w:rsidRPr="00AB315F">
              <w:rPr>
                <w:rFonts w:ascii="Calibri" w:hAnsi="Calibri"/>
                <w:sz w:val="22"/>
                <w:szCs w:val="22"/>
              </w:rPr>
              <w:t>0,484</w:t>
            </w:r>
          </w:p>
        </w:tc>
      </w:tr>
      <w:tr w:rsidR="006967AF" w:rsidRPr="00AB315F" w14:paraId="01549E4D" w14:textId="77777777" w:rsidTr="001C63EB">
        <w:trPr>
          <w:trHeight w:val="290"/>
        </w:trPr>
        <w:tc>
          <w:tcPr>
            <w:tcW w:w="4700" w:type="dxa"/>
            <w:tcBorders>
              <w:top w:val="nil"/>
              <w:bottom w:val="nil"/>
              <w:right w:val="nil"/>
            </w:tcBorders>
            <w:shd w:val="clear" w:color="auto" w:fill="auto"/>
            <w:vAlign w:val="center"/>
            <w:hideMark/>
          </w:tcPr>
          <w:p w14:paraId="59145D56" w14:textId="77777777" w:rsidR="006967AF" w:rsidRPr="00AB315F" w:rsidRDefault="006967AF" w:rsidP="00EC4A80">
            <w:pPr>
              <w:jc w:val="center"/>
              <w:rPr>
                <w:rFonts w:ascii="Calibri" w:hAnsi="Calibri"/>
                <w:sz w:val="20"/>
                <w:szCs w:val="20"/>
              </w:rPr>
            </w:pPr>
            <w:r w:rsidRPr="00AB315F">
              <w:rPr>
                <w:rFonts w:ascii="Calibri" w:hAnsi="Calibri"/>
                <w:sz w:val="20"/>
                <w:szCs w:val="20"/>
              </w:rPr>
              <w:t>51 a 65</w:t>
            </w:r>
          </w:p>
        </w:tc>
        <w:tc>
          <w:tcPr>
            <w:tcW w:w="960" w:type="dxa"/>
            <w:tcBorders>
              <w:top w:val="nil"/>
              <w:left w:val="single" w:sz="4" w:space="0" w:color="auto"/>
              <w:bottom w:val="nil"/>
              <w:right w:val="nil"/>
            </w:tcBorders>
            <w:shd w:val="clear" w:color="auto" w:fill="auto"/>
            <w:noWrap/>
            <w:vAlign w:val="center"/>
            <w:hideMark/>
          </w:tcPr>
          <w:p w14:paraId="7D4D8388" w14:textId="77777777" w:rsidR="006967AF" w:rsidRPr="00AB315F" w:rsidRDefault="006967AF" w:rsidP="00EC4A80">
            <w:pPr>
              <w:jc w:val="center"/>
              <w:rPr>
                <w:rFonts w:ascii="Calibri" w:hAnsi="Calibri"/>
                <w:sz w:val="22"/>
                <w:szCs w:val="22"/>
              </w:rPr>
            </w:pPr>
            <w:r w:rsidRPr="00AB315F">
              <w:rPr>
                <w:rFonts w:ascii="Calibri" w:hAnsi="Calibri"/>
                <w:sz w:val="22"/>
                <w:szCs w:val="22"/>
              </w:rPr>
              <w:t>1,425</w:t>
            </w:r>
          </w:p>
        </w:tc>
        <w:tc>
          <w:tcPr>
            <w:tcW w:w="1112" w:type="dxa"/>
            <w:tcBorders>
              <w:top w:val="nil"/>
              <w:left w:val="single" w:sz="4" w:space="0" w:color="auto"/>
              <w:bottom w:val="nil"/>
              <w:right w:val="nil"/>
            </w:tcBorders>
            <w:shd w:val="clear" w:color="auto" w:fill="auto"/>
            <w:noWrap/>
            <w:vAlign w:val="center"/>
            <w:hideMark/>
          </w:tcPr>
          <w:p w14:paraId="21BBE9B3" w14:textId="77777777" w:rsidR="006967AF" w:rsidRPr="00AB315F" w:rsidRDefault="006967AF" w:rsidP="00EC4A80">
            <w:pPr>
              <w:jc w:val="center"/>
              <w:rPr>
                <w:rFonts w:ascii="Calibri" w:hAnsi="Calibri"/>
                <w:sz w:val="22"/>
                <w:szCs w:val="22"/>
              </w:rPr>
            </w:pPr>
            <w:r w:rsidRPr="00AB315F">
              <w:rPr>
                <w:rFonts w:ascii="Calibri" w:hAnsi="Calibri"/>
                <w:sz w:val="22"/>
                <w:szCs w:val="22"/>
              </w:rPr>
              <w:t>0,458</w:t>
            </w:r>
          </w:p>
        </w:tc>
        <w:tc>
          <w:tcPr>
            <w:tcW w:w="960" w:type="dxa"/>
            <w:tcBorders>
              <w:top w:val="nil"/>
              <w:left w:val="single" w:sz="4" w:space="0" w:color="auto"/>
              <w:bottom w:val="nil"/>
              <w:right w:val="nil"/>
            </w:tcBorders>
            <w:shd w:val="clear" w:color="auto" w:fill="auto"/>
            <w:noWrap/>
            <w:vAlign w:val="center"/>
            <w:hideMark/>
          </w:tcPr>
          <w:p w14:paraId="41014414" w14:textId="77777777" w:rsidR="006967AF" w:rsidRPr="00AB315F" w:rsidRDefault="006967AF" w:rsidP="00EC4A80">
            <w:pPr>
              <w:jc w:val="center"/>
              <w:rPr>
                <w:rFonts w:ascii="Calibri" w:hAnsi="Calibri"/>
                <w:sz w:val="22"/>
                <w:szCs w:val="22"/>
              </w:rPr>
            </w:pPr>
            <w:r w:rsidRPr="00AB315F">
              <w:rPr>
                <w:rFonts w:ascii="Calibri" w:hAnsi="Calibri"/>
                <w:sz w:val="22"/>
                <w:szCs w:val="22"/>
              </w:rPr>
              <w:t>1,1</w:t>
            </w:r>
          </w:p>
        </w:tc>
        <w:tc>
          <w:tcPr>
            <w:tcW w:w="960" w:type="dxa"/>
            <w:tcBorders>
              <w:top w:val="nil"/>
              <w:left w:val="single" w:sz="4" w:space="0" w:color="auto"/>
              <w:bottom w:val="nil"/>
              <w:right w:val="nil"/>
            </w:tcBorders>
            <w:shd w:val="clear" w:color="auto" w:fill="auto"/>
            <w:noWrap/>
            <w:vAlign w:val="center"/>
            <w:hideMark/>
          </w:tcPr>
          <w:p w14:paraId="689D9B1D" w14:textId="77777777" w:rsidR="006967AF" w:rsidRPr="00AB315F" w:rsidRDefault="006967AF" w:rsidP="00EC4A80">
            <w:pPr>
              <w:jc w:val="center"/>
              <w:rPr>
                <w:rFonts w:ascii="Calibri" w:hAnsi="Calibri"/>
                <w:sz w:val="22"/>
                <w:szCs w:val="22"/>
              </w:rPr>
            </w:pPr>
            <w:r w:rsidRPr="00AB315F">
              <w:rPr>
                <w:rFonts w:ascii="Calibri" w:hAnsi="Calibri"/>
                <w:sz w:val="22"/>
                <w:szCs w:val="22"/>
              </w:rPr>
              <w:t>0,271</w:t>
            </w:r>
          </w:p>
        </w:tc>
      </w:tr>
      <w:tr w:rsidR="006967AF" w:rsidRPr="00AB315F" w14:paraId="33C3922F" w14:textId="77777777" w:rsidTr="001C63EB">
        <w:trPr>
          <w:trHeight w:val="290"/>
        </w:trPr>
        <w:tc>
          <w:tcPr>
            <w:tcW w:w="4700" w:type="dxa"/>
            <w:tcBorders>
              <w:top w:val="nil"/>
              <w:bottom w:val="single" w:sz="4" w:space="0" w:color="auto"/>
              <w:right w:val="nil"/>
            </w:tcBorders>
            <w:shd w:val="clear" w:color="auto" w:fill="auto"/>
            <w:vAlign w:val="center"/>
            <w:hideMark/>
          </w:tcPr>
          <w:p w14:paraId="26499FA1" w14:textId="77777777" w:rsidR="006967AF" w:rsidRPr="00AB315F" w:rsidRDefault="006967AF" w:rsidP="00EC4A80">
            <w:pPr>
              <w:jc w:val="center"/>
              <w:rPr>
                <w:rFonts w:ascii="Calibri" w:hAnsi="Calibri"/>
                <w:sz w:val="20"/>
                <w:szCs w:val="20"/>
              </w:rPr>
            </w:pPr>
            <w:r w:rsidRPr="00AB315F">
              <w:rPr>
                <w:rFonts w:ascii="Calibri" w:hAnsi="Calibri"/>
                <w:sz w:val="20"/>
                <w:szCs w:val="20"/>
              </w:rPr>
              <w:t>Acima de 65</w:t>
            </w:r>
          </w:p>
        </w:tc>
        <w:tc>
          <w:tcPr>
            <w:tcW w:w="960" w:type="dxa"/>
            <w:tcBorders>
              <w:top w:val="nil"/>
              <w:left w:val="single" w:sz="4" w:space="0" w:color="auto"/>
              <w:bottom w:val="single" w:sz="4" w:space="0" w:color="auto"/>
              <w:right w:val="nil"/>
            </w:tcBorders>
            <w:shd w:val="clear" w:color="auto" w:fill="auto"/>
            <w:noWrap/>
            <w:vAlign w:val="center"/>
            <w:hideMark/>
          </w:tcPr>
          <w:p w14:paraId="717DAB0B" w14:textId="77777777" w:rsidR="006967AF" w:rsidRPr="00AB315F" w:rsidRDefault="006967AF" w:rsidP="00EC4A80">
            <w:pPr>
              <w:jc w:val="center"/>
              <w:rPr>
                <w:rFonts w:ascii="Calibri" w:hAnsi="Calibri"/>
                <w:sz w:val="22"/>
                <w:szCs w:val="22"/>
              </w:rPr>
            </w:pPr>
            <w:r w:rsidRPr="00AB315F">
              <w:rPr>
                <w:rFonts w:ascii="Calibri" w:hAnsi="Calibri"/>
                <w:sz w:val="22"/>
                <w:szCs w:val="22"/>
              </w:rPr>
              <w:t>1,406</w:t>
            </w:r>
          </w:p>
        </w:tc>
        <w:tc>
          <w:tcPr>
            <w:tcW w:w="1112" w:type="dxa"/>
            <w:tcBorders>
              <w:top w:val="nil"/>
              <w:left w:val="single" w:sz="4" w:space="0" w:color="auto"/>
              <w:bottom w:val="single" w:sz="4" w:space="0" w:color="auto"/>
              <w:right w:val="nil"/>
            </w:tcBorders>
            <w:shd w:val="clear" w:color="auto" w:fill="auto"/>
            <w:noWrap/>
            <w:vAlign w:val="center"/>
            <w:hideMark/>
          </w:tcPr>
          <w:p w14:paraId="7D17BC3E" w14:textId="77777777" w:rsidR="006967AF" w:rsidRPr="00AB315F" w:rsidRDefault="006967AF" w:rsidP="00EC4A80">
            <w:pPr>
              <w:jc w:val="center"/>
              <w:rPr>
                <w:rFonts w:ascii="Calibri" w:hAnsi="Calibri"/>
                <w:sz w:val="22"/>
                <w:szCs w:val="22"/>
              </w:rPr>
            </w:pPr>
            <w:r w:rsidRPr="00AB315F">
              <w:rPr>
                <w:rFonts w:ascii="Calibri" w:hAnsi="Calibri"/>
                <w:sz w:val="22"/>
                <w:szCs w:val="22"/>
              </w:rPr>
              <w:t>0,563</w:t>
            </w:r>
          </w:p>
        </w:tc>
        <w:tc>
          <w:tcPr>
            <w:tcW w:w="960" w:type="dxa"/>
            <w:tcBorders>
              <w:top w:val="nil"/>
              <w:left w:val="single" w:sz="4" w:space="0" w:color="auto"/>
              <w:bottom w:val="single" w:sz="4" w:space="0" w:color="auto"/>
              <w:right w:val="nil"/>
            </w:tcBorders>
            <w:shd w:val="clear" w:color="auto" w:fill="auto"/>
            <w:noWrap/>
            <w:vAlign w:val="center"/>
            <w:hideMark/>
          </w:tcPr>
          <w:p w14:paraId="129D86B2" w14:textId="77777777" w:rsidR="006967AF" w:rsidRPr="00AB315F" w:rsidRDefault="006967AF" w:rsidP="00EC4A80">
            <w:pPr>
              <w:jc w:val="center"/>
              <w:rPr>
                <w:rFonts w:ascii="Calibri" w:hAnsi="Calibri"/>
                <w:sz w:val="22"/>
                <w:szCs w:val="22"/>
              </w:rPr>
            </w:pPr>
            <w:r w:rsidRPr="00AB315F">
              <w:rPr>
                <w:rFonts w:ascii="Calibri" w:hAnsi="Calibri"/>
                <w:sz w:val="22"/>
                <w:szCs w:val="22"/>
              </w:rPr>
              <w:t>0,85</w:t>
            </w:r>
          </w:p>
        </w:tc>
        <w:tc>
          <w:tcPr>
            <w:tcW w:w="960" w:type="dxa"/>
            <w:tcBorders>
              <w:top w:val="nil"/>
              <w:left w:val="single" w:sz="4" w:space="0" w:color="auto"/>
              <w:bottom w:val="single" w:sz="4" w:space="0" w:color="auto"/>
              <w:right w:val="nil"/>
            </w:tcBorders>
            <w:shd w:val="clear" w:color="auto" w:fill="auto"/>
            <w:noWrap/>
            <w:vAlign w:val="center"/>
            <w:hideMark/>
          </w:tcPr>
          <w:p w14:paraId="40450AFE" w14:textId="77777777" w:rsidR="006967AF" w:rsidRPr="00AB315F" w:rsidRDefault="006967AF" w:rsidP="00EC4A80">
            <w:pPr>
              <w:jc w:val="center"/>
              <w:rPr>
                <w:rFonts w:ascii="Calibri" w:hAnsi="Calibri"/>
                <w:sz w:val="22"/>
                <w:szCs w:val="22"/>
              </w:rPr>
            </w:pPr>
            <w:r w:rsidRPr="00AB315F">
              <w:rPr>
                <w:rFonts w:ascii="Calibri" w:hAnsi="Calibri"/>
                <w:sz w:val="22"/>
                <w:szCs w:val="22"/>
              </w:rPr>
              <w:t>0,396</w:t>
            </w:r>
          </w:p>
        </w:tc>
      </w:tr>
      <w:tr w:rsidR="006967AF" w:rsidRPr="00AB315F" w14:paraId="7AFDBF9B" w14:textId="77777777" w:rsidTr="001C63EB">
        <w:trPr>
          <w:trHeight w:val="290"/>
        </w:trPr>
        <w:tc>
          <w:tcPr>
            <w:tcW w:w="4700" w:type="dxa"/>
            <w:tcBorders>
              <w:top w:val="nil"/>
              <w:bottom w:val="nil"/>
              <w:right w:val="nil"/>
            </w:tcBorders>
            <w:shd w:val="clear" w:color="auto" w:fill="auto"/>
            <w:noWrap/>
            <w:vAlign w:val="center"/>
            <w:hideMark/>
          </w:tcPr>
          <w:p w14:paraId="70CBDBBB" w14:textId="77777777" w:rsidR="006967AF" w:rsidRPr="00AB315F" w:rsidRDefault="006967AF" w:rsidP="00EC4A80">
            <w:pPr>
              <w:jc w:val="center"/>
              <w:rPr>
                <w:rFonts w:ascii="Calibri" w:hAnsi="Calibri"/>
                <w:sz w:val="22"/>
                <w:szCs w:val="22"/>
              </w:rPr>
            </w:pPr>
            <w:r w:rsidRPr="00AB315F">
              <w:rPr>
                <w:rFonts w:ascii="Calibri" w:hAnsi="Calibri"/>
                <w:sz w:val="22"/>
                <w:szCs w:val="22"/>
              </w:rPr>
              <w:t>Escolaridade</w:t>
            </w:r>
          </w:p>
        </w:tc>
        <w:tc>
          <w:tcPr>
            <w:tcW w:w="960" w:type="dxa"/>
            <w:tcBorders>
              <w:top w:val="nil"/>
              <w:left w:val="single" w:sz="4" w:space="0" w:color="auto"/>
              <w:bottom w:val="nil"/>
              <w:right w:val="nil"/>
            </w:tcBorders>
            <w:shd w:val="clear" w:color="auto" w:fill="auto"/>
            <w:noWrap/>
            <w:vAlign w:val="center"/>
            <w:hideMark/>
          </w:tcPr>
          <w:p w14:paraId="57B979C9"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nil"/>
              <w:left w:val="single" w:sz="4" w:space="0" w:color="auto"/>
              <w:bottom w:val="nil"/>
              <w:right w:val="nil"/>
            </w:tcBorders>
            <w:shd w:val="clear" w:color="auto" w:fill="auto"/>
            <w:noWrap/>
            <w:vAlign w:val="center"/>
            <w:hideMark/>
          </w:tcPr>
          <w:p w14:paraId="018200BF"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73634200"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41E7F70F"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187BF4" w:rsidRPr="00AB315F" w14:paraId="275FBE87" w14:textId="77777777" w:rsidTr="001C63EB">
        <w:trPr>
          <w:trHeight w:val="290"/>
        </w:trPr>
        <w:tc>
          <w:tcPr>
            <w:tcW w:w="4700" w:type="dxa"/>
            <w:tcBorders>
              <w:top w:val="nil"/>
              <w:bottom w:val="nil"/>
              <w:right w:val="nil"/>
            </w:tcBorders>
            <w:shd w:val="clear" w:color="auto" w:fill="auto"/>
            <w:noWrap/>
            <w:vAlign w:val="center"/>
          </w:tcPr>
          <w:p w14:paraId="10A62255" w14:textId="22DFEA49" w:rsidR="00187BF4" w:rsidRPr="00AB315F" w:rsidRDefault="00187BF4" w:rsidP="00EC4A80">
            <w:pPr>
              <w:jc w:val="center"/>
              <w:rPr>
                <w:rFonts w:ascii="Calibri" w:hAnsi="Calibri"/>
                <w:sz w:val="22"/>
                <w:szCs w:val="22"/>
              </w:rPr>
            </w:pPr>
            <w:r>
              <w:rPr>
                <w:rFonts w:ascii="Calibri" w:hAnsi="Calibri"/>
                <w:sz w:val="22"/>
                <w:szCs w:val="22"/>
              </w:rPr>
              <w:t>Não sabe ler ou escrever</w:t>
            </w:r>
          </w:p>
        </w:tc>
        <w:tc>
          <w:tcPr>
            <w:tcW w:w="960" w:type="dxa"/>
            <w:tcBorders>
              <w:top w:val="nil"/>
              <w:left w:val="single" w:sz="4" w:space="0" w:color="auto"/>
              <w:bottom w:val="nil"/>
              <w:right w:val="nil"/>
            </w:tcBorders>
            <w:shd w:val="clear" w:color="auto" w:fill="auto"/>
            <w:noWrap/>
            <w:vAlign w:val="center"/>
          </w:tcPr>
          <w:p w14:paraId="507FCB7A" w14:textId="7000287E" w:rsidR="00187BF4" w:rsidRPr="00AB315F" w:rsidRDefault="00187BF4" w:rsidP="00EC4A80">
            <w:pPr>
              <w:jc w:val="center"/>
              <w:rPr>
                <w:rFonts w:ascii="Calibri" w:hAnsi="Calibri"/>
                <w:sz w:val="22"/>
                <w:szCs w:val="22"/>
              </w:rPr>
            </w:pPr>
            <w:r>
              <w:rPr>
                <w:rFonts w:ascii="Calibri" w:hAnsi="Calibri"/>
                <w:sz w:val="22"/>
                <w:szCs w:val="22"/>
              </w:rPr>
              <w:t>1 (ref.)</w:t>
            </w:r>
          </w:p>
        </w:tc>
        <w:tc>
          <w:tcPr>
            <w:tcW w:w="1112" w:type="dxa"/>
            <w:tcBorders>
              <w:top w:val="nil"/>
              <w:left w:val="single" w:sz="4" w:space="0" w:color="auto"/>
              <w:bottom w:val="nil"/>
              <w:right w:val="nil"/>
            </w:tcBorders>
            <w:shd w:val="clear" w:color="auto" w:fill="auto"/>
            <w:noWrap/>
            <w:vAlign w:val="center"/>
          </w:tcPr>
          <w:p w14:paraId="51ADF4CA" w14:textId="77777777" w:rsidR="00187BF4" w:rsidRPr="00AB315F" w:rsidRDefault="00187BF4" w:rsidP="00EC4A80">
            <w:pPr>
              <w:jc w:val="center"/>
              <w:rPr>
                <w:rFonts w:ascii="Calibri" w:hAnsi="Calibri"/>
                <w:sz w:val="22"/>
                <w:szCs w:val="22"/>
              </w:rPr>
            </w:pPr>
          </w:p>
        </w:tc>
        <w:tc>
          <w:tcPr>
            <w:tcW w:w="960" w:type="dxa"/>
            <w:tcBorders>
              <w:top w:val="nil"/>
              <w:left w:val="single" w:sz="4" w:space="0" w:color="auto"/>
              <w:bottom w:val="nil"/>
              <w:right w:val="nil"/>
            </w:tcBorders>
            <w:shd w:val="clear" w:color="auto" w:fill="auto"/>
            <w:noWrap/>
            <w:vAlign w:val="center"/>
          </w:tcPr>
          <w:p w14:paraId="1994D1B0" w14:textId="77777777" w:rsidR="00187BF4" w:rsidRPr="00AB315F" w:rsidRDefault="00187BF4" w:rsidP="00EC4A80">
            <w:pPr>
              <w:jc w:val="center"/>
              <w:rPr>
                <w:rFonts w:ascii="Calibri" w:hAnsi="Calibri"/>
                <w:sz w:val="22"/>
                <w:szCs w:val="22"/>
              </w:rPr>
            </w:pPr>
          </w:p>
        </w:tc>
        <w:tc>
          <w:tcPr>
            <w:tcW w:w="960" w:type="dxa"/>
            <w:tcBorders>
              <w:top w:val="nil"/>
              <w:left w:val="single" w:sz="4" w:space="0" w:color="auto"/>
              <w:bottom w:val="nil"/>
              <w:right w:val="nil"/>
            </w:tcBorders>
            <w:shd w:val="clear" w:color="auto" w:fill="auto"/>
            <w:noWrap/>
            <w:vAlign w:val="center"/>
          </w:tcPr>
          <w:p w14:paraId="7D3CFA6A" w14:textId="77777777" w:rsidR="00187BF4" w:rsidRPr="00AB315F" w:rsidRDefault="00187BF4" w:rsidP="00EC4A80">
            <w:pPr>
              <w:jc w:val="center"/>
              <w:rPr>
                <w:rFonts w:ascii="Calibri" w:hAnsi="Calibri"/>
                <w:sz w:val="22"/>
                <w:szCs w:val="22"/>
              </w:rPr>
            </w:pPr>
          </w:p>
        </w:tc>
      </w:tr>
      <w:tr w:rsidR="006967AF" w:rsidRPr="00AB315F" w14:paraId="0BBF779A" w14:textId="77777777" w:rsidTr="001C63EB">
        <w:trPr>
          <w:trHeight w:val="290"/>
        </w:trPr>
        <w:tc>
          <w:tcPr>
            <w:tcW w:w="4700" w:type="dxa"/>
            <w:tcBorders>
              <w:top w:val="nil"/>
              <w:bottom w:val="nil"/>
              <w:right w:val="nil"/>
            </w:tcBorders>
            <w:shd w:val="clear" w:color="auto" w:fill="auto"/>
            <w:vAlign w:val="center"/>
            <w:hideMark/>
          </w:tcPr>
          <w:p w14:paraId="73AC903F" w14:textId="77777777" w:rsidR="006967AF" w:rsidRPr="00AB315F" w:rsidRDefault="006967AF" w:rsidP="00EC4A80">
            <w:pPr>
              <w:jc w:val="center"/>
              <w:rPr>
                <w:rFonts w:ascii="Calibri" w:hAnsi="Calibri"/>
                <w:sz w:val="20"/>
                <w:szCs w:val="20"/>
              </w:rPr>
            </w:pPr>
            <w:r w:rsidRPr="00AB315F">
              <w:rPr>
                <w:rFonts w:ascii="Calibri" w:hAnsi="Calibri"/>
                <w:sz w:val="20"/>
                <w:szCs w:val="20"/>
              </w:rPr>
              <w:t>Primário compelto/imcompleto</w:t>
            </w:r>
          </w:p>
        </w:tc>
        <w:tc>
          <w:tcPr>
            <w:tcW w:w="960" w:type="dxa"/>
            <w:tcBorders>
              <w:top w:val="nil"/>
              <w:left w:val="single" w:sz="4" w:space="0" w:color="auto"/>
              <w:bottom w:val="nil"/>
              <w:right w:val="nil"/>
            </w:tcBorders>
            <w:shd w:val="clear" w:color="auto" w:fill="auto"/>
            <w:noWrap/>
            <w:vAlign w:val="center"/>
            <w:hideMark/>
          </w:tcPr>
          <w:p w14:paraId="3E26B34D" w14:textId="77777777" w:rsidR="006967AF" w:rsidRPr="00AB315F" w:rsidRDefault="006967AF" w:rsidP="00EC4A80">
            <w:pPr>
              <w:jc w:val="center"/>
              <w:rPr>
                <w:rFonts w:ascii="Calibri" w:hAnsi="Calibri"/>
                <w:sz w:val="22"/>
                <w:szCs w:val="22"/>
              </w:rPr>
            </w:pPr>
            <w:r w:rsidRPr="00AB315F">
              <w:rPr>
                <w:rFonts w:ascii="Calibri" w:hAnsi="Calibri"/>
                <w:sz w:val="22"/>
                <w:szCs w:val="22"/>
              </w:rPr>
              <w:t>0,749</w:t>
            </w:r>
          </w:p>
        </w:tc>
        <w:tc>
          <w:tcPr>
            <w:tcW w:w="1112" w:type="dxa"/>
            <w:tcBorders>
              <w:top w:val="nil"/>
              <w:left w:val="single" w:sz="4" w:space="0" w:color="auto"/>
              <w:bottom w:val="nil"/>
              <w:right w:val="nil"/>
            </w:tcBorders>
            <w:shd w:val="clear" w:color="auto" w:fill="auto"/>
            <w:noWrap/>
            <w:vAlign w:val="center"/>
            <w:hideMark/>
          </w:tcPr>
          <w:p w14:paraId="6DB978E5" w14:textId="77777777" w:rsidR="006967AF" w:rsidRPr="00AB315F" w:rsidRDefault="006967AF" w:rsidP="00EC4A80">
            <w:pPr>
              <w:jc w:val="center"/>
              <w:rPr>
                <w:rFonts w:ascii="Calibri" w:hAnsi="Calibri"/>
                <w:sz w:val="22"/>
                <w:szCs w:val="22"/>
              </w:rPr>
            </w:pPr>
            <w:r w:rsidRPr="00AB315F">
              <w:rPr>
                <w:rFonts w:ascii="Calibri" w:hAnsi="Calibri"/>
                <w:sz w:val="22"/>
                <w:szCs w:val="22"/>
              </w:rPr>
              <w:t>0,329</w:t>
            </w:r>
          </w:p>
        </w:tc>
        <w:tc>
          <w:tcPr>
            <w:tcW w:w="960" w:type="dxa"/>
            <w:tcBorders>
              <w:top w:val="nil"/>
              <w:left w:val="single" w:sz="4" w:space="0" w:color="auto"/>
              <w:bottom w:val="nil"/>
              <w:right w:val="nil"/>
            </w:tcBorders>
            <w:shd w:val="clear" w:color="auto" w:fill="auto"/>
            <w:noWrap/>
            <w:vAlign w:val="center"/>
            <w:hideMark/>
          </w:tcPr>
          <w:p w14:paraId="7F5FE6EB" w14:textId="77777777" w:rsidR="006967AF" w:rsidRPr="00AB315F" w:rsidRDefault="006967AF" w:rsidP="00EC4A80">
            <w:pPr>
              <w:jc w:val="center"/>
              <w:rPr>
                <w:rFonts w:ascii="Calibri" w:hAnsi="Calibri"/>
                <w:sz w:val="22"/>
                <w:szCs w:val="22"/>
              </w:rPr>
            </w:pPr>
            <w:r w:rsidRPr="00AB315F">
              <w:rPr>
                <w:rFonts w:ascii="Calibri" w:hAnsi="Calibri"/>
                <w:sz w:val="22"/>
                <w:szCs w:val="22"/>
              </w:rPr>
              <w:t>-0,66</w:t>
            </w:r>
          </w:p>
        </w:tc>
        <w:tc>
          <w:tcPr>
            <w:tcW w:w="960" w:type="dxa"/>
            <w:tcBorders>
              <w:top w:val="nil"/>
              <w:left w:val="single" w:sz="4" w:space="0" w:color="auto"/>
              <w:bottom w:val="nil"/>
              <w:right w:val="nil"/>
            </w:tcBorders>
            <w:shd w:val="clear" w:color="auto" w:fill="auto"/>
            <w:noWrap/>
            <w:vAlign w:val="center"/>
            <w:hideMark/>
          </w:tcPr>
          <w:p w14:paraId="1D2ABDC9" w14:textId="77777777" w:rsidR="006967AF" w:rsidRPr="00AB315F" w:rsidRDefault="006967AF" w:rsidP="00EC4A80">
            <w:pPr>
              <w:jc w:val="center"/>
              <w:rPr>
                <w:rFonts w:ascii="Calibri" w:hAnsi="Calibri"/>
                <w:sz w:val="22"/>
                <w:szCs w:val="22"/>
              </w:rPr>
            </w:pPr>
            <w:r w:rsidRPr="00AB315F">
              <w:rPr>
                <w:rFonts w:ascii="Calibri" w:hAnsi="Calibri"/>
                <w:sz w:val="22"/>
                <w:szCs w:val="22"/>
              </w:rPr>
              <w:t>0,511</w:t>
            </w:r>
          </w:p>
        </w:tc>
      </w:tr>
      <w:tr w:rsidR="006967AF" w:rsidRPr="00AB315F" w14:paraId="42A13F9E" w14:textId="77777777" w:rsidTr="001C63EB">
        <w:trPr>
          <w:trHeight w:val="290"/>
        </w:trPr>
        <w:tc>
          <w:tcPr>
            <w:tcW w:w="4700" w:type="dxa"/>
            <w:tcBorders>
              <w:top w:val="nil"/>
              <w:bottom w:val="nil"/>
              <w:right w:val="nil"/>
            </w:tcBorders>
            <w:shd w:val="clear" w:color="auto" w:fill="auto"/>
            <w:vAlign w:val="center"/>
            <w:hideMark/>
          </w:tcPr>
          <w:p w14:paraId="4B5C0F88" w14:textId="77777777" w:rsidR="006967AF" w:rsidRPr="00AB315F" w:rsidRDefault="006967AF" w:rsidP="00EC4A80">
            <w:pPr>
              <w:jc w:val="center"/>
              <w:rPr>
                <w:rFonts w:ascii="Calibri" w:hAnsi="Calibri"/>
                <w:sz w:val="20"/>
                <w:szCs w:val="20"/>
              </w:rPr>
            </w:pPr>
            <w:r w:rsidRPr="00AB315F">
              <w:rPr>
                <w:rFonts w:ascii="Calibri" w:hAnsi="Calibri"/>
                <w:sz w:val="20"/>
                <w:szCs w:val="20"/>
              </w:rPr>
              <w:t>Fundamenta complo/incompleto</w:t>
            </w:r>
          </w:p>
        </w:tc>
        <w:tc>
          <w:tcPr>
            <w:tcW w:w="960" w:type="dxa"/>
            <w:tcBorders>
              <w:top w:val="nil"/>
              <w:left w:val="single" w:sz="4" w:space="0" w:color="auto"/>
              <w:bottom w:val="nil"/>
              <w:right w:val="nil"/>
            </w:tcBorders>
            <w:shd w:val="clear" w:color="auto" w:fill="auto"/>
            <w:noWrap/>
            <w:vAlign w:val="center"/>
            <w:hideMark/>
          </w:tcPr>
          <w:p w14:paraId="25CCC447" w14:textId="77777777" w:rsidR="006967AF" w:rsidRPr="00AB315F" w:rsidRDefault="006967AF" w:rsidP="00EC4A80">
            <w:pPr>
              <w:jc w:val="center"/>
              <w:rPr>
                <w:rFonts w:ascii="Calibri" w:hAnsi="Calibri"/>
                <w:sz w:val="22"/>
                <w:szCs w:val="22"/>
              </w:rPr>
            </w:pPr>
            <w:r w:rsidRPr="00AB315F">
              <w:rPr>
                <w:rFonts w:ascii="Calibri" w:hAnsi="Calibri"/>
                <w:sz w:val="22"/>
                <w:szCs w:val="22"/>
              </w:rPr>
              <w:t>0,968</w:t>
            </w:r>
          </w:p>
        </w:tc>
        <w:tc>
          <w:tcPr>
            <w:tcW w:w="1112" w:type="dxa"/>
            <w:tcBorders>
              <w:top w:val="nil"/>
              <w:left w:val="single" w:sz="4" w:space="0" w:color="auto"/>
              <w:bottom w:val="nil"/>
              <w:right w:val="nil"/>
            </w:tcBorders>
            <w:shd w:val="clear" w:color="auto" w:fill="auto"/>
            <w:noWrap/>
            <w:vAlign w:val="center"/>
            <w:hideMark/>
          </w:tcPr>
          <w:p w14:paraId="3B92928A" w14:textId="77777777" w:rsidR="006967AF" w:rsidRPr="00AB315F" w:rsidRDefault="006967AF" w:rsidP="00EC4A80">
            <w:pPr>
              <w:jc w:val="center"/>
              <w:rPr>
                <w:rFonts w:ascii="Calibri" w:hAnsi="Calibri"/>
                <w:sz w:val="22"/>
                <w:szCs w:val="22"/>
              </w:rPr>
            </w:pPr>
            <w:r w:rsidRPr="00AB315F">
              <w:rPr>
                <w:rFonts w:ascii="Calibri" w:hAnsi="Calibri"/>
                <w:sz w:val="22"/>
                <w:szCs w:val="22"/>
              </w:rPr>
              <w:t>0,455</w:t>
            </w:r>
          </w:p>
        </w:tc>
        <w:tc>
          <w:tcPr>
            <w:tcW w:w="960" w:type="dxa"/>
            <w:tcBorders>
              <w:top w:val="nil"/>
              <w:left w:val="single" w:sz="4" w:space="0" w:color="auto"/>
              <w:bottom w:val="nil"/>
              <w:right w:val="nil"/>
            </w:tcBorders>
            <w:shd w:val="clear" w:color="auto" w:fill="auto"/>
            <w:noWrap/>
            <w:vAlign w:val="center"/>
            <w:hideMark/>
          </w:tcPr>
          <w:p w14:paraId="010C7B33" w14:textId="77777777" w:rsidR="006967AF" w:rsidRPr="00AB315F" w:rsidRDefault="006967AF" w:rsidP="00EC4A80">
            <w:pPr>
              <w:jc w:val="center"/>
              <w:rPr>
                <w:rFonts w:ascii="Calibri" w:hAnsi="Calibri"/>
                <w:sz w:val="22"/>
                <w:szCs w:val="22"/>
              </w:rPr>
            </w:pPr>
            <w:r w:rsidRPr="00AB315F">
              <w:rPr>
                <w:rFonts w:ascii="Calibri" w:hAnsi="Calibri"/>
                <w:sz w:val="22"/>
                <w:szCs w:val="22"/>
              </w:rPr>
              <w:t>-0,07</w:t>
            </w:r>
          </w:p>
        </w:tc>
        <w:tc>
          <w:tcPr>
            <w:tcW w:w="960" w:type="dxa"/>
            <w:tcBorders>
              <w:top w:val="nil"/>
              <w:left w:val="single" w:sz="4" w:space="0" w:color="auto"/>
              <w:bottom w:val="nil"/>
              <w:right w:val="nil"/>
            </w:tcBorders>
            <w:shd w:val="clear" w:color="auto" w:fill="auto"/>
            <w:noWrap/>
            <w:vAlign w:val="center"/>
            <w:hideMark/>
          </w:tcPr>
          <w:p w14:paraId="56DEF671" w14:textId="77777777" w:rsidR="006967AF" w:rsidRPr="00AB315F" w:rsidRDefault="006967AF" w:rsidP="00EC4A80">
            <w:pPr>
              <w:jc w:val="center"/>
              <w:rPr>
                <w:rFonts w:ascii="Calibri" w:hAnsi="Calibri"/>
                <w:sz w:val="22"/>
                <w:szCs w:val="22"/>
              </w:rPr>
            </w:pPr>
            <w:r w:rsidRPr="00AB315F">
              <w:rPr>
                <w:rFonts w:ascii="Calibri" w:hAnsi="Calibri"/>
                <w:sz w:val="22"/>
                <w:szCs w:val="22"/>
              </w:rPr>
              <w:t>0,945</w:t>
            </w:r>
          </w:p>
        </w:tc>
      </w:tr>
      <w:tr w:rsidR="006967AF" w:rsidRPr="00AB315F" w14:paraId="6F8083E8" w14:textId="77777777" w:rsidTr="001C63EB">
        <w:trPr>
          <w:trHeight w:val="290"/>
        </w:trPr>
        <w:tc>
          <w:tcPr>
            <w:tcW w:w="4700" w:type="dxa"/>
            <w:tcBorders>
              <w:top w:val="nil"/>
              <w:bottom w:val="nil"/>
              <w:right w:val="nil"/>
            </w:tcBorders>
            <w:shd w:val="clear" w:color="auto" w:fill="auto"/>
            <w:vAlign w:val="center"/>
            <w:hideMark/>
          </w:tcPr>
          <w:p w14:paraId="3F126B49" w14:textId="77777777" w:rsidR="006967AF" w:rsidRPr="00AB315F" w:rsidRDefault="006967AF" w:rsidP="00EC4A80">
            <w:pPr>
              <w:jc w:val="center"/>
              <w:rPr>
                <w:rFonts w:ascii="Calibri" w:hAnsi="Calibri"/>
                <w:sz w:val="20"/>
                <w:szCs w:val="20"/>
              </w:rPr>
            </w:pPr>
            <w:r w:rsidRPr="00AB315F">
              <w:rPr>
                <w:rFonts w:ascii="Calibri" w:hAnsi="Calibri"/>
                <w:sz w:val="20"/>
                <w:szCs w:val="20"/>
              </w:rPr>
              <w:t>Ens. Médio completo/incompleto</w:t>
            </w:r>
          </w:p>
        </w:tc>
        <w:tc>
          <w:tcPr>
            <w:tcW w:w="960" w:type="dxa"/>
            <w:tcBorders>
              <w:top w:val="nil"/>
              <w:left w:val="single" w:sz="4" w:space="0" w:color="auto"/>
              <w:bottom w:val="nil"/>
              <w:right w:val="nil"/>
            </w:tcBorders>
            <w:shd w:val="clear" w:color="auto" w:fill="auto"/>
            <w:noWrap/>
            <w:vAlign w:val="center"/>
            <w:hideMark/>
          </w:tcPr>
          <w:p w14:paraId="40AAB606" w14:textId="77777777" w:rsidR="006967AF" w:rsidRPr="00AB315F" w:rsidRDefault="006967AF" w:rsidP="00EC4A80">
            <w:pPr>
              <w:jc w:val="center"/>
              <w:rPr>
                <w:rFonts w:ascii="Calibri" w:hAnsi="Calibri"/>
                <w:sz w:val="22"/>
                <w:szCs w:val="22"/>
              </w:rPr>
            </w:pPr>
            <w:r w:rsidRPr="00AB315F">
              <w:rPr>
                <w:rFonts w:ascii="Calibri" w:hAnsi="Calibri"/>
                <w:sz w:val="22"/>
                <w:szCs w:val="22"/>
              </w:rPr>
              <w:t>0,966</w:t>
            </w:r>
          </w:p>
        </w:tc>
        <w:tc>
          <w:tcPr>
            <w:tcW w:w="1112" w:type="dxa"/>
            <w:tcBorders>
              <w:top w:val="nil"/>
              <w:left w:val="single" w:sz="4" w:space="0" w:color="auto"/>
              <w:bottom w:val="nil"/>
              <w:right w:val="nil"/>
            </w:tcBorders>
            <w:shd w:val="clear" w:color="auto" w:fill="auto"/>
            <w:noWrap/>
            <w:vAlign w:val="center"/>
            <w:hideMark/>
          </w:tcPr>
          <w:p w14:paraId="7015CA3C" w14:textId="77777777" w:rsidR="006967AF" w:rsidRPr="00AB315F" w:rsidRDefault="006967AF" w:rsidP="00EC4A80">
            <w:pPr>
              <w:jc w:val="center"/>
              <w:rPr>
                <w:rFonts w:ascii="Calibri" w:hAnsi="Calibri"/>
                <w:sz w:val="22"/>
                <w:szCs w:val="22"/>
              </w:rPr>
            </w:pPr>
            <w:r w:rsidRPr="00AB315F">
              <w:rPr>
                <w:rFonts w:ascii="Calibri" w:hAnsi="Calibri"/>
                <w:sz w:val="22"/>
                <w:szCs w:val="22"/>
              </w:rPr>
              <w:t>0,462</w:t>
            </w:r>
          </w:p>
        </w:tc>
        <w:tc>
          <w:tcPr>
            <w:tcW w:w="960" w:type="dxa"/>
            <w:tcBorders>
              <w:top w:val="nil"/>
              <w:left w:val="single" w:sz="4" w:space="0" w:color="auto"/>
              <w:bottom w:val="nil"/>
              <w:right w:val="nil"/>
            </w:tcBorders>
            <w:shd w:val="clear" w:color="auto" w:fill="auto"/>
            <w:noWrap/>
            <w:vAlign w:val="center"/>
            <w:hideMark/>
          </w:tcPr>
          <w:p w14:paraId="0EFC59A2" w14:textId="77777777" w:rsidR="006967AF" w:rsidRPr="00AB315F" w:rsidRDefault="006967AF" w:rsidP="00EC4A80">
            <w:pPr>
              <w:jc w:val="center"/>
              <w:rPr>
                <w:rFonts w:ascii="Calibri" w:hAnsi="Calibri"/>
                <w:sz w:val="22"/>
                <w:szCs w:val="22"/>
              </w:rPr>
            </w:pPr>
            <w:r w:rsidRPr="00AB315F">
              <w:rPr>
                <w:rFonts w:ascii="Calibri" w:hAnsi="Calibri"/>
                <w:sz w:val="22"/>
                <w:szCs w:val="22"/>
              </w:rPr>
              <w:t>-0,07</w:t>
            </w:r>
          </w:p>
        </w:tc>
        <w:tc>
          <w:tcPr>
            <w:tcW w:w="960" w:type="dxa"/>
            <w:tcBorders>
              <w:top w:val="nil"/>
              <w:left w:val="single" w:sz="4" w:space="0" w:color="auto"/>
              <w:bottom w:val="nil"/>
              <w:right w:val="nil"/>
            </w:tcBorders>
            <w:shd w:val="clear" w:color="auto" w:fill="auto"/>
            <w:noWrap/>
            <w:vAlign w:val="center"/>
            <w:hideMark/>
          </w:tcPr>
          <w:p w14:paraId="02075CD2" w14:textId="77777777" w:rsidR="006967AF" w:rsidRPr="00AB315F" w:rsidRDefault="006967AF" w:rsidP="00EC4A80">
            <w:pPr>
              <w:jc w:val="center"/>
              <w:rPr>
                <w:rFonts w:ascii="Calibri" w:hAnsi="Calibri"/>
                <w:sz w:val="22"/>
                <w:szCs w:val="22"/>
              </w:rPr>
            </w:pPr>
            <w:r w:rsidRPr="00AB315F">
              <w:rPr>
                <w:rFonts w:ascii="Calibri" w:hAnsi="Calibri"/>
                <w:sz w:val="22"/>
                <w:szCs w:val="22"/>
              </w:rPr>
              <w:t>0,943</w:t>
            </w:r>
          </w:p>
        </w:tc>
      </w:tr>
      <w:tr w:rsidR="006967AF" w:rsidRPr="00AB315F" w14:paraId="1DEC77BE" w14:textId="77777777" w:rsidTr="001C63EB">
        <w:trPr>
          <w:trHeight w:val="290"/>
        </w:trPr>
        <w:tc>
          <w:tcPr>
            <w:tcW w:w="4700" w:type="dxa"/>
            <w:tcBorders>
              <w:top w:val="nil"/>
              <w:bottom w:val="single" w:sz="4" w:space="0" w:color="auto"/>
              <w:right w:val="nil"/>
            </w:tcBorders>
            <w:shd w:val="clear" w:color="auto" w:fill="auto"/>
            <w:vAlign w:val="center"/>
            <w:hideMark/>
          </w:tcPr>
          <w:p w14:paraId="30514E26" w14:textId="77777777" w:rsidR="006967AF" w:rsidRPr="00AB315F" w:rsidRDefault="006967AF" w:rsidP="00EC4A80">
            <w:pPr>
              <w:jc w:val="center"/>
              <w:rPr>
                <w:rFonts w:ascii="Calibri" w:hAnsi="Calibri"/>
                <w:sz w:val="20"/>
                <w:szCs w:val="20"/>
              </w:rPr>
            </w:pPr>
            <w:r w:rsidRPr="00AB315F">
              <w:rPr>
                <w:rFonts w:ascii="Calibri" w:hAnsi="Calibri"/>
                <w:sz w:val="20"/>
                <w:szCs w:val="20"/>
              </w:rPr>
              <w:t>Sueprior completo/incompleto</w:t>
            </w:r>
          </w:p>
        </w:tc>
        <w:tc>
          <w:tcPr>
            <w:tcW w:w="960" w:type="dxa"/>
            <w:tcBorders>
              <w:top w:val="nil"/>
              <w:left w:val="single" w:sz="4" w:space="0" w:color="auto"/>
              <w:bottom w:val="single" w:sz="4" w:space="0" w:color="auto"/>
              <w:right w:val="nil"/>
            </w:tcBorders>
            <w:shd w:val="clear" w:color="auto" w:fill="auto"/>
            <w:noWrap/>
            <w:vAlign w:val="center"/>
            <w:hideMark/>
          </w:tcPr>
          <w:p w14:paraId="3A2FE3BE" w14:textId="77777777" w:rsidR="006967AF" w:rsidRPr="00AB315F" w:rsidRDefault="006967AF" w:rsidP="00EC4A80">
            <w:pPr>
              <w:jc w:val="center"/>
              <w:rPr>
                <w:rFonts w:ascii="Calibri" w:hAnsi="Calibri"/>
                <w:sz w:val="22"/>
                <w:szCs w:val="22"/>
              </w:rPr>
            </w:pPr>
            <w:r w:rsidRPr="00AB315F">
              <w:rPr>
                <w:rFonts w:ascii="Calibri" w:hAnsi="Calibri"/>
                <w:sz w:val="22"/>
                <w:szCs w:val="22"/>
              </w:rPr>
              <w:t>1,451</w:t>
            </w:r>
          </w:p>
        </w:tc>
        <w:tc>
          <w:tcPr>
            <w:tcW w:w="1112" w:type="dxa"/>
            <w:tcBorders>
              <w:top w:val="nil"/>
              <w:left w:val="single" w:sz="4" w:space="0" w:color="auto"/>
              <w:bottom w:val="single" w:sz="4" w:space="0" w:color="auto"/>
              <w:right w:val="nil"/>
            </w:tcBorders>
            <w:shd w:val="clear" w:color="auto" w:fill="auto"/>
            <w:noWrap/>
            <w:vAlign w:val="center"/>
            <w:hideMark/>
          </w:tcPr>
          <w:p w14:paraId="5A40C4FE" w14:textId="77777777" w:rsidR="006967AF" w:rsidRPr="00AB315F" w:rsidRDefault="006967AF" w:rsidP="00EC4A80">
            <w:pPr>
              <w:jc w:val="center"/>
              <w:rPr>
                <w:rFonts w:ascii="Calibri" w:hAnsi="Calibri"/>
                <w:sz w:val="22"/>
                <w:szCs w:val="22"/>
              </w:rPr>
            </w:pPr>
            <w:r w:rsidRPr="00AB315F">
              <w:rPr>
                <w:rFonts w:ascii="Calibri" w:hAnsi="Calibri"/>
                <w:sz w:val="22"/>
                <w:szCs w:val="22"/>
              </w:rPr>
              <w:t>0,888</w:t>
            </w:r>
          </w:p>
        </w:tc>
        <w:tc>
          <w:tcPr>
            <w:tcW w:w="960" w:type="dxa"/>
            <w:tcBorders>
              <w:top w:val="nil"/>
              <w:left w:val="single" w:sz="4" w:space="0" w:color="auto"/>
              <w:bottom w:val="single" w:sz="4" w:space="0" w:color="auto"/>
              <w:right w:val="nil"/>
            </w:tcBorders>
            <w:shd w:val="clear" w:color="auto" w:fill="auto"/>
            <w:noWrap/>
            <w:vAlign w:val="center"/>
            <w:hideMark/>
          </w:tcPr>
          <w:p w14:paraId="01D21D5E" w14:textId="77777777" w:rsidR="006967AF" w:rsidRPr="00AB315F" w:rsidRDefault="006967AF" w:rsidP="00EC4A80">
            <w:pPr>
              <w:jc w:val="center"/>
              <w:rPr>
                <w:rFonts w:ascii="Calibri" w:hAnsi="Calibri"/>
                <w:sz w:val="22"/>
                <w:szCs w:val="22"/>
              </w:rPr>
            </w:pPr>
            <w:r w:rsidRPr="00AB315F">
              <w:rPr>
                <w:rFonts w:ascii="Calibri" w:hAnsi="Calibri"/>
                <w:sz w:val="22"/>
                <w:szCs w:val="22"/>
              </w:rPr>
              <w:t>0,61</w:t>
            </w:r>
          </w:p>
        </w:tc>
        <w:tc>
          <w:tcPr>
            <w:tcW w:w="960" w:type="dxa"/>
            <w:tcBorders>
              <w:top w:val="nil"/>
              <w:left w:val="single" w:sz="4" w:space="0" w:color="auto"/>
              <w:bottom w:val="single" w:sz="4" w:space="0" w:color="auto"/>
              <w:right w:val="nil"/>
            </w:tcBorders>
            <w:shd w:val="clear" w:color="auto" w:fill="auto"/>
            <w:noWrap/>
            <w:vAlign w:val="center"/>
            <w:hideMark/>
          </w:tcPr>
          <w:p w14:paraId="74BD517F" w14:textId="77777777" w:rsidR="006967AF" w:rsidRPr="00AB315F" w:rsidRDefault="006967AF" w:rsidP="00EC4A80">
            <w:pPr>
              <w:jc w:val="center"/>
              <w:rPr>
                <w:rFonts w:ascii="Calibri" w:hAnsi="Calibri"/>
                <w:sz w:val="22"/>
                <w:szCs w:val="22"/>
              </w:rPr>
            </w:pPr>
            <w:r w:rsidRPr="00AB315F">
              <w:rPr>
                <w:rFonts w:ascii="Calibri" w:hAnsi="Calibri"/>
                <w:sz w:val="22"/>
                <w:szCs w:val="22"/>
              </w:rPr>
              <w:t>0,543</w:t>
            </w:r>
          </w:p>
        </w:tc>
      </w:tr>
      <w:tr w:rsidR="006967AF" w:rsidRPr="00AB315F" w14:paraId="24F4D901" w14:textId="77777777" w:rsidTr="001C63EB">
        <w:trPr>
          <w:trHeight w:val="290"/>
        </w:trPr>
        <w:tc>
          <w:tcPr>
            <w:tcW w:w="4700" w:type="dxa"/>
            <w:tcBorders>
              <w:top w:val="nil"/>
              <w:bottom w:val="nil"/>
              <w:right w:val="nil"/>
            </w:tcBorders>
            <w:shd w:val="clear" w:color="auto" w:fill="auto"/>
            <w:noWrap/>
            <w:vAlign w:val="center"/>
            <w:hideMark/>
          </w:tcPr>
          <w:p w14:paraId="13BA6F25" w14:textId="77777777" w:rsidR="006967AF" w:rsidRPr="00AB315F" w:rsidRDefault="006967AF" w:rsidP="00EC4A80">
            <w:pPr>
              <w:jc w:val="center"/>
              <w:rPr>
                <w:rFonts w:ascii="Calibri" w:hAnsi="Calibri"/>
                <w:sz w:val="22"/>
                <w:szCs w:val="22"/>
              </w:rPr>
            </w:pPr>
            <w:r w:rsidRPr="00AB315F">
              <w:rPr>
                <w:rFonts w:ascii="Calibri" w:hAnsi="Calibri"/>
                <w:sz w:val="22"/>
                <w:szCs w:val="22"/>
              </w:rPr>
              <w:t>Situação financeira pessoal</w:t>
            </w:r>
          </w:p>
        </w:tc>
        <w:tc>
          <w:tcPr>
            <w:tcW w:w="960" w:type="dxa"/>
            <w:tcBorders>
              <w:top w:val="nil"/>
              <w:left w:val="single" w:sz="4" w:space="0" w:color="auto"/>
              <w:bottom w:val="nil"/>
              <w:right w:val="nil"/>
            </w:tcBorders>
            <w:shd w:val="clear" w:color="auto" w:fill="auto"/>
            <w:noWrap/>
            <w:vAlign w:val="center"/>
            <w:hideMark/>
          </w:tcPr>
          <w:p w14:paraId="72469DFA"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nil"/>
              <w:left w:val="single" w:sz="4" w:space="0" w:color="auto"/>
              <w:bottom w:val="nil"/>
              <w:right w:val="nil"/>
            </w:tcBorders>
            <w:shd w:val="clear" w:color="auto" w:fill="auto"/>
            <w:noWrap/>
            <w:vAlign w:val="center"/>
            <w:hideMark/>
          </w:tcPr>
          <w:p w14:paraId="1A278139"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789535DB"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0F3FFDB6"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187BF4" w:rsidRPr="00AB315F" w14:paraId="00800E66" w14:textId="77777777" w:rsidTr="001C63EB">
        <w:trPr>
          <w:trHeight w:val="290"/>
        </w:trPr>
        <w:tc>
          <w:tcPr>
            <w:tcW w:w="4700" w:type="dxa"/>
            <w:tcBorders>
              <w:top w:val="nil"/>
              <w:bottom w:val="nil"/>
              <w:right w:val="nil"/>
            </w:tcBorders>
            <w:shd w:val="clear" w:color="auto" w:fill="auto"/>
            <w:noWrap/>
            <w:vAlign w:val="center"/>
          </w:tcPr>
          <w:p w14:paraId="41EF7835" w14:textId="355CA63A" w:rsidR="00187BF4" w:rsidRPr="00AB315F" w:rsidRDefault="00187BF4" w:rsidP="00EC4A80">
            <w:pPr>
              <w:jc w:val="center"/>
              <w:rPr>
                <w:rFonts w:ascii="Calibri" w:hAnsi="Calibri"/>
                <w:sz w:val="22"/>
                <w:szCs w:val="22"/>
              </w:rPr>
            </w:pPr>
            <w:r>
              <w:rPr>
                <w:rFonts w:ascii="Calibri" w:hAnsi="Calibri"/>
                <w:sz w:val="22"/>
                <w:szCs w:val="22"/>
              </w:rPr>
              <w:t>Não é suficiente, gera muita dificuldades</w:t>
            </w:r>
          </w:p>
        </w:tc>
        <w:tc>
          <w:tcPr>
            <w:tcW w:w="960" w:type="dxa"/>
            <w:tcBorders>
              <w:top w:val="nil"/>
              <w:left w:val="single" w:sz="4" w:space="0" w:color="auto"/>
              <w:bottom w:val="nil"/>
              <w:right w:val="nil"/>
            </w:tcBorders>
            <w:shd w:val="clear" w:color="auto" w:fill="auto"/>
            <w:noWrap/>
            <w:vAlign w:val="center"/>
          </w:tcPr>
          <w:p w14:paraId="1AE3699D" w14:textId="4F930D16" w:rsidR="00187BF4" w:rsidRPr="00AB315F" w:rsidRDefault="00187BF4" w:rsidP="00EC4A80">
            <w:pPr>
              <w:jc w:val="center"/>
              <w:rPr>
                <w:rFonts w:ascii="Calibri" w:hAnsi="Calibri"/>
                <w:sz w:val="22"/>
                <w:szCs w:val="22"/>
              </w:rPr>
            </w:pPr>
            <w:r>
              <w:rPr>
                <w:rFonts w:ascii="Calibri" w:hAnsi="Calibri"/>
                <w:sz w:val="22"/>
                <w:szCs w:val="22"/>
              </w:rPr>
              <w:t>1 (ref.)</w:t>
            </w:r>
          </w:p>
        </w:tc>
        <w:tc>
          <w:tcPr>
            <w:tcW w:w="1112" w:type="dxa"/>
            <w:tcBorders>
              <w:top w:val="nil"/>
              <w:left w:val="single" w:sz="4" w:space="0" w:color="auto"/>
              <w:bottom w:val="nil"/>
              <w:right w:val="nil"/>
            </w:tcBorders>
            <w:shd w:val="clear" w:color="auto" w:fill="auto"/>
            <w:noWrap/>
            <w:vAlign w:val="center"/>
          </w:tcPr>
          <w:p w14:paraId="21577624" w14:textId="77777777" w:rsidR="00187BF4" w:rsidRPr="00AB315F" w:rsidRDefault="00187BF4" w:rsidP="00EC4A80">
            <w:pPr>
              <w:jc w:val="center"/>
              <w:rPr>
                <w:rFonts w:ascii="Calibri" w:hAnsi="Calibri"/>
                <w:sz w:val="22"/>
                <w:szCs w:val="22"/>
              </w:rPr>
            </w:pPr>
          </w:p>
        </w:tc>
        <w:tc>
          <w:tcPr>
            <w:tcW w:w="960" w:type="dxa"/>
            <w:tcBorders>
              <w:top w:val="nil"/>
              <w:left w:val="single" w:sz="4" w:space="0" w:color="auto"/>
              <w:bottom w:val="nil"/>
              <w:right w:val="nil"/>
            </w:tcBorders>
            <w:shd w:val="clear" w:color="auto" w:fill="auto"/>
            <w:noWrap/>
            <w:vAlign w:val="center"/>
          </w:tcPr>
          <w:p w14:paraId="335C0F35" w14:textId="77777777" w:rsidR="00187BF4" w:rsidRPr="00AB315F" w:rsidRDefault="00187BF4" w:rsidP="00EC4A80">
            <w:pPr>
              <w:jc w:val="center"/>
              <w:rPr>
                <w:rFonts w:ascii="Calibri" w:hAnsi="Calibri"/>
                <w:sz w:val="22"/>
                <w:szCs w:val="22"/>
              </w:rPr>
            </w:pPr>
          </w:p>
        </w:tc>
        <w:tc>
          <w:tcPr>
            <w:tcW w:w="960" w:type="dxa"/>
            <w:tcBorders>
              <w:top w:val="nil"/>
              <w:left w:val="single" w:sz="4" w:space="0" w:color="auto"/>
              <w:bottom w:val="nil"/>
              <w:right w:val="nil"/>
            </w:tcBorders>
            <w:shd w:val="clear" w:color="auto" w:fill="auto"/>
            <w:noWrap/>
            <w:vAlign w:val="center"/>
          </w:tcPr>
          <w:p w14:paraId="6DC02CB5" w14:textId="77777777" w:rsidR="00187BF4" w:rsidRPr="00AB315F" w:rsidRDefault="00187BF4" w:rsidP="00EC4A80">
            <w:pPr>
              <w:jc w:val="center"/>
              <w:rPr>
                <w:rFonts w:ascii="Calibri" w:hAnsi="Calibri"/>
                <w:sz w:val="22"/>
                <w:szCs w:val="22"/>
              </w:rPr>
            </w:pPr>
          </w:p>
        </w:tc>
      </w:tr>
      <w:tr w:rsidR="006967AF" w:rsidRPr="00AB315F" w14:paraId="0E709552" w14:textId="77777777" w:rsidTr="001C63EB">
        <w:trPr>
          <w:trHeight w:val="290"/>
        </w:trPr>
        <w:tc>
          <w:tcPr>
            <w:tcW w:w="4700" w:type="dxa"/>
            <w:tcBorders>
              <w:top w:val="nil"/>
              <w:bottom w:val="nil"/>
              <w:right w:val="nil"/>
            </w:tcBorders>
            <w:shd w:val="clear" w:color="auto" w:fill="auto"/>
            <w:noWrap/>
            <w:vAlign w:val="center"/>
            <w:hideMark/>
          </w:tcPr>
          <w:p w14:paraId="6035C371" w14:textId="77777777" w:rsidR="006967AF" w:rsidRPr="00AB315F" w:rsidRDefault="006967AF" w:rsidP="00EC4A80">
            <w:pPr>
              <w:jc w:val="center"/>
              <w:rPr>
                <w:rFonts w:ascii="Calibri" w:hAnsi="Calibri"/>
                <w:sz w:val="20"/>
                <w:szCs w:val="20"/>
              </w:rPr>
            </w:pPr>
            <w:r w:rsidRPr="00AB315F">
              <w:rPr>
                <w:rFonts w:ascii="Calibri" w:hAnsi="Calibri"/>
                <w:sz w:val="20"/>
                <w:szCs w:val="20"/>
              </w:rPr>
              <w:t>Não é suficiente, gera dificuldades</w:t>
            </w:r>
          </w:p>
        </w:tc>
        <w:tc>
          <w:tcPr>
            <w:tcW w:w="960" w:type="dxa"/>
            <w:tcBorders>
              <w:top w:val="nil"/>
              <w:left w:val="single" w:sz="4" w:space="0" w:color="auto"/>
              <w:bottom w:val="nil"/>
              <w:right w:val="nil"/>
            </w:tcBorders>
            <w:shd w:val="clear" w:color="auto" w:fill="auto"/>
            <w:noWrap/>
            <w:vAlign w:val="center"/>
            <w:hideMark/>
          </w:tcPr>
          <w:p w14:paraId="0997BC37" w14:textId="77777777" w:rsidR="006967AF" w:rsidRPr="00AB315F" w:rsidRDefault="006967AF" w:rsidP="00EC4A80">
            <w:pPr>
              <w:jc w:val="center"/>
              <w:rPr>
                <w:rFonts w:ascii="Calibri" w:hAnsi="Calibri"/>
                <w:sz w:val="22"/>
                <w:szCs w:val="22"/>
              </w:rPr>
            </w:pPr>
            <w:r w:rsidRPr="00AB315F">
              <w:rPr>
                <w:rFonts w:ascii="Calibri" w:hAnsi="Calibri"/>
                <w:sz w:val="22"/>
                <w:szCs w:val="22"/>
              </w:rPr>
              <w:t>1,177</w:t>
            </w:r>
          </w:p>
        </w:tc>
        <w:tc>
          <w:tcPr>
            <w:tcW w:w="1112" w:type="dxa"/>
            <w:tcBorders>
              <w:top w:val="nil"/>
              <w:left w:val="single" w:sz="4" w:space="0" w:color="auto"/>
              <w:bottom w:val="nil"/>
              <w:right w:val="nil"/>
            </w:tcBorders>
            <w:shd w:val="clear" w:color="auto" w:fill="auto"/>
            <w:noWrap/>
            <w:vAlign w:val="center"/>
            <w:hideMark/>
          </w:tcPr>
          <w:p w14:paraId="1D1C4E9E" w14:textId="77777777" w:rsidR="006967AF" w:rsidRPr="00AB315F" w:rsidRDefault="006967AF" w:rsidP="00EC4A80">
            <w:pPr>
              <w:jc w:val="center"/>
              <w:rPr>
                <w:rFonts w:ascii="Calibri" w:hAnsi="Calibri"/>
                <w:sz w:val="22"/>
                <w:szCs w:val="22"/>
              </w:rPr>
            </w:pPr>
            <w:r w:rsidRPr="00AB315F">
              <w:rPr>
                <w:rFonts w:ascii="Calibri" w:hAnsi="Calibri"/>
                <w:sz w:val="22"/>
                <w:szCs w:val="22"/>
              </w:rPr>
              <w:t>0,347</w:t>
            </w:r>
          </w:p>
        </w:tc>
        <w:tc>
          <w:tcPr>
            <w:tcW w:w="960" w:type="dxa"/>
            <w:tcBorders>
              <w:top w:val="nil"/>
              <w:left w:val="single" w:sz="4" w:space="0" w:color="auto"/>
              <w:bottom w:val="nil"/>
              <w:right w:val="nil"/>
            </w:tcBorders>
            <w:shd w:val="clear" w:color="auto" w:fill="auto"/>
            <w:noWrap/>
            <w:vAlign w:val="center"/>
            <w:hideMark/>
          </w:tcPr>
          <w:p w14:paraId="6200C58F" w14:textId="77777777" w:rsidR="006967AF" w:rsidRPr="00AB315F" w:rsidRDefault="006967AF" w:rsidP="00EC4A80">
            <w:pPr>
              <w:jc w:val="center"/>
              <w:rPr>
                <w:rFonts w:ascii="Calibri" w:hAnsi="Calibri"/>
                <w:sz w:val="22"/>
                <w:szCs w:val="22"/>
              </w:rPr>
            </w:pPr>
            <w:r w:rsidRPr="00AB315F">
              <w:rPr>
                <w:rFonts w:ascii="Calibri" w:hAnsi="Calibri"/>
                <w:sz w:val="22"/>
                <w:szCs w:val="22"/>
              </w:rPr>
              <w:t>0,55</w:t>
            </w:r>
          </w:p>
        </w:tc>
        <w:tc>
          <w:tcPr>
            <w:tcW w:w="960" w:type="dxa"/>
            <w:tcBorders>
              <w:top w:val="nil"/>
              <w:left w:val="single" w:sz="4" w:space="0" w:color="auto"/>
              <w:bottom w:val="nil"/>
              <w:right w:val="nil"/>
            </w:tcBorders>
            <w:shd w:val="clear" w:color="auto" w:fill="auto"/>
            <w:noWrap/>
            <w:vAlign w:val="center"/>
            <w:hideMark/>
          </w:tcPr>
          <w:p w14:paraId="52A7E7B3" w14:textId="77777777" w:rsidR="006967AF" w:rsidRPr="00AB315F" w:rsidRDefault="006967AF" w:rsidP="00EC4A80">
            <w:pPr>
              <w:jc w:val="center"/>
              <w:rPr>
                <w:rFonts w:ascii="Calibri" w:hAnsi="Calibri"/>
                <w:sz w:val="22"/>
                <w:szCs w:val="22"/>
              </w:rPr>
            </w:pPr>
            <w:r w:rsidRPr="00AB315F">
              <w:rPr>
                <w:rFonts w:ascii="Calibri" w:hAnsi="Calibri"/>
                <w:sz w:val="22"/>
                <w:szCs w:val="22"/>
              </w:rPr>
              <w:t>0,581</w:t>
            </w:r>
          </w:p>
        </w:tc>
      </w:tr>
      <w:tr w:rsidR="006967AF" w:rsidRPr="00AB315F" w14:paraId="05CAB7AD" w14:textId="77777777" w:rsidTr="001C63EB">
        <w:trPr>
          <w:trHeight w:val="290"/>
        </w:trPr>
        <w:tc>
          <w:tcPr>
            <w:tcW w:w="4700" w:type="dxa"/>
            <w:tcBorders>
              <w:top w:val="nil"/>
              <w:bottom w:val="nil"/>
              <w:right w:val="nil"/>
            </w:tcBorders>
            <w:shd w:val="clear" w:color="auto" w:fill="auto"/>
            <w:noWrap/>
            <w:vAlign w:val="center"/>
            <w:hideMark/>
          </w:tcPr>
          <w:p w14:paraId="101D35B8" w14:textId="77777777" w:rsidR="006967AF" w:rsidRPr="00AB315F" w:rsidRDefault="006967AF" w:rsidP="00EC4A80">
            <w:pPr>
              <w:jc w:val="center"/>
              <w:rPr>
                <w:rFonts w:ascii="Calibri" w:hAnsi="Calibri"/>
                <w:sz w:val="20"/>
                <w:szCs w:val="20"/>
              </w:rPr>
            </w:pPr>
            <w:r w:rsidRPr="00AB315F">
              <w:rPr>
                <w:rFonts w:ascii="Calibri" w:hAnsi="Calibri"/>
                <w:sz w:val="20"/>
                <w:szCs w:val="20"/>
              </w:rPr>
              <w:t>É suficiente, não gera grandes dificuldes</w:t>
            </w:r>
          </w:p>
        </w:tc>
        <w:tc>
          <w:tcPr>
            <w:tcW w:w="960" w:type="dxa"/>
            <w:tcBorders>
              <w:top w:val="nil"/>
              <w:left w:val="single" w:sz="4" w:space="0" w:color="auto"/>
              <w:bottom w:val="nil"/>
              <w:right w:val="nil"/>
            </w:tcBorders>
            <w:shd w:val="clear" w:color="auto" w:fill="auto"/>
            <w:noWrap/>
            <w:vAlign w:val="center"/>
            <w:hideMark/>
          </w:tcPr>
          <w:p w14:paraId="4BA29FE5" w14:textId="77777777" w:rsidR="006967AF" w:rsidRPr="00AB315F" w:rsidRDefault="006967AF" w:rsidP="00EC4A80">
            <w:pPr>
              <w:jc w:val="center"/>
              <w:rPr>
                <w:rFonts w:ascii="Calibri" w:hAnsi="Calibri"/>
                <w:sz w:val="22"/>
                <w:szCs w:val="22"/>
              </w:rPr>
            </w:pPr>
            <w:r w:rsidRPr="00AB315F">
              <w:rPr>
                <w:rFonts w:ascii="Calibri" w:hAnsi="Calibri"/>
                <w:sz w:val="22"/>
                <w:szCs w:val="22"/>
              </w:rPr>
              <w:t>1,483</w:t>
            </w:r>
          </w:p>
        </w:tc>
        <w:tc>
          <w:tcPr>
            <w:tcW w:w="1112" w:type="dxa"/>
            <w:tcBorders>
              <w:top w:val="nil"/>
              <w:left w:val="single" w:sz="4" w:space="0" w:color="auto"/>
              <w:bottom w:val="nil"/>
              <w:right w:val="nil"/>
            </w:tcBorders>
            <w:shd w:val="clear" w:color="auto" w:fill="auto"/>
            <w:noWrap/>
            <w:vAlign w:val="center"/>
            <w:hideMark/>
          </w:tcPr>
          <w:p w14:paraId="38DCFC0B" w14:textId="77777777" w:rsidR="006967AF" w:rsidRPr="00AB315F" w:rsidRDefault="006967AF" w:rsidP="00EC4A80">
            <w:pPr>
              <w:jc w:val="center"/>
              <w:rPr>
                <w:rFonts w:ascii="Calibri" w:hAnsi="Calibri"/>
                <w:sz w:val="22"/>
                <w:szCs w:val="22"/>
              </w:rPr>
            </w:pPr>
            <w:r w:rsidRPr="00AB315F">
              <w:rPr>
                <w:rFonts w:ascii="Calibri" w:hAnsi="Calibri"/>
                <w:sz w:val="22"/>
                <w:szCs w:val="22"/>
              </w:rPr>
              <w:t>0,466</w:t>
            </w:r>
          </w:p>
        </w:tc>
        <w:tc>
          <w:tcPr>
            <w:tcW w:w="960" w:type="dxa"/>
            <w:tcBorders>
              <w:top w:val="nil"/>
              <w:left w:val="single" w:sz="4" w:space="0" w:color="auto"/>
              <w:bottom w:val="nil"/>
              <w:right w:val="nil"/>
            </w:tcBorders>
            <w:shd w:val="clear" w:color="auto" w:fill="auto"/>
            <w:noWrap/>
            <w:vAlign w:val="center"/>
            <w:hideMark/>
          </w:tcPr>
          <w:p w14:paraId="10BE0266" w14:textId="77777777" w:rsidR="006967AF" w:rsidRPr="00AB315F" w:rsidRDefault="006967AF" w:rsidP="00EC4A80">
            <w:pPr>
              <w:jc w:val="center"/>
              <w:rPr>
                <w:rFonts w:ascii="Calibri" w:hAnsi="Calibri"/>
                <w:sz w:val="22"/>
                <w:szCs w:val="22"/>
              </w:rPr>
            </w:pPr>
            <w:r w:rsidRPr="00AB315F">
              <w:rPr>
                <w:rFonts w:ascii="Calibri" w:hAnsi="Calibri"/>
                <w:sz w:val="22"/>
                <w:szCs w:val="22"/>
              </w:rPr>
              <w:t>1,25</w:t>
            </w:r>
          </w:p>
        </w:tc>
        <w:tc>
          <w:tcPr>
            <w:tcW w:w="960" w:type="dxa"/>
            <w:tcBorders>
              <w:top w:val="nil"/>
              <w:left w:val="single" w:sz="4" w:space="0" w:color="auto"/>
              <w:bottom w:val="nil"/>
              <w:right w:val="nil"/>
            </w:tcBorders>
            <w:shd w:val="clear" w:color="auto" w:fill="auto"/>
            <w:noWrap/>
            <w:vAlign w:val="center"/>
            <w:hideMark/>
          </w:tcPr>
          <w:p w14:paraId="646EB2B5" w14:textId="77777777" w:rsidR="006967AF" w:rsidRPr="00AB315F" w:rsidRDefault="006967AF" w:rsidP="00EC4A80">
            <w:pPr>
              <w:jc w:val="center"/>
              <w:rPr>
                <w:rFonts w:ascii="Calibri" w:hAnsi="Calibri"/>
                <w:sz w:val="22"/>
                <w:szCs w:val="22"/>
              </w:rPr>
            </w:pPr>
            <w:r w:rsidRPr="00AB315F">
              <w:rPr>
                <w:rFonts w:ascii="Calibri" w:hAnsi="Calibri"/>
                <w:sz w:val="22"/>
                <w:szCs w:val="22"/>
              </w:rPr>
              <w:t>0,21</w:t>
            </w:r>
          </w:p>
        </w:tc>
      </w:tr>
      <w:tr w:rsidR="006967AF" w:rsidRPr="00AB315F" w14:paraId="5939AB7C"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4CF52D3B" w14:textId="77777777" w:rsidR="006967AF" w:rsidRPr="00AB315F" w:rsidRDefault="006967AF" w:rsidP="00EC4A80">
            <w:pPr>
              <w:jc w:val="center"/>
              <w:rPr>
                <w:rFonts w:ascii="Calibri" w:hAnsi="Calibri"/>
                <w:sz w:val="20"/>
                <w:szCs w:val="20"/>
              </w:rPr>
            </w:pPr>
            <w:r w:rsidRPr="00AB315F">
              <w:rPr>
                <w:rFonts w:ascii="Calibri" w:hAnsi="Calibri"/>
                <w:sz w:val="20"/>
                <w:szCs w:val="20"/>
              </w:rPr>
              <w:t>Sobra, dá para economizar/poupar</w:t>
            </w:r>
          </w:p>
        </w:tc>
        <w:tc>
          <w:tcPr>
            <w:tcW w:w="960" w:type="dxa"/>
            <w:tcBorders>
              <w:top w:val="nil"/>
              <w:left w:val="single" w:sz="4" w:space="0" w:color="auto"/>
              <w:bottom w:val="single" w:sz="4" w:space="0" w:color="auto"/>
              <w:right w:val="nil"/>
            </w:tcBorders>
            <w:shd w:val="clear" w:color="auto" w:fill="auto"/>
            <w:noWrap/>
            <w:vAlign w:val="center"/>
            <w:hideMark/>
          </w:tcPr>
          <w:p w14:paraId="74D511EA" w14:textId="77777777" w:rsidR="006967AF" w:rsidRPr="00AB315F" w:rsidRDefault="006967AF" w:rsidP="00EC4A80">
            <w:pPr>
              <w:jc w:val="center"/>
              <w:rPr>
                <w:rFonts w:ascii="Calibri" w:hAnsi="Calibri"/>
                <w:sz w:val="22"/>
                <w:szCs w:val="22"/>
              </w:rPr>
            </w:pPr>
            <w:r w:rsidRPr="00AB315F">
              <w:rPr>
                <w:rFonts w:ascii="Calibri" w:hAnsi="Calibri"/>
                <w:sz w:val="22"/>
                <w:szCs w:val="22"/>
              </w:rPr>
              <w:t>1,351</w:t>
            </w:r>
          </w:p>
        </w:tc>
        <w:tc>
          <w:tcPr>
            <w:tcW w:w="1112" w:type="dxa"/>
            <w:tcBorders>
              <w:top w:val="nil"/>
              <w:left w:val="single" w:sz="4" w:space="0" w:color="auto"/>
              <w:bottom w:val="single" w:sz="4" w:space="0" w:color="auto"/>
              <w:right w:val="nil"/>
            </w:tcBorders>
            <w:shd w:val="clear" w:color="auto" w:fill="auto"/>
            <w:noWrap/>
            <w:vAlign w:val="center"/>
            <w:hideMark/>
          </w:tcPr>
          <w:p w14:paraId="2D1D23E9" w14:textId="77777777" w:rsidR="006967AF" w:rsidRPr="00AB315F" w:rsidRDefault="006967AF" w:rsidP="00EC4A80">
            <w:pPr>
              <w:jc w:val="center"/>
              <w:rPr>
                <w:rFonts w:ascii="Calibri" w:hAnsi="Calibri"/>
                <w:sz w:val="22"/>
                <w:szCs w:val="22"/>
              </w:rPr>
            </w:pPr>
            <w:r w:rsidRPr="00AB315F">
              <w:rPr>
                <w:rFonts w:ascii="Calibri" w:hAnsi="Calibri"/>
                <w:sz w:val="22"/>
                <w:szCs w:val="22"/>
              </w:rPr>
              <w:t>0,662</w:t>
            </w:r>
          </w:p>
        </w:tc>
        <w:tc>
          <w:tcPr>
            <w:tcW w:w="960" w:type="dxa"/>
            <w:tcBorders>
              <w:top w:val="nil"/>
              <w:left w:val="single" w:sz="4" w:space="0" w:color="auto"/>
              <w:bottom w:val="single" w:sz="4" w:space="0" w:color="auto"/>
              <w:right w:val="nil"/>
            </w:tcBorders>
            <w:shd w:val="clear" w:color="auto" w:fill="auto"/>
            <w:noWrap/>
            <w:vAlign w:val="center"/>
            <w:hideMark/>
          </w:tcPr>
          <w:p w14:paraId="51F77CAE" w14:textId="77777777" w:rsidR="006967AF" w:rsidRPr="00AB315F" w:rsidRDefault="006967AF" w:rsidP="00EC4A80">
            <w:pPr>
              <w:jc w:val="center"/>
              <w:rPr>
                <w:rFonts w:ascii="Calibri" w:hAnsi="Calibri"/>
                <w:sz w:val="22"/>
                <w:szCs w:val="22"/>
              </w:rPr>
            </w:pPr>
            <w:r w:rsidRPr="00AB315F">
              <w:rPr>
                <w:rFonts w:ascii="Calibri" w:hAnsi="Calibri"/>
                <w:sz w:val="22"/>
                <w:szCs w:val="22"/>
              </w:rPr>
              <w:t>0,61</w:t>
            </w:r>
          </w:p>
        </w:tc>
        <w:tc>
          <w:tcPr>
            <w:tcW w:w="960" w:type="dxa"/>
            <w:tcBorders>
              <w:top w:val="nil"/>
              <w:left w:val="single" w:sz="4" w:space="0" w:color="auto"/>
              <w:bottom w:val="single" w:sz="4" w:space="0" w:color="auto"/>
              <w:right w:val="nil"/>
            </w:tcBorders>
            <w:shd w:val="clear" w:color="auto" w:fill="auto"/>
            <w:noWrap/>
            <w:vAlign w:val="center"/>
            <w:hideMark/>
          </w:tcPr>
          <w:p w14:paraId="1E7713A7" w14:textId="77777777" w:rsidR="006967AF" w:rsidRPr="00AB315F" w:rsidRDefault="006967AF" w:rsidP="00EC4A80">
            <w:pPr>
              <w:jc w:val="center"/>
              <w:rPr>
                <w:rFonts w:ascii="Calibri" w:hAnsi="Calibri"/>
                <w:sz w:val="22"/>
                <w:szCs w:val="22"/>
              </w:rPr>
            </w:pPr>
            <w:r w:rsidRPr="00AB315F">
              <w:rPr>
                <w:rFonts w:ascii="Calibri" w:hAnsi="Calibri"/>
                <w:sz w:val="22"/>
                <w:szCs w:val="22"/>
              </w:rPr>
              <w:t>0,54</w:t>
            </w:r>
          </w:p>
        </w:tc>
      </w:tr>
      <w:tr w:rsidR="006967AF" w:rsidRPr="00AB315F" w14:paraId="42CD4A0B" w14:textId="77777777" w:rsidTr="001C63EB">
        <w:trPr>
          <w:trHeight w:val="290"/>
        </w:trPr>
        <w:tc>
          <w:tcPr>
            <w:tcW w:w="4700" w:type="dxa"/>
            <w:tcBorders>
              <w:top w:val="nil"/>
              <w:bottom w:val="nil"/>
              <w:right w:val="nil"/>
            </w:tcBorders>
            <w:shd w:val="clear" w:color="auto" w:fill="auto"/>
            <w:noWrap/>
            <w:vAlign w:val="center"/>
            <w:hideMark/>
          </w:tcPr>
          <w:p w14:paraId="14748845" w14:textId="77777777" w:rsidR="006967AF" w:rsidRPr="00AB315F" w:rsidRDefault="006967AF" w:rsidP="00EC4A80">
            <w:pPr>
              <w:jc w:val="center"/>
              <w:rPr>
                <w:rFonts w:ascii="Calibri" w:hAnsi="Calibri"/>
                <w:sz w:val="22"/>
                <w:szCs w:val="22"/>
              </w:rPr>
            </w:pPr>
            <w:r w:rsidRPr="00AB315F">
              <w:rPr>
                <w:rFonts w:ascii="Calibri" w:hAnsi="Calibri"/>
                <w:sz w:val="22"/>
                <w:szCs w:val="22"/>
              </w:rPr>
              <w:t>Confiança interpessoal</w:t>
            </w:r>
          </w:p>
        </w:tc>
        <w:tc>
          <w:tcPr>
            <w:tcW w:w="960" w:type="dxa"/>
            <w:tcBorders>
              <w:top w:val="nil"/>
              <w:left w:val="single" w:sz="4" w:space="0" w:color="auto"/>
              <w:bottom w:val="nil"/>
              <w:right w:val="nil"/>
            </w:tcBorders>
            <w:shd w:val="clear" w:color="auto" w:fill="auto"/>
            <w:noWrap/>
            <w:vAlign w:val="center"/>
            <w:hideMark/>
          </w:tcPr>
          <w:p w14:paraId="559C78D6" w14:textId="77777777" w:rsidR="006967AF" w:rsidRPr="00AB315F" w:rsidRDefault="006967AF" w:rsidP="00EC4A80">
            <w:pPr>
              <w:jc w:val="center"/>
              <w:rPr>
                <w:rFonts w:ascii="Calibri" w:hAnsi="Calibri"/>
                <w:sz w:val="22"/>
                <w:szCs w:val="22"/>
              </w:rPr>
            </w:pPr>
            <w:r w:rsidRPr="00AB315F">
              <w:rPr>
                <w:rFonts w:ascii="Calibri" w:hAnsi="Calibri"/>
                <w:sz w:val="22"/>
                <w:szCs w:val="22"/>
              </w:rPr>
              <w:t>0,982</w:t>
            </w:r>
          </w:p>
        </w:tc>
        <w:tc>
          <w:tcPr>
            <w:tcW w:w="1112" w:type="dxa"/>
            <w:tcBorders>
              <w:top w:val="nil"/>
              <w:left w:val="single" w:sz="4" w:space="0" w:color="auto"/>
              <w:bottom w:val="nil"/>
              <w:right w:val="nil"/>
            </w:tcBorders>
            <w:shd w:val="clear" w:color="auto" w:fill="auto"/>
            <w:noWrap/>
            <w:vAlign w:val="center"/>
            <w:hideMark/>
          </w:tcPr>
          <w:p w14:paraId="6ED4854D" w14:textId="77777777" w:rsidR="006967AF" w:rsidRPr="00AB315F" w:rsidRDefault="006967AF" w:rsidP="00EC4A80">
            <w:pPr>
              <w:jc w:val="center"/>
              <w:rPr>
                <w:rFonts w:ascii="Calibri" w:hAnsi="Calibri"/>
                <w:sz w:val="22"/>
                <w:szCs w:val="22"/>
              </w:rPr>
            </w:pPr>
            <w:r w:rsidRPr="00AB315F">
              <w:rPr>
                <w:rFonts w:ascii="Calibri" w:hAnsi="Calibri"/>
                <w:sz w:val="22"/>
                <w:szCs w:val="22"/>
              </w:rPr>
              <w:t>0,408</w:t>
            </w:r>
          </w:p>
        </w:tc>
        <w:tc>
          <w:tcPr>
            <w:tcW w:w="960" w:type="dxa"/>
            <w:tcBorders>
              <w:top w:val="nil"/>
              <w:left w:val="single" w:sz="4" w:space="0" w:color="auto"/>
              <w:bottom w:val="nil"/>
              <w:right w:val="nil"/>
            </w:tcBorders>
            <w:shd w:val="clear" w:color="auto" w:fill="auto"/>
            <w:noWrap/>
            <w:vAlign w:val="center"/>
            <w:hideMark/>
          </w:tcPr>
          <w:p w14:paraId="6A0AD9D3" w14:textId="77777777" w:rsidR="006967AF" w:rsidRPr="00AB315F" w:rsidRDefault="006967AF" w:rsidP="00EC4A80">
            <w:pPr>
              <w:jc w:val="center"/>
              <w:rPr>
                <w:rFonts w:ascii="Calibri" w:hAnsi="Calibri"/>
                <w:sz w:val="22"/>
                <w:szCs w:val="22"/>
              </w:rPr>
            </w:pPr>
            <w:r w:rsidRPr="00AB315F">
              <w:rPr>
                <w:rFonts w:ascii="Calibri" w:hAnsi="Calibri"/>
                <w:sz w:val="22"/>
                <w:szCs w:val="22"/>
              </w:rPr>
              <w:t>-0,04</w:t>
            </w:r>
          </w:p>
        </w:tc>
        <w:tc>
          <w:tcPr>
            <w:tcW w:w="960" w:type="dxa"/>
            <w:tcBorders>
              <w:top w:val="nil"/>
              <w:left w:val="single" w:sz="4" w:space="0" w:color="auto"/>
              <w:bottom w:val="nil"/>
              <w:right w:val="nil"/>
            </w:tcBorders>
            <w:shd w:val="clear" w:color="auto" w:fill="auto"/>
            <w:noWrap/>
            <w:vAlign w:val="center"/>
            <w:hideMark/>
          </w:tcPr>
          <w:p w14:paraId="3D53616C" w14:textId="77777777" w:rsidR="006967AF" w:rsidRPr="00AB315F" w:rsidRDefault="006967AF" w:rsidP="00EC4A80">
            <w:pPr>
              <w:jc w:val="center"/>
              <w:rPr>
                <w:rFonts w:ascii="Calibri" w:hAnsi="Calibri"/>
                <w:sz w:val="22"/>
                <w:szCs w:val="22"/>
              </w:rPr>
            </w:pPr>
            <w:r w:rsidRPr="00AB315F">
              <w:rPr>
                <w:rFonts w:ascii="Calibri" w:hAnsi="Calibri"/>
                <w:sz w:val="22"/>
                <w:szCs w:val="22"/>
              </w:rPr>
              <w:t>0,966</w:t>
            </w:r>
          </w:p>
        </w:tc>
      </w:tr>
      <w:tr w:rsidR="006967AF" w:rsidRPr="00AB315F" w14:paraId="01F9184B" w14:textId="77777777" w:rsidTr="001C63EB">
        <w:trPr>
          <w:trHeight w:val="290"/>
        </w:trPr>
        <w:tc>
          <w:tcPr>
            <w:tcW w:w="4700" w:type="dxa"/>
            <w:tcBorders>
              <w:top w:val="single" w:sz="4" w:space="0" w:color="auto"/>
              <w:bottom w:val="nil"/>
              <w:right w:val="nil"/>
            </w:tcBorders>
            <w:shd w:val="clear" w:color="auto" w:fill="auto"/>
            <w:noWrap/>
            <w:vAlign w:val="center"/>
            <w:hideMark/>
          </w:tcPr>
          <w:p w14:paraId="589E71B8" w14:textId="77777777" w:rsidR="006967AF" w:rsidRPr="00AB315F" w:rsidRDefault="006967AF" w:rsidP="00EC4A80">
            <w:pPr>
              <w:jc w:val="center"/>
              <w:rPr>
                <w:rFonts w:ascii="Calibri" w:hAnsi="Calibri"/>
                <w:sz w:val="22"/>
                <w:szCs w:val="22"/>
              </w:rPr>
            </w:pPr>
            <w:r w:rsidRPr="00AB315F">
              <w:rPr>
                <w:rFonts w:ascii="Calibri" w:hAnsi="Calibri"/>
                <w:sz w:val="22"/>
                <w:szCs w:val="22"/>
              </w:rPr>
              <w:t>Situação Econômica do País</w:t>
            </w:r>
          </w:p>
        </w:tc>
        <w:tc>
          <w:tcPr>
            <w:tcW w:w="960" w:type="dxa"/>
            <w:tcBorders>
              <w:top w:val="single" w:sz="4" w:space="0" w:color="auto"/>
              <w:left w:val="single" w:sz="4" w:space="0" w:color="auto"/>
              <w:bottom w:val="nil"/>
              <w:right w:val="nil"/>
            </w:tcBorders>
            <w:shd w:val="clear" w:color="auto" w:fill="auto"/>
            <w:noWrap/>
            <w:vAlign w:val="center"/>
            <w:hideMark/>
          </w:tcPr>
          <w:p w14:paraId="517D84FF"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single" w:sz="4" w:space="0" w:color="auto"/>
              <w:left w:val="single" w:sz="4" w:space="0" w:color="auto"/>
              <w:bottom w:val="nil"/>
              <w:right w:val="nil"/>
            </w:tcBorders>
            <w:shd w:val="clear" w:color="auto" w:fill="auto"/>
            <w:noWrap/>
            <w:vAlign w:val="center"/>
            <w:hideMark/>
          </w:tcPr>
          <w:p w14:paraId="57640CB7"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single" w:sz="4" w:space="0" w:color="auto"/>
              <w:left w:val="single" w:sz="4" w:space="0" w:color="auto"/>
              <w:bottom w:val="nil"/>
              <w:right w:val="nil"/>
            </w:tcBorders>
            <w:shd w:val="clear" w:color="auto" w:fill="auto"/>
            <w:noWrap/>
            <w:vAlign w:val="center"/>
            <w:hideMark/>
          </w:tcPr>
          <w:p w14:paraId="3448BFC4"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single" w:sz="4" w:space="0" w:color="auto"/>
              <w:left w:val="single" w:sz="4" w:space="0" w:color="auto"/>
              <w:bottom w:val="nil"/>
              <w:right w:val="nil"/>
            </w:tcBorders>
            <w:shd w:val="clear" w:color="auto" w:fill="auto"/>
            <w:noWrap/>
            <w:vAlign w:val="center"/>
            <w:hideMark/>
          </w:tcPr>
          <w:p w14:paraId="65F1A2A2"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5F62C0" w:rsidRPr="00AB315F" w14:paraId="104034D1" w14:textId="77777777" w:rsidTr="001C63EB">
        <w:trPr>
          <w:trHeight w:val="290"/>
        </w:trPr>
        <w:tc>
          <w:tcPr>
            <w:tcW w:w="4700" w:type="dxa"/>
            <w:tcBorders>
              <w:top w:val="single" w:sz="4" w:space="0" w:color="auto"/>
              <w:bottom w:val="nil"/>
              <w:right w:val="nil"/>
            </w:tcBorders>
            <w:shd w:val="clear" w:color="auto" w:fill="auto"/>
            <w:noWrap/>
            <w:vAlign w:val="center"/>
          </w:tcPr>
          <w:p w14:paraId="3643511A" w14:textId="02D404C6" w:rsidR="005F62C0" w:rsidRPr="00AB315F" w:rsidRDefault="005F62C0" w:rsidP="00EC4A80">
            <w:pPr>
              <w:jc w:val="center"/>
              <w:rPr>
                <w:rFonts w:ascii="Calibri" w:hAnsi="Calibri"/>
                <w:sz w:val="22"/>
                <w:szCs w:val="22"/>
              </w:rPr>
            </w:pPr>
            <w:r>
              <w:rPr>
                <w:rFonts w:ascii="Calibri" w:hAnsi="Calibri"/>
                <w:sz w:val="22"/>
                <w:szCs w:val="22"/>
              </w:rPr>
              <w:t>Ótima</w:t>
            </w:r>
          </w:p>
        </w:tc>
        <w:tc>
          <w:tcPr>
            <w:tcW w:w="960" w:type="dxa"/>
            <w:tcBorders>
              <w:top w:val="single" w:sz="4" w:space="0" w:color="auto"/>
              <w:left w:val="single" w:sz="4" w:space="0" w:color="auto"/>
              <w:bottom w:val="nil"/>
              <w:right w:val="nil"/>
            </w:tcBorders>
            <w:shd w:val="clear" w:color="auto" w:fill="auto"/>
            <w:noWrap/>
            <w:vAlign w:val="center"/>
          </w:tcPr>
          <w:p w14:paraId="4F8B2684" w14:textId="113B619F" w:rsidR="005F62C0" w:rsidRPr="00AB315F" w:rsidRDefault="005F62C0" w:rsidP="00EC4A80">
            <w:pPr>
              <w:jc w:val="center"/>
              <w:rPr>
                <w:rFonts w:ascii="Calibri" w:hAnsi="Calibri"/>
                <w:sz w:val="22"/>
                <w:szCs w:val="22"/>
              </w:rPr>
            </w:pPr>
            <w:r>
              <w:rPr>
                <w:rFonts w:ascii="Calibri" w:hAnsi="Calibri"/>
                <w:sz w:val="22"/>
                <w:szCs w:val="22"/>
              </w:rPr>
              <w:t>1 (ref.)</w:t>
            </w:r>
          </w:p>
        </w:tc>
        <w:tc>
          <w:tcPr>
            <w:tcW w:w="1112" w:type="dxa"/>
            <w:tcBorders>
              <w:top w:val="single" w:sz="4" w:space="0" w:color="auto"/>
              <w:left w:val="single" w:sz="4" w:space="0" w:color="auto"/>
              <w:bottom w:val="nil"/>
              <w:right w:val="nil"/>
            </w:tcBorders>
            <w:shd w:val="clear" w:color="auto" w:fill="auto"/>
            <w:noWrap/>
            <w:vAlign w:val="center"/>
          </w:tcPr>
          <w:p w14:paraId="2851768A" w14:textId="77777777" w:rsidR="005F62C0" w:rsidRPr="00AB315F" w:rsidRDefault="005F62C0" w:rsidP="00EC4A80">
            <w:pPr>
              <w:jc w:val="center"/>
              <w:rPr>
                <w:rFonts w:ascii="Calibri" w:hAnsi="Calibri"/>
                <w:sz w:val="22"/>
                <w:szCs w:val="22"/>
              </w:rPr>
            </w:pPr>
          </w:p>
        </w:tc>
        <w:tc>
          <w:tcPr>
            <w:tcW w:w="960" w:type="dxa"/>
            <w:tcBorders>
              <w:top w:val="single" w:sz="4" w:space="0" w:color="auto"/>
              <w:left w:val="single" w:sz="4" w:space="0" w:color="auto"/>
              <w:bottom w:val="nil"/>
              <w:right w:val="nil"/>
            </w:tcBorders>
            <w:shd w:val="clear" w:color="auto" w:fill="auto"/>
            <w:noWrap/>
            <w:vAlign w:val="center"/>
          </w:tcPr>
          <w:p w14:paraId="583D44C7" w14:textId="77777777" w:rsidR="005F62C0" w:rsidRPr="00AB315F" w:rsidRDefault="005F62C0" w:rsidP="00EC4A80">
            <w:pPr>
              <w:jc w:val="center"/>
              <w:rPr>
                <w:rFonts w:ascii="Calibri" w:hAnsi="Calibri"/>
                <w:sz w:val="22"/>
                <w:szCs w:val="22"/>
              </w:rPr>
            </w:pPr>
          </w:p>
        </w:tc>
        <w:tc>
          <w:tcPr>
            <w:tcW w:w="960" w:type="dxa"/>
            <w:tcBorders>
              <w:top w:val="single" w:sz="4" w:space="0" w:color="auto"/>
              <w:left w:val="single" w:sz="4" w:space="0" w:color="auto"/>
              <w:bottom w:val="nil"/>
              <w:right w:val="nil"/>
            </w:tcBorders>
            <w:shd w:val="clear" w:color="auto" w:fill="auto"/>
            <w:noWrap/>
            <w:vAlign w:val="center"/>
          </w:tcPr>
          <w:p w14:paraId="41846C6C" w14:textId="77777777" w:rsidR="005F62C0" w:rsidRPr="00AB315F" w:rsidRDefault="005F62C0" w:rsidP="00EC4A80">
            <w:pPr>
              <w:jc w:val="center"/>
              <w:rPr>
                <w:rFonts w:ascii="Calibri" w:hAnsi="Calibri"/>
                <w:sz w:val="22"/>
                <w:szCs w:val="22"/>
              </w:rPr>
            </w:pPr>
          </w:p>
        </w:tc>
      </w:tr>
      <w:tr w:rsidR="006967AF" w:rsidRPr="00AB315F" w14:paraId="5050FECA" w14:textId="77777777" w:rsidTr="001C63EB">
        <w:trPr>
          <w:trHeight w:val="290"/>
        </w:trPr>
        <w:tc>
          <w:tcPr>
            <w:tcW w:w="4700" w:type="dxa"/>
            <w:tcBorders>
              <w:top w:val="nil"/>
              <w:bottom w:val="nil"/>
              <w:right w:val="nil"/>
            </w:tcBorders>
            <w:shd w:val="clear" w:color="auto" w:fill="auto"/>
            <w:vAlign w:val="center"/>
            <w:hideMark/>
          </w:tcPr>
          <w:p w14:paraId="4C2596E3" w14:textId="77777777" w:rsidR="006967AF" w:rsidRPr="00AB315F" w:rsidRDefault="006967AF" w:rsidP="00EC4A80">
            <w:pPr>
              <w:jc w:val="center"/>
              <w:rPr>
                <w:rFonts w:ascii="Calibri" w:hAnsi="Calibri"/>
                <w:sz w:val="20"/>
                <w:szCs w:val="20"/>
              </w:rPr>
            </w:pPr>
            <w:r w:rsidRPr="00AB315F">
              <w:rPr>
                <w:rFonts w:ascii="Calibri" w:hAnsi="Calibri"/>
                <w:sz w:val="20"/>
                <w:szCs w:val="20"/>
              </w:rPr>
              <w:t>Boa</w:t>
            </w:r>
          </w:p>
        </w:tc>
        <w:tc>
          <w:tcPr>
            <w:tcW w:w="960" w:type="dxa"/>
            <w:tcBorders>
              <w:top w:val="nil"/>
              <w:left w:val="single" w:sz="4" w:space="0" w:color="auto"/>
              <w:bottom w:val="nil"/>
              <w:right w:val="nil"/>
            </w:tcBorders>
            <w:shd w:val="clear" w:color="auto" w:fill="auto"/>
            <w:noWrap/>
            <w:vAlign w:val="center"/>
            <w:hideMark/>
          </w:tcPr>
          <w:p w14:paraId="591A71A9" w14:textId="77777777" w:rsidR="006967AF" w:rsidRPr="00AB315F" w:rsidRDefault="006967AF" w:rsidP="00EC4A80">
            <w:pPr>
              <w:jc w:val="center"/>
              <w:rPr>
                <w:rFonts w:ascii="Calibri" w:hAnsi="Calibri"/>
                <w:sz w:val="22"/>
                <w:szCs w:val="22"/>
              </w:rPr>
            </w:pPr>
            <w:r w:rsidRPr="00AB315F">
              <w:rPr>
                <w:rFonts w:ascii="Calibri" w:hAnsi="Calibri"/>
                <w:sz w:val="22"/>
                <w:szCs w:val="22"/>
              </w:rPr>
              <w:t>1,630</w:t>
            </w:r>
          </w:p>
        </w:tc>
        <w:tc>
          <w:tcPr>
            <w:tcW w:w="1112" w:type="dxa"/>
            <w:tcBorders>
              <w:top w:val="nil"/>
              <w:left w:val="single" w:sz="4" w:space="0" w:color="auto"/>
              <w:bottom w:val="nil"/>
              <w:right w:val="nil"/>
            </w:tcBorders>
            <w:shd w:val="clear" w:color="auto" w:fill="auto"/>
            <w:noWrap/>
            <w:vAlign w:val="center"/>
            <w:hideMark/>
          </w:tcPr>
          <w:p w14:paraId="66874027" w14:textId="77777777" w:rsidR="006967AF" w:rsidRPr="00AB315F" w:rsidRDefault="006967AF" w:rsidP="00EC4A80">
            <w:pPr>
              <w:jc w:val="center"/>
              <w:rPr>
                <w:rFonts w:ascii="Calibri" w:hAnsi="Calibri"/>
                <w:sz w:val="22"/>
                <w:szCs w:val="22"/>
              </w:rPr>
            </w:pPr>
            <w:r w:rsidRPr="00AB315F">
              <w:rPr>
                <w:rFonts w:ascii="Calibri" w:hAnsi="Calibri"/>
                <w:sz w:val="22"/>
                <w:szCs w:val="22"/>
              </w:rPr>
              <w:t>0,653</w:t>
            </w:r>
          </w:p>
        </w:tc>
        <w:tc>
          <w:tcPr>
            <w:tcW w:w="960" w:type="dxa"/>
            <w:tcBorders>
              <w:top w:val="nil"/>
              <w:left w:val="single" w:sz="4" w:space="0" w:color="auto"/>
              <w:bottom w:val="nil"/>
              <w:right w:val="nil"/>
            </w:tcBorders>
            <w:shd w:val="clear" w:color="auto" w:fill="auto"/>
            <w:noWrap/>
            <w:vAlign w:val="center"/>
            <w:hideMark/>
          </w:tcPr>
          <w:p w14:paraId="6DB4F740" w14:textId="77777777" w:rsidR="006967AF" w:rsidRPr="00AB315F" w:rsidRDefault="006967AF" w:rsidP="00EC4A80">
            <w:pPr>
              <w:jc w:val="center"/>
              <w:rPr>
                <w:rFonts w:ascii="Calibri" w:hAnsi="Calibri"/>
                <w:sz w:val="22"/>
                <w:szCs w:val="22"/>
              </w:rPr>
            </w:pPr>
            <w:r w:rsidRPr="00AB315F">
              <w:rPr>
                <w:rFonts w:ascii="Calibri" w:hAnsi="Calibri"/>
                <w:sz w:val="22"/>
                <w:szCs w:val="22"/>
              </w:rPr>
              <w:t>1,22</w:t>
            </w:r>
          </w:p>
        </w:tc>
        <w:tc>
          <w:tcPr>
            <w:tcW w:w="960" w:type="dxa"/>
            <w:tcBorders>
              <w:top w:val="nil"/>
              <w:left w:val="single" w:sz="4" w:space="0" w:color="auto"/>
              <w:bottom w:val="nil"/>
              <w:right w:val="nil"/>
            </w:tcBorders>
            <w:shd w:val="clear" w:color="auto" w:fill="auto"/>
            <w:noWrap/>
            <w:vAlign w:val="center"/>
            <w:hideMark/>
          </w:tcPr>
          <w:p w14:paraId="527E3F58" w14:textId="77777777" w:rsidR="006967AF" w:rsidRPr="00AB315F" w:rsidRDefault="006967AF" w:rsidP="00EC4A80">
            <w:pPr>
              <w:jc w:val="center"/>
              <w:rPr>
                <w:rFonts w:ascii="Calibri" w:hAnsi="Calibri"/>
                <w:sz w:val="22"/>
                <w:szCs w:val="22"/>
              </w:rPr>
            </w:pPr>
            <w:r w:rsidRPr="00AB315F">
              <w:rPr>
                <w:rFonts w:ascii="Calibri" w:hAnsi="Calibri"/>
                <w:sz w:val="22"/>
                <w:szCs w:val="22"/>
              </w:rPr>
              <w:t>0,223</w:t>
            </w:r>
          </w:p>
        </w:tc>
      </w:tr>
      <w:tr w:rsidR="006967AF" w:rsidRPr="00AB315F" w14:paraId="23217D88" w14:textId="77777777" w:rsidTr="001C63EB">
        <w:trPr>
          <w:trHeight w:val="290"/>
        </w:trPr>
        <w:tc>
          <w:tcPr>
            <w:tcW w:w="4700" w:type="dxa"/>
            <w:tcBorders>
              <w:top w:val="nil"/>
              <w:bottom w:val="nil"/>
              <w:right w:val="nil"/>
            </w:tcBorders>
            <w:shd w:val="clear" w:color="auto" w:fill="auto"/>
            <w:vAlign w:val="center"/>
            <w:hideMark/>
          </w:tcPr>
          <w:p w14:paraId="4E4B73D5" w14:textId="77777777" w:rsidR="006967AF" w:rsidRPr="00AB315F" w:rsidRDefault="006967AF" w:rsidP="00EC4A80">
            <w:pPr>
              <w:jc w:val="center"/>
              <w:rPr>
                <w:rFonts w:ascii="Calibri" w:hAnsi="Calibri"/>
                <w:sz w:val="20"/>
                <w:szCs w:val="20"/>
              </w:rPr>
            </w:pPr>
            <w:r w:rsidRPr="00AB315F">
              <w:rPr>
                <w:rFonts w:ascii="Calibri" w:hAnsi="Calibri"/>
                <w:sz w:val="20"/>
                <w:szCs w:val="20"/>
              </w:rPr>
              <w:t>Nem Boa nem má</w:t>
            </w:r>
          </w:p>
        </w:tc>
        <w:tc>
          <w:tcPr>
            <w:tcW w:w="960" w:type="dxa"/>
            <w:tcBorders>
              <w:top w:val="nil"/>
              <w:left w:val="single" w:sz="4" w:space="0" w:color="auto"/>
              <w:bottom w:val="nil"/>
              <w:right w:val="nil"/>
            </w:tcBorders>
            <w:shd w:val="clear" w:color="auto" w:fill="auto"/>
            <w:noWrap/>
            <w:vAlign w:val="center"/>
            <w:hideMark/>
          </w:tcPr>
          <w:p w14:paraId="3FA79429" w14:textId="77777777" w:rsidR="006967AF" w:rsidRPr="00AB315F" w:rsidRDefault="006967AF" w:rsidP="00EC4A80">
            <w:pPr>
              <w:jc w:val="center"/>
              <w:rPr>
                <w:rFonts w:ascii="Calibri" w:hAnsi="Calibri"/>
                <w:sz w:val="22"/>
                <w:szCs w:val="22"/>
              </w:rPr>
            </w:pPr>
            <w:r w:rsidRPr="00AB315F">
              <w:rPr>
                <w:rFonts w:ascii="Calibri" w:hAnsi="Calibri"/>
                <w:sz w:val="22"/>
                <w:szCs w:val="22"/>
              </w:rPr>
              <w:t>1,269</w:t>
            </w:r>
          </w:p>
        </w:tc>
        <w:tc>
          <w:tcPr>
            <w:tcW w:w="1112" w:type="dxa"/>
            <w:tcBorders>
              <w:top w:val="nil"/>
              <w:left w:val="single" w:sz="4" w:space="0" w:color="auto"/>
              <w:bottom w:val="nil"/>
              <w:right w:val="nil"/>
            </w:tcBorders>
            <w:shd w:val="clear" w:color="auto" w:fill="auto"/>
            <w:noWrap/>
            <w:vAlign w:val="center"/>
            <w:hideMark/>
          </w:tcPr>
          <w:p w14:paraId="1AEBC44F" w14:textId="77777777" w:rsidR="006967AF" w:rsidRPr="00AB315F" w:rsidRDefault="006967AF" w:rsidP="00EC4A80">
            <w:pPr>
              <w:jc w:val="center"/>
              <w:rPr>
                <w:rFonts w:ascii="Calibri" w:hAnsi="Calibri"/>
                <w:sz w:val="22"/>
                <w:szCs w:val="22"/>
              </w:rPr>
            </w:pPr>
            <w:r w:rsidRPr="00AB315F">
              <w:rPr>
                <w:rFonts w:ascii="Calibri" w:hAnsi="Calibri"/>
                <w:sz w:val="22"/>
                <w:szCs w:val="22"/>
              </w:rPr>
              <w:t>0,360</w:t>
            </w:r>
          </w:p>
        </w:tc>
        <w:tc>
          <w:tcPr>
            <w:tcW w:w="960" w:type="dxa"/>
            <w:tcBorders>
              <w:top w:val="nil"/>
              <w:left w:val="single" w:sz="4" w:space="0" w:color="auto"/>
              <w:bottom w:val="nil"/>
              <w:right w:val="nil"/>
            </w:tcBorders>
            <w:shd w:val="clear" w:color="auto" w:fill="auto"/>
            <w:noWrap/>
            <w:vAlign w:val="center"/>
            <w:hideMark/>
          </w:tcPr>
          <w:p w14:paraId="61D6D540" w14:textId="77777777" w:rsidR="006967AF" w:rsidRPr="00AB315F" w:rsidRDefault="006967AF" w:rsidP="00EC4A80">
            <w:pPr>
              <w:jc w:val="center"/>
              <w:rPr>
                <w:rFonts w:ascii="Calibri" w:hAnsi="Calibri"/>
                <w:sz w:val="22"/>
                <w:szCs w:val="22"/>
              </w:rPr>
            </w:pPr>
            <w:r w:rsidRPr="00AB315F">
              <w:rPr>
                <w:rFonts w:ascii="Calibri" w:hAnsi="Calibri"/>
                <w:sz w:val="22"/>
                <w:szCs w:val="22"/>
              </w:rPr>
              <w:t>0,84</w:t>
            </w:r>
          </w:p>
        </w:tc>
        <w:tc>
          <w:tcPr>
            <w:tcW w:w="960" w:type="dxa"/>
            <w:tcBorders>
              <w:top w:val="nil"/>
              <w:left w:val="single" w:sz="4" w:space="0" w:color="auto"/>
              <w:bottom w:val="nil"/>
              <w:right w:val="nil"/>
            </w:tcBorders>
            <w:shd w:val="clear" w:color="auto" w:fill="auto"/>
            <w:noWrap/>
            <w:vAlign w:val="center"/>
            <w:hideMark/>
          </w:tcPr>
          <w:p w14:paraId="09BFEE31" w14:textId="77777777" w:rsidR="006967AF" w:rsidRPr="00AB315F" w:rsidRDefault="006967AF" w:rsidP="00EC4A80">
            <w:pPr>
              <w:jc w:val="center"/>
              <w:rPr>
                <w:rFonts w:ascii="Calibri" w:hAnsi="Calibri"/>
                <w:sz w:val="22"/>
                <w:szCs w:val="22"/>
              </w:rPr>
            </w:pPr>
            <w:r w:rsidRPr="00AB315F">
              <w:rPr>
                <w:rFonts w:ascii="Calibri" w:hAnsi="Calibri"/>
                <w:sz w:val="22"/>
                <w:szCs w:val="22"/>
              </w:rPr>
              <w:t>0,401</w:t>
            </w:r>
          </w:p>
        </w:tc>
      </w:tr>
      <w:tr w:rsidR="006967AF" w:rsidRPr="00AB315F" w14:paraId="6387842E" w14:textId="77777777" w:rsidTr="001C63EB">
        <w:trPr>
          <w:trHeight w:val="290"/>
        </w:trPr>
        <w:tc>
          <w:tcPr>
            <w:tcW w:w="4700" w:type="dxa"/>
            <w:tcBorders>
              <w:top w:val="nil"/>
              <w:bottom w:val="nil"/>
              <w:right w:val="nil"/>
            </w:tcBorders>
            <w:shd w:val="clear" w:color="auto" w:fill="auto"/>
            <w:vAlign w:val="center"/>
            <w:hideMark/>
          </w:tcPr>
          <w:p w14:paraId="56D998EE" w14:textId="77777777" w:rsidR="006967AF" w:rsidRPr="00AB315F" w:rsidRDefault="006967AF" w:rsidP="00EC4A80">
            <w:pPr>
              <w:jc w:val="center"/>
              <w:rPr>
                <w:rFonts w:ascii="Calibri" w:hAnsi="Calibri"/>
                <w:sz w:val="20"/>
                <w:szCs w:val="20"/>
              </w:rPr>
            </w:pPr>
            <w:r w:rsidRPr="00AB315F">
              <w:rPr>
                <w:rFonts w:ascii="Calibri" w:hAnsi="Calibri"/>
                <w:sz w:val="20"/>
                <w:szCs w:val="20"/>
              </w:rPr>
              <w:t>Má</w:t>
            </w:r>
          </w:p>
        </w:tc>
        <w:tc>
          <w:tcPr>
            <w:tcW w:w="960" w:type="dxa"/>
            <w:tcBorders>
              <w:top w:val="nil"/>
              <w:left w:val="single" w:sz="4" w:space="0" w:color="auto"/>
              <w:bottom w:val="nil"/>
              <w:right w:val="nil"/>
            </w:tcBorders>
            <w:shd w:val="clear" w:color="auto" w:fill="auto"/>
            <w:noWrap/>
            <w:vAlign w:val="center"/>
            <w:hideMark/>
          </w:tcPr>
          <w:p w14:paraId="74CCCA15" w14:textId="77777777" w:rsidR="006967AF" w:rsidRPr="00AB315F" w:rsidRDefault="006967AF" w:rsidP="00EC4A80">
            <w:pPr>
              <w:jc w:val="center"/>
              <w:rPr>
                <w:rFonts w:ascii="Calibri" w:hAnsi="Calibri"/>
                <w:sz w:val="22"/>
                <w:szCs w:val="22"/>
              </w:rPr>
            </w:pPr>
            <w:r w:rsidRPr="00AB315F">
              <w:rPr>
                <w:rFonts w:ascii="Calibri" w:hAnsi="Calibri"/>
                <w:sz w:val="22"/>
                <w:szCs w:val="22"/>
              </w:rPr>
              <w:t>1,983</w:t>
            </w:r>
          </w:p>
        </w:tc>
        <w:tc>
          <w:tcPr>
            <w:tcW w:w="1112" w:type="dxa"/>
            <w:tcBorders>
              <w:top w:val="nil"/>
              <w:left w:val="single" w:sz="4" w:space="0" w:color="auto"/>
              <w:bottom w:val="nil"/>
              <w:right w:val="nil"/>
            </w:tcBorders>
            <w:shd w:val="clear" w:color="auto" w:fill="auto"/>
            <w:noWrap/>
            <w:vAlign w:val="center"/>
            <w:hideMark/>
          </w:tcPr>
          <w:p w14:paraId="6F718FD9" w14:textId="77777777" w:rsidR="006967AF" w:rsidRPr="00AB315F" w:rsidRDefault="006967AF" w:rsidP="00EC4A80">
            <w:pPr>
              <w:jc w:val="center"/>
              <w:rPr>
                <w:rFonts w:ascii="Calibri" w:hAnsi="Calibri"/>
                <w:sz w:val="22"/>
                <w:szCs w:val="22"/>
              </w:rPr>
            </w:pPr>
            <w:r w:rsidRPr="00AB315F">
              <w:rPr>
                <w:rFonts w:ascii="Calibri" w:hAnsi="Calibri"/>
                <w:sz w:val="22"/>
                <w:szCs w:val="22"/>
              </w:rPr>
              <w:t>0,751</w:t>
            </w:r>
          </w:p>
        </w:tc>
        <w:tc>
          <w:tcPr>
            <w:tcW w:w="960" w:type="dxa"/>
            <w:tcBorders>
              <w:top w:val="nil"/>
              <w:left w:val="single" w:sz="4" w:space="0" w:color="auto"/>
              <w:bottom w:val="nil"/>
              <w:right w:val="nil"/>
            </w:tcBorders>
            <w:shd w:val="clear" w:color="000000" w:fill="D9D9D9"/>
            <w:noWrap/>
            <w:vAlign w:val="center"/>
            <w:hideMark/>
          </w:tcPr>
          <w:p w14:paraId="72A85A5C" w14:textId="77777777" w:rsidR="006967AF" w:rsidRPr="00AB315F" w:rsidRDefault="006967AF" w:rsidP="00EC4A80">
            <w:pPr>
              <w:jc w:val="center"/>
              <w:rPr>
                <w:rFonts w:ascii="Calibri" w:hAnsi="Calibri"/>
                <w:sz w:val="22"/>
                <w:szCs w:val="22"/>
              </w:rPr>
            </w:pPr>
            <w:r w:rsidRPr="00AB315F">
              <w:rPr>
                <w:rFonts w:ascii="Calibri" w:hAnsi="Calibri"/>
                <w:sz w:val="22"/>
                <w:szCs w:val="22"/>
              </w:rPr>
              <w:t>1,81</w:t>
            </w:r>
          </w:p>
        </w:tc>
        <w:tc>
          <w:tcPr>
            <w:tcW w:w="960" w:type="dxa"/>
            <w:tcBorders>
              <w:top w:val="nil"/>
              <w:left w:val="single" w:sz="4" w:space="0" w:color="auto"/>
              <w:bottom w:val="nil"/>
              <w:right w:val="nil"/>
            </w:tcBorders>
            <w:shd w:val="clear" w:color="auto" w:fill="auto"/>
            <w:noWrap/>
            <w:vAlign w:val="center"/>
            <w:hideMark/>
          </w:tcPr>
          <w:p w14:paraId="3F9F763B" w14:textId="77777777" w:rsidR="006967AF" w:rsidRPr="00AB315F" w:rsidRDefault="006967AF" w:rsidP="00EC4A80">
            <w:pPr>
              <w:jc w:val="center"/>
              <w:rPr>
                <w:rFonts w:ascii="Calibri" w:hAnsi="Calibri"/>
                <w:sz w:val="22"/>
                <w:szCs w:val="22"/>
              </w:rPr>
            </w:pPr>
            <w:r w:rsidRPr="00AB315F">
              <w:rPr>
                <w:rFonts w:ascii="Calibri" w:hAnsi="Calibri"/>
                <w:sz w:val="22"/>
                <w:szCs w:val="22"/>
              </w:rPr>
              <w:t>0,071</w:t>
            </w:r>
          </w:p>
        </w:tc>
      </w:tr>
      <w:tr w:rsidR="006967AF" w:rsidRPr="00AB315F" w14:paraId="17D7CF3A" w14:textId="77777777" w:rsidTr="001C63EB">
        <w:trPr>
          <w:trHeight w:val="290"/>
        </w:trPr>
        <w:tc>
          <w:tcPr>
            <w:tcW w:w="4700" w:type="dxa"/>
            <w:tcBorders>
              <w:top w:val="nil"/>
              <w:bottom w:val="single" w:sz="4" w:space="0" w:color="auto"/>
              <w:right w:val="nil"/>
            </w:tcBorders>
            <w:shd w:val="clear" w:color="auto" w:fill="auto"/>
            <w:vAlign w:val="center"/>
            <w:hideMark/>
          </w:tcPr>
          <w:p w14:paraId="60E6D53D" w14:textId="77777777" w:rsidR="006967AF" w:rsidRPr="00AB315F" w:rsidRDefault="006967AF" w:rsidP="00EC4A80">
            <w:pPr>
              <w:jc w:val="center"/>
              <w:rPr>
                <w:rFonts w:ascii="Calibri" w:hAnsi="Calibri"/>
                <w:sz w:val="20"/>
                <w:szCs w:val="20"/>
              </w:rPr>
            </w:pPr>
            <w:r w:rsidRPr="00AB315F">
              <w:rPr>
                <w:rFonts w:ascii="Calibri" w:hAnsi="Calibri"/>
                <w:sz w:val="20"/>
                <w:szCs w:val="20"/>
              </w:rPr>
              <w:t>Péssima</w:t>
            </w:r>
          </w:p>
        </w:tc>
        <w:tc>
          <w:tcPr>
            <w:tcW w:w="960" w:type="dxa"/>
            <w:tcBorders>
              <w:top w:val="nil"/>
              <w:left w:val="single" w:sz="4" w:space="0" w:color="auto"/>
              <w:bottom w:val="single" w:sz="4" w:space="0" w:color="auto"/>
              <w:right w:val="nil"/>
            </w:tcBorders>
            <w:shd w:val="clear" w:color="auto" w:fill="auto"/>
            <w:noWrap/>
            <w:vAlign w:val="center"/>
            <w:hideMark/>
          </w:tcPr>
          <w:p w14:paraId="128F8105" w14:textId="77777777" w:rsidR="006967AF" w:rsidRPr="00AB315F" w:rsidRDefault="006967AF" w:rsidP="00EC4A80">
            <w:pPr>
              <w:jc w:val="center"/>
              <w:rPr>
                <w:rFonts w:ascii="Calibri" w:hAnsi="Calibri"/>
                <w:sz w:val="22"/>
                <w:szCs w:val="22"/>
              </w:rPr>
            </w:pPr>
            <w:r w:rsidRPr="00AB315F">
              <w:rPr>
                <w:rFonts w:ascii="Calibri" w:hAnsi="Calibri"/>
                <w:sz w:val="22"/>
                <w:szCs w:val="22"/>
              </w:rPr>
              <w:t>1,371</w:t>
            </w:r>
          </w:p>
        </w:tc>
        <w:tc>
          <w:tcPr>
            <w:tcW w:w="1112" w:type="dxa"/>
            <w:tcBorders>
              <w:top w:val="nil"/>
              <w:left w:val="single" w:sz="4" w:space="0" w:color="auto"/>
              <w:bottom w:val="single" w:sz="4" w:space="0" w:color="auto"/>
              <w:right w:val="nil"/>
            </w:tcBorders>
            <w:shd w:val="clear" w:color="auto" w:fill="auto"/>
            <w:noWrap/>
            <w:vAlign w:val="center"/>
            <w:hideMark/>
          </w:tcPr>
          <w:p w14:paraId="265559F6" w14:textId="77777777" w:rsidR="006967AF" w:rsidRPr="00AB315F" w:rsidRDefault="006967AF" w:rsidP="00EC4A80">
            <w:pPr>
              <w:jc w:val="center"/>
              <w:rPr>
                <w:rFonts w:ascii="Calibri" w:hAnsi="Calibri"/>
                <w:sz w:val="22"/>
                <w:szCs w:val="22"/>
              </w:rPr>
            </w:pPr>
            <w:r w:rsidRPr="00AB315F">
              <w:rPr>
                <w:rFonts w:ascii="Calibri" w:hAnsi="Calibri"/>
                <w:sz w:val="22"/>
                <w:szCs w:val="22"/>
              </w:rPr>
              <w:t>0,885</w:t>
            </w:r>
          </w:p>
        </w:tc>
        <w:tc>
          <w:tcPr>
            <w:tcW w:w="960" w:type="dxa"/>
            <w:tcBorders>
              <w:top w:val="nil"/>
              <w:left w:val="single" w:sz="4" w:space="0" w:color="auto"/>
              <w:bottom w:val="single" w:sz="4" w:space="0" w:color="auto"/>
              <w:right w:val="nil"/>
            </w:tcBorders>
            <w:shd w:val="clear" w:color="auto" w:fill="auto"/>
            <w:noWrap/>
            <w:vAlign w:val="center"/>
            <w:hideMark/>
          </w:tcPr>
          <w:p w14:paraId="3368EE3C" w14:textId="77777777" w:rsidR="006967AF" w:rsidRPr="00AB315F" w:rsidRDefault="006967AF" w:rsidP="00EC4A80">
            <w:pPr>
              <w:jc w:val="center"/>
              <w:rPr>
                <w:rFonts w:ascii="Calibri" w:hAnsi="Calibri"/>
                <w:sz w:val="22"/>
                <w:szCs w:val="22"/>
              </w:rPr>
            </w:pPr>
            <w:r w:rsidRPr="00AB315F">
              <w:rPr>
                <w:rFonts w:ascii="Calibri" w:hAnsi="Calibri"/>
                <w:sz w:val="22"/>
                <w:szCs w:val="22"/>
              </w:rPr>
              <w:t>0,49</w:t>
            </w:r>
          </w:p>
        </w:tc>
        <w:tc>
          <w:tcPr>
            <w:tcW w:w="960" w:type="dxa"/>
            <w:tcBorders>
              <w:top w:val="nil"/>
              <w:left w:val="single" w:sz="4" w:space="0" w:color="auto"/>
              <w:bottom w:val="single" w:sz="4" w:space="0" w:color="auto"/>
              <w:right w:val="nil"/>
            </w:tcBorders>
            <w:shd w:val="clear" w:color="auto" w:fill="auto"/>
            <w:noWrap/>
            <w:vAlign w:val="center"/>
            <w:hideMark/>
          </w:tcPr>
          <w:p w14:paraId="5B8852A8" w14:textId="77777777" w:rsidR="006967AF" w:rsidRPr="00AB315F" w:rsidRDefault="006967AF" w:rsidP="00EC4A80">
            <w:pPr>
              <w:jc w:val="center"/>
              <w:rPr>
                <w:rFonts w:ascii="Calibri" w:hAnsi="Calibri"/>
                <w:sz w:val="22"/>
                <w:szCs w:val="22"/>
              </w:rPr>
            </w:pPr>
            <w:r w:rsidRPr="00AB315F">
              <w:rPr>
                <w:rFonts w:ascii="Calibri" w:hAnsi="Calibri"/>
                <w:sz w:val="22"/>
                <w:szCs w:val="22"/>
              </w:rPr>
              <w:t>0,625</w:t>
            </w:r>
          </w:p>
        </w:tc>
      </w:tr>
      <w:tr w:rsidR="006967AF" w:rsidRPr="00AB315F" w14:paraId="7DAE1A9F"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4D358F87" w14:textId="2B826DFA" w:rsidR="006967AF" w:rsidRPr="00AB315F" w:rsidRDefault="006967AF" w:rsidP="00EC4A80">
            <w:pPr>
              <w:jc w:val="center"/>
              <w:rPr>
                <w:rFonts w:ascii="Calibri" w:hAnsi="Calibri"/>
                <w:sz w:val="22"/>
                <w:szCs w:val="22"/>
              </w:rPr>
            </w:pPr>
            <w:r w:rsidRPr="00AB315F">
              <w:rPr>
                <w:rFonts w:ascii="Calibri" w:hAnsi="Calibri"/>
                <w:sz w:val="22"/>
                <w:szCs w:val="22"/>
              </w:rPr>
              <w:t>Líder Forte</w:t>
            </w:r>
            <w:r w:rsidR="005F62C0">
              <w:rPr>
                <w:rFonts w:ascii="Calibri" w:hAnsi="Calibri"/>
                <w:sz w:val="22"/>
                <w:szCs w:val="22"/>
              </w:rPr>
              <w:t xml:space="preserve"> (concorda – ref)</w:t>
            </w:r>
          </w:p>
        </w:tc>
        <w:tc>
          <w:tcPr>
            <w:tcW w:w="960" w:type="dxa"/>
            <w:tcBorders>
              <w:top w:val="nil"/>
              <w:left w:val="single" w:sz="4" w:space="0" w:color="auto"/>
              <w:bottom w:val="single" w:sz="4" w:space="0" w:color="auto"/>
              <w:right w:val="nil"/>
            </w:tcBorders>
            <w:shd w:val="clear" w:color="auto" w:fill="auto"/>
            <w:noWrap/>
            <w:vAlign w:val="center"/>
            <w:hideMark/>
          </w:tcPr>
          <w:p w14:paraId="1AD0155F" w14:textId="77777777" w:rsidR="006967AF" w:rsidRPr="00AB315F" w:rsidRDefault="006967AF" w:rsidP="00EC4A80">
            <w:pPr>
              <w:jc w:val="center"/>
              <w:rPr>
                <w:rFonts w:ascii="Calibri" w:hAnsi="Calibri"/>
                <w:sz w:val="22"/>
                <w:szCs w:val="22"/>
              </w:rPr>
            </w:pPr>
            <w:r w:rsidRPr="00AB315F">
              <w:rPr>
                <w:rFonts w:ascii="Calibri" w:hAnsi="Calibri"/>
                <w:sz w:val="22"/>
                <w:szCs w:val="22"/>
              </w:rPr>
              <w:t>0,562</w:t>
            </w:r>
          </w:p>
        </w:tc>
        <w:tc>
          <w:tcPr>
            <w:tcW w:w="1112" w:type="dxa"/>
            <w:tcBorders>
              <w:top w:val="nil"/>
              <w:left w:val="single" w:sz="4" w:space="0" w:color="auto"/>
              <w:bottom w:val="single" w:sz="4" w:space="0" w:color="auto"/>
              <w:right w:val="nil"/>
            </w:tcBorders>
            <w:shd w:val="clear" w:color="auto" w:fill="auto"/>
            <w:noWrap/>
            <w:vAlign w:val="center"/>
            <w:hideMark/>
          </w:tcPr>
          <w:p w14:paraId="3BD0A37F" w14:textId="77777777" w:rsidR="006967AF" w:rsidRPr="00AB315F" w:rsidRDefault="006967AF" w:rsidP="00EC4A80">
            <w:pPr>
              <w:jc w:val="center"/>
              <w:rPr>
                <w:rFonts w:ascii="Calibri" w:hAnsi="Calibri"/>
                <w:sz w:val="22"/>
                <w:szCs w:val="22"/>
              </w:rPr>
            </w:pPr>
            <w:r w:rsidRPr="00AB315F">
              <w:rPr>
                <w:rFonts w:ascii="Calibri" w:hAnsi="Calibri"/>
                <w:sz w:val="22"/>
                <w:szCs w:val="22"/>
              </w:rPr>
              <w:t>0,140</w:t>
            </w:r>
          </w:p>
        </w:tc>
        <w:tc>
          <w:tcPr>
            <w:tcW w:w="960" w:type="dxa"/>
            <w:tcBorders>
              <w:top w:val="nil"/>
              <w:left w:val="single" w:sz="4" w:space="0" w:color="auto"/>
              <w:bottom w:val="single" w:sz="4" w:space="0" w:color="auto"/>
              <w:right w:val="nil"/>
            </w:tcBorders>
            <w:shd w:val="clear" w:color="000000" w:fill="D9D9D9"/>
            <w:noWrap/>
            <w:vAlign w:val="center"/>
            <w:hideMark/>
          </w:tcPr>
          <w:p w14:paraId="4E1D0BA3" w14:textId="77777777" w:rsidR="006967AF" w:rsidRPr="00AB315F" w:rsidRDefault="006967AF" w:rsidP="00EC4A80">
            <w:pPr>
              <w:jc w:val="center"/>
              <w:rPr>
                <w:rFonts w:ascii="Calibri" w:hAnsi="Calibri"/>
                <w:sz w:val="22"/>
                <w:szCs w:val="22"/>
              </w:rPr>
            </w:pPr>
            <w:r w:rsidRPr="00AB315F">
              <w:rPr>
                <w:rFonts w:ascii="Calibri" w:hAnsi="Calibri"/>
                <w:sz w:val="22"/>
                <w:szCs w:val="22"/>
              </w:rPr>
              <w:t>-2,31</w:t>
            </w:r>
          </w:p>
        </w:tc>
        <w:tc>
          <w:tcPr>
            <w:tcW w:w="960" w:type="dxa"/>
            <w:tcBorders>
              <w:top w:val="nil"/>
              <w:left w:val="single" w:sz="4" w:space="0" w:color="auto"/>
              <w:bottom w:val="single" w:sz="4" w:space="0" w:color="auto"/>
              <w:right w:val="nil"/>
            </w:tcBorders>
            <w:shd w:val="clear" w:color="auto" w:fill="auto"/>
            <w:noWrap/>
            <w:vAlign w:val="center"/>
            <w:hideMark/>
          </w:tcPr>
          <w:p w14:paraId="4B545783" w14:textId="77777777" w:rsidR="006967AF" w:rsidRPr="00AB315F" w:rsidRDefault="006967AF" w:rsidP="00EC4A80">
            <w:pPr>
              <w:jc w:val="center"/>
              <w:rPr>
                <w:rFonts w:ascii="Calibri" w:hAnsi="Calibri"/>
                <w:sz w:val="22"/>
                <w:szCs w:val="22"/>
              </w:rPr>
            </w:pPr>
            <w:r w:rsidRPr="00AB315F">
              <w:rPr>
                <w:rFonts w:ascii="Calibri" w:hAnsi="Calibri"/>
                <w:sz w:val="22"/>
                <w:szCs w:val="22"/>
              </w:rPr>
              <w:t>0,021</w:t>
            </w:r>
          </w:p>
        </w:tc>
      </w:tr>
      <w:tr w:rsidR="006967AF" w:rsidRPr="00AB315F" w14:paraId="2CFE5060"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1B404465" w14:textId="77777777" w:rsidR="006967AF" w:rsidRPr="00AB315F" w:rsidRDefault="006967AF" w:rsidP="00EC4A80">
            <w:pPr>
              <w:jc w:val="center"/>
              <w:rPr>
                <w:rFonts w:ascii="Calibri" w:hAnsi="Calibri"/>
                <w:sz w:val="22"/>
                <w:szCs w:val="22"/>
              </w:rPr>
            </w:pPr>
            <w:r w:rsidRPr="00AB315F">
              <w:rPr>
                <w:rFonts w:ascii="Calibri" w:hAnsi="Calibri"/>
                <w:sz w:val="22"/>
                <w:szCs w:val="22"/>
              </w:rPr>
              <w:t>Utilizou serviços médicos públicos</w:t>
            </w:r>
          </w:p>
        </w:tc>
        <w:tc>
          <w:tcPr>
            <w:tcW w:w="960" w:type="dxa"/>
            <w:tcBorders>
              <w:top w:val="nil"/>
              <w:left w:val="single" w:sz="4" w:space="0" w:color="auto"/>
              <w:bottom w:val="single" w:sz="4" w:space="0" w:color="auto"/>
              <w:right w:val="nil"/>
            </w:tcBorders>
            <w:shd w:val="clear" w:color="auto" w:fill="auto"/>
            <w:noWrap/>
            <w:vAlign w:val="center"/>
            <w:hideMark/>
          </w:tcPr>
          <w:p w14:paraId="0B8C8946" w14:textId="77777777" w:rsidR="006967AF" w:rsidRPr="00AB315F" w:rsidRDefault="006967AF" w:rsidP="00EC4A80">
            <w:pPr>
              <w:jc w:val="center"/>
              <w:rPr>
                <w:rFonts w:ascii="Calibri" w:hAnsi="Calibri"/>
                <w:sz w:val="22"/>
                <w:szCs w:val="22"/>
              </w:rPr>
            </w:pPr>
            <w:r w:rsidRPr="00AB315F">
              <w:rPr>
                <w:rFonts w:ascii="Calibri" w:hAnsi="Calibri"/>
                <w:sz w:val="22"/>
                <w:szCs w:val="22"/>
              </w:rPr>
              <w:t>0,698</w:t>
            </w:r>
          </w:p>
        </w:tc>
        <w:tc>
          <w:tcPr>
            <w:tcW w:w="1112" w:type="dxa"/>
            <w:tcBorders>
              <w:top w:val="nil"/>
              <w:left w:val="single" w:sz="4" w:space="0" w:color="auto"/>
              <w:bottom w:val="single" w:sz="4" w:space="0" w:color="auto"/>
              <w:right w:val="nil"/>
            </w:tcBorders>
            <w:shd w:val="clear" w:color="auto" w:fill="auto"/>
            <w:noWrap/>
            <w:vAlign w:val="center"/>
            <w:hideMark/>
          </w:tcPr>
          <w:p w14:paraId="297AE6D9" w14:textId="77777777" w:rsidR="006967AF" w:rsidRPr="00AB315F" w:rsidRDefault="006967AF" w:rsidP="00EC4A80">
            <w:pPr>
              <w:jc w:val="center"/>
              <w:rPr>
                <w:rFonts w:ascii="Calibri" w:hAnsi="Calibri"/>
                <w:sz w:val="22"/>
                <w:szCs w:val="22"/>
              </w:rPr>
            </w:pPr>
            <w:r w:rsidRPr="00AB315F">
              <w:rPr>
                <w:rFonts w:ascii="Calibri" w:hAnsi="Calibri"/>
                <w:sz w:val="22"/>
                <w:szCs w:val="22"/>
              </w:rPr>
              <w:t>0,150</w:t>
            </w:r>
          </w:p>
        </w:tc>
        <w:tc>
          <w:tcPr>
            <w:tcW w:w="960" w:type="dxa"/>
            <w:tcBorders>
              <w:top w:val="nil"/>
              <w:left w:val="single" w:sz="4" w:space="0" w:color="auto"/>
              <w:bottom w:val="single" w:sz="4" w:space="0" w:color="auto"/>
              <w:right w:val="nil"/>
            </w:tcBorders>
            <w:shd w:val="clear" w:color="000000" w:fill="D9D9D9"/>
            <w:noWrap/>
            <w:vAlign w:val="center"/>
            <w:hideMark/>
          </w:tcPr>
          <w:p w14:paraId="6AF6D0F2" w14:textId="77777777" w:rsidR="006967AF" w:rsidRPr="00AB315F" w:rsidRDefault="006967AF" w:rsidP="00EC4A80">
            <w:pPr>
              <w:jc w:val="center"/>
              <w:rPr>
                <w:rFonts w:ascii="Calibri" w:hAnsi="Calibri"/>
                <w:sz w:val="22"/>
                <w:szCs w:val="22"/>
              </w:rPr>
            </w:pPr>
            <w:r w:rsidRPr="00AB315F">
              <w:rPr>
                <w:rFonts w:ascii="Calibri" w:hAnsi="Calibri"/>
                <w:sz w:val="22"/>
                <w:szCs w:val="22"/>
              </w:rPr>
              <w:t>-1,68</w:t>
            </w:r>
          </w:p>
        </w:tc>
        <w:tc>
          <w:tcPr>
            <w:tcW w:w="960" w:type="dxa"/>
            <w:tcBorders>
              <w:top w:val="nil"/>
              <w:left w:val="single" w:sz="4" w:space="0" w:color="auto"/>
              <w:bottom w:val="single" w:sz="4" w:space="0" w:color="auto"/>
              <w:right w:val="nil"/>
            </w:tcBorders>
            <w:shd w:val="clear" w:color="auto" w:fill="auto"/>
            <w:noWrap/>
            <w:vAlign w:val="center"/>
            <w:hideMark/>
          </w:tcPr>
          <w:p w14:paraId="19BAC402" w14:textId="77777777" w:rsidR="006967AF" w:rsidRPr="00AB315F" w:rsidRDefault="006967AF" w:rsidP="00EC4A80">
            <w:pPr>
              <w:jc w:val="center"/>
              <w:rPr>
                <w:rFonts w:ascii="Calibri" w:hAnsi="Calibri"/>
                <w:sz w:val="22"/>
                <w:szCs w:val="22"/>
              </w:rPr>
            </w:pPr>
            <w:r w:rsidRPr="00AB315F">
              <w:rPr>
                <w:rFonts w:ascii="Calibri" w:hAnsi="Calibri"/>
                <w:sz w:val="22"/>
                <w:szCs w:val="22"/>
              </w:rPr>
              <w:t>0,093</w:t>
            </w:r>
          </w:p>
        </w:tc>
      </w:tr>
      <w:tr w:rsidR="006967AF" w:rsidRPr="00AB315F" w14:paraId="708E9B66"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335E4FF0" w14:textId="77777777" w:rsidR="006967AF" w:rsidRPr="00AB315F" w:rsidRDefault="006967AF" w:rsidP="00EC4A80">
            <w:pPr>
              <w:jc w:val="center"/>
              <w:rPr>
                <w:rFonts w:ascii="Calibri" w:hAnsi="Calibri"/>
                <w:sz w:val="22"/>
                <w:szCs w:val="22"/>
              </w:rPr>
            </w:pPr>
            <w:r w:rsidRPr="00AB315F">
              <w:rPr>
                <w:rFonts w:ascii="Calibri" w:hAnsi="Calibri"/>
                <w:sz w:val="22"/>
                <w:szCs w:val="22"/>
              </w:rPr>
              <w:t xml:space="preserve"> Assiste às notícias na televisão todos os dias</w:t>
            </w:r>
          </w:p>
        </w:tc>
        <w:tc>
          <w:tcPr>
            <w:tcW w:w="960" w:type="dxa"/>
            <w:tcBorders>
              <w:top w:val="nil"/>
              <w:left w:val="single" w:sz="4" w:space="0" w:color="auto"/>
              <w:bottom w:val="single" w:sz="4" w:space="0" w:color="auto"/>
              <w:right w:val="nil"/>
            </w:tcBorders>
            <w:shd w:val="clear" w:color="auto" w:fill="auto"/>
            <w:noWrap/>
            <w:vAlign w:val="center"/>
            <w:hideMark/>
          </w:tcPr>
          <w:p w14:paraId="442D7497" w14:textId="77777777" w:rsidR="006967AF" w:rsidRPr="00AB315F" w:rsidRDefault="006967AF" w:rsidP="00EC4A80">
            <w:pPr>
              <w:jc w:val="center"/>
              <w:rPr>
                <w:rFonts w:ascii="Calibri" w:hAnsi="Calibri"/>
                <w:sz w:val="22"/>
                <w:szCs w:val="22"/>
              </w:rPr>
            </w:pPr>
            <w:r w:rsidRPr="00AB315F">
              <w:rPr>
                <w:rFonts w:ascii="Calibri" w:hAnsi="Calibri"/>
                <w:sz w:val="22"/>
                <w:szCs w:val="22"/>
              </w:rPr>
              <w:t>1,139</w:t>
            </w:r>
          </w:p>
        </w:tc>
        <w:tc>
          <w:tcPr>
            <w:tcW w:w="1112" w:type="dxa"/>
            <w:tcBorders>
              <w:top w:val="nil"/>
              <w:left w:val="single" w:sz="4" w:space="0" w:color="auto"/>
              <w:bottom w:val="single" w:sz="4" w:space="0" w:color="auto"/>
              <w:right w:val="nil"/>
            </w:tcBorders>
            <w:shd w:val="clear" w:color="auto" w:fill="auto"/>
            <w:noWrap/>
            <w:vAlign w:val="center"/>
            <w:hideMark/>
          </w:tcPr>
          <w:p w14:paraId="1EDEACDC" w14:textId="77777777" w:rsidR="006967AF" w:rsidRPr="00AB315F" w:rsidRDefault="006967AF" w:rsidP="00EC4A80">
            <w:pPr>
              <w:jc w:val="center"/>
              <w:rPr>
                <w:rFonts w:ascii="Calibri" w:hAnsi="Calibri"/>
                <w:sz w:val="22"/>
                <w:szCs w:val="22"/>
              </w:rPr>
            </w:pPr>
            <w:r w:rsidRPr="00AB315F">
              <w:rPr>
                <w:rFonts w:ascii="Calibri" w:hAnsi="Calibri"/>
                <w:sz w:val="22"/>
                <w:szCs w:val="22"/>
              </w:rPr>
              <w:t>0,270</w:t>
            </w:r>
          </w:p>
        </w:tc>
        <w:tc>
          <w:tcPr>
            <w:tcW w:w="960" w:type="dxa"/>
            <w:tcBorders>
              <w:top w:val="nil"/>
              <w:left w:val="single" w:sz="4" w:space="0" w:color="auto"/>
              <w:bottom w:val="single" w:sz="4" w:space="0" w:color="auto"/>
              <w:right w:val="nil"/>
            </w:tcBorders>
            <w:shd w:val="clear" w:color="auto" w:fill="auto"/>
            <w:noWrap/>
            <w:vAlign w:val="center"/>
            <w:hideMark/>
          </w:tcPr>
          <w:p w14:paraId="5F9A2BE4" w14:textId="77777777" w:rsidR="006967AF" w:rsidRPr="00AB315F" w:rsidRDefault="006967AF" w:rsidP="00EC4A80">
            <w:pPr>
              <w:jc w:val="center"/>
              <w:rPr>
                <w:rFonts w:ascii="Calibri" w:hAnsi="Calibri"/>
                <w:sz w:val="22"/>
                <w:szCs w:val="22"/>
              </w:rPr>
            </w:pPr>
            <w:r w:rsidRPr="00AB315F">
              <w:rPr>
                <w:rFonts w:ascii="Calibri" w:hAnsi="Calibri"/>
                <w:sz w:val="22"/>
                <w:szCs w:val="22"/>
              </w:rPr>
              <w:t>0,55</w:t>
            </w:r>
          </w:p>
        </w:tc>
        <w:tc>
          <w:tcPr>
            <w:tcW w:w="960" w:type="dxa"/>
            <w:tcBorders>
              <w:top w:val="nil"/>
              <w:left w:val="single" w:sz="4" w:space="0" w:color="auto"/>
              <w:bottom w:val="single" w:sz="4" w:space="0" w:color="auto"/>
              <w:right w:val="nil"/>
            </w:tcBorders>
            <w:shd w:val="clear" w:color="auto" w:fill="auto"/>
            <w:noWrap/>
            <w:vAlign w:val="center"/>
            <w:hideMark/>
          </w:tcPr>
          <w:p w14:paraId="3892BDF8" w14:textId="77777777" w:rsidR="006967AF" w:rsidRPr="00AB315F" w:rsidRDefault="006967AF" w:rsidP="00EC4A80">
            <w:pPr>
              <w:jc w:val="center"/>
              <w:rPr>
                <w:rFonts w:ascii="Calibri" w:hAnsi="Calibri"/>
                <w:sz w:val="22"/>
                <w:szCs w:val="22"/>
              </w:rPr>
            </w:pPr>
            <w:r w:rsidRPr="00AB315F">
              <w:rPr>
                <w:rFonts w:ascii="Calibri" w:hAnsi="Calibri"/>
                <w:sz w:val="22"/>
                <w:szCs w:val="22"/>
              </w:rPr>
              <w:t>0,581</w:t>
            </w:r>
          </w:p>
        </w:tc>
      </w:tr>
      <w:tr w:rsidR="006967AF" w:rsidRPr="00AB315F" w14:paraId="3E044B39"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29EC7CC3" w14:textId="77777777" w:rsidR="006967AF" w:rsidRPr="00AB315F" w:rsidRDefault="006967AF" w:rsidP="00EC4A80">
            <w:pPr>
              <w:jc w:val="center"/>
              <w:rPr>
                <w:rFonts w:ascii="Calibri" w:hAnsi="Calibri"/>
                <w:sz w:val="22"/>
                <w:szCs w:val="22"/>
              </w:rPr>
            </w:pPr>
            <w:r w:rsidRPr="00AB315F">
              <w:rPr>
                <w:rFonts w:ascii="Calibri" w:hAnsi="Calibri"/>
                <w:sz w:val="22"/>
                <w:szCs w:val="22"/>
              </w:rPr>
              <w:t>Escuta notícias no rádio todos os dias</w:t>
            </w:r>
          </w:p>
        </w:tc>
        <w:tc>
          <w:tcPr>
            <w:tcW w:w="960" w:type="dxa"/>
            <w:tcBorders>
              <w:top w:val="nil"/>
              <w:left w:val="single" w:sz="4" w:space="0" w:color="auto"/>
              <w:bottom w:val="single" w:sz="4" w:space="0" w:color="auto"/>
              <w:right w:val="nil"/>
            </w:tcBorders>
            <w:shd w:val="clear" w:color="auto" w:fill="auto"/>
            <w:noWrap/>
            <w:vAlign w:val="center"/>
            <w:hideMark/>
          </w:tcPr>
          <w:p w14:paraId="707AFD1C" w14:textId="77777777" w:rsidR="006967AF" w:rsidRPr="00AB315F" w:rsidRDefault="006967AF" w:rsidP="00EC4A80">
            <w:pPr>
              <w:jc w:val="center"/>
              <w:rPr>
                <w:rFonts w:ascii="Calibri" w:hAnsi="Calibri"/>
                <w:sz w:val="22"/>
                <w:szCs w:val="22"/>
              </w:rPr>
            </w:pPr>
            <w:r w:rsidRPr="00AB315F">
              <w:rPr>
                <w:rFonts w:ascii="Calibri" w:hAnsi="Calibri"/>
                <w:sz w:val="22"/>
                <w:szCs w:val="22"/>
              </w:rPr>
              <w:t>0,743</w:t>
            </w:r>
          </w:p>
        </w:tc>
        <w:tc>
          <w:tcPr>
            <w:tcW w:w="1112" w:type="dxa"/>
            <w:tcBorders>
              <w:top w:val="nil"/>
              <w:left w:val="single" w:sz="4" w:space="0" w:color="auto"/>
              <w:bottom w:val="single" w:sz="4" w:space="0" w:color="auto"/>
              <w:right w:val="nil"/>
            </w:tcBorders>
            <w:shd w:val="clear" w:color="auto" w:fill="auto"/>
            <w:noWrap/>
            <w:vAlign w:val="center"/>
            <w:hideMark/>
          </w:tcPr>
          <w:p w14:paraId="394D04D2" w14:textId="77777777" w:rsidR="006967AF" w:rsidRPr="00AB315F" w:rsidRDefault="006967AF" w:rsidP="00EC4A80">
            <w:pPr>
              <w:jc w:val="center"/>
              <w:rPr>
                <w:rFonts w:ascii="Calibri" w:hAnsi="Calibri"/>
                <w:sz w:val="22"/>
                <w:szCs w:val="22"/>
              </w:rPr>
            </w:pPr>
            <w:r w:rsidRPr="00AB315F">
              <w:rPr>
                <w:rFonts w:ascii="Calibri" w:hAnsi="Calibri"/>
                <w:sz w:val="22"/>
                <w:szCs w:val="22"/>
              </w:rPr>
              <w:t>0,153</w:t>
            </w:r>
          </w:p>
        </w:tc>
        <w:tc>
          <w:tcPr>
            <w:tcW w:w="960" w:type="dxa"/>
            <w:tcBorders>
              <w:top w:val="nil"/>
              <w:left w:val="single" w:sz="4" w:space="0" w:color="auto"/>
              <w:bottom w:val="single" w:sz="4" w:space="0" w:color="auto"/>
              <w:right w:val="nil"/>
            </w:tcBorders>
            <w:shd w:val="clear" w:color="auto" w:fill="auto"/>
            <w:noWrap/>
            <w:vAlign w:val="center"/>
            <w:hideMark/>
          </w:tcPr>
          <w:p w14:paraId="5ABECA9F" w14:textId="77777777" w:rsidR="006967AF" w:rsidRPr="00AB315F" w:rsidRDefault="006967AF" w:rsidP="00EC4A80">
            <w:pPr>
              <w:jc w:val="center"/>
              <w:rPr>
                <w:rFonts w:ascii="Calibri" w:hAnsi="Calibri"/>
                <w:sz w:val="22"/>
                <w:szCs w:val="22"/>
              </w:rPr>
            </w:pPr>
            <w:r w:rsidRPr="00AB315F">
              <w:rPr>
                <w:rFonts w:ascii="Calibri" w:hAnsi="Calibri"/>
                <w:sz w:val="22"/>
                <w:szCs w:val="22"/>
              </w:rPr>
              <w:t>-1,44</w:t>
            </w:r>
          </w:p>
        </w:tc>
        <w:tc>
          <w:tcPr>
            <w:tcW w:w="960" w:type="dxa"/>
            <w:tcBorders>
              <w:top w:val="nil"/>
              <w:left w:val="single" w:sz="4" w:space="0" w:color="auto"/>
              <w:bottom w:val="single" w:sz="4" w:space="0" w:color="auto"/>
              <w:right w:val="nil"/>
            </w:tcBorders>
            <w:shd w:val="clear" w:color="auto" w:fill="auto"/>
            <w:noWrap/>
            <w:vAlign w:val="center"/>
            <w:hideMark/>
          </w:tcPr>
          <w:p w14:paraId="647029E6" w14:textId="77777777" w:rsidR="006967AF" w:rsidRPr="00AB315F" w:rsidRDefault="006967AF" w:rsidP="00EC4A80">
            <w:pPr>
              <w:jc w:val="center"/>
              <w:rPr>
                <w:rFonts w:ascii="Calibri" w:hAnsi="Calibri"/>
                <w:sz w:val="22"/>
                <w:szCs w:val="22"/>
              </w:rPr>
            </w:pPr>
            <w:r w:rsidRPr="00AB315F">
              <w:rPr>
                <w:rFonts w:ascii="Calibri" w:hAnsi="Calibri"/>
                <w:sz w:val="22"/>
                <w:szCs w:val="22"/>
              </w:rPr>
              <w:t>0,149</w:t>
            </w:r>
          </w:p>
        </w:tc>
      </w:tr>
      <w:tr w:rsidR="006967AF" w:rsidRPr="00AB315F" w14:paraId="69FFC6B3"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45C6AE69" w14:textId="4A664295" w:rsidR="006967AF" w:rsidRPr="00AB315F" w:rsidRDefault="006967AF" w:rsidP="00EC4A80">
            <w:pPr>
              <w:jc w:val="center"/>
              <w:rPr>
                <w:rFonts w:ascii="Calibri" w:hAnsi="Calibri"/>
                <w:sz w:val="22"/>
                <w:szCs w:val="22"/>
              </w:rPr>
            </w:pPr>
            <w:r w:rsidRPr="00AB315F">
              <w:rPr>
                <w:rFonts w:ascii="Calibri" w:hAnsi="Calibri"/>
                <w:sz w:val="22"/>
                <w:szCs w:val="22"/>
              </w:rPr>
              <w:t>Lê as notícias nos jornais todos os dias</w:t>
            </w:r>
            <w:r w:rsidR="005F62C0">
              <w:rPr>
                <w:rFonts w:ascii="Calibri" w:hAnsi="Calibri"/>
                <w:sz w:val="22"/>
                <w:szCs w:val="22"/>
              </w:rPr>
              <w:t xml:space="preserve"> </w:t>
            </w:r>
          </w:p>
        </w:tc>
        <w:tc>
          <w:tcPr>
            <w:tcW w:w="960" w:type="dxa"/>
            <w:tcBorders>
              <w:top w:val="nil"/>
              <w:left w:val="single" w:sz="4" w:space="0" w:color="auto"/>
              <w:bottom w:val="single" w:sz="4" w:space="0" w:color="auto"/>
              <w:right w:val="nil"/>
            </w:tcBorders>
            <w:shd w:val="clear" w:color="auto" w:fill="auto"/>
            <w:noWrap/>
            <w:vAlign w:val="center"/>
            <w:hideMark/>
          </w:tcPr>
          <w:p w14:paraId="721DD0C7" w14:textId="77777777" w:rsidR="006967AF" w:rsidRPr="00AB315F" w:rsidRDefault="006967AF" w:rsidP="00EC4A80">
            <w:pPr>
              <w:jc w:val="center"/>
              <w:rPr>
                <w:rFonts w:ascii="Calibri" w:hAnsi="Calibri"/>
                <w:sz w:val="22"/>
                <w:szCs w:val="22"/>
              </w:rPr>
            </w:pPr>
            <w:r w:rsidRPr="00AB315F">
              <w:rPr>
                <w:rFonts w:ascii="Calibri" w:hAnsi="Calibri"/>
                <w:sz w:val="22"/>
                <w:szCs w:val="22"/>
              </w:rPr>
              <w:t>2,818</w:t>
            </w:r>
          </w:p>
        </w:tc>
        <w:tc>
          <w:tcPr>
            <w:tcW w:w="1112" w:type="dxa"/>
            <w:tcBorders>
              <w:top w:val="nil"/>
              <w:left w:val="single" w:sz="4" w:space="0" w:color="auto"/>
              <w:bottom w:val="single" w:sz="4" w:space="0" w:color="auto"/>
              <w:right w:val="nil"/>
            </w:tcBorders>
            <w:shd w:val="clear" w:color="auto" w:fill="auto"/>
            <w:noWrap/>
            <w:vAlign w:val="center"/>
            <w:hideMark/>
          </w:tcPr>
          <w:p w14:paraId="7CDF4BF0" w14:textId="77777777" w:rsidR="006967AF" w:rsidRPr="00AB315F" w:rsidRDefault="006967AF" w:rsidP="00EC4A80">
            <w:pPr>
              <w:jc w:val="center"/>
              <w:rPr>
                <w:rFonts w:ascii="Calibri" w:hAnsi="Calibri"/>
                <w:sz w:val="22"/>
                <w:szCs w:val="22"/>
              </w:rPr>
            </w:pPr>
            <w:r w:rsidRPr="00AB315F">
              <w:rPr>
                <w:rFonts w:ascii="Calibri" w:hAnsi="Calibri"/>
                <w:sz w:val="22"/>
                <w:szCs w:val="22"/>
              </w:rPr>
              <w:t>0,980</w:t>
            </w:r>
          </w:p>
        </w:tc>
        <w:tc>
          <w:tcPr>
            <w:tcW w:w="960" w:type="dxa"/>
            <w:tcBorders>
              <w:top w:val="nil"/>
              <w:left w:val="single" w:sz="4" w:space="0" w:color="auto"/>
              <w:bottom w:val="single" w:sz="4" w:space="0" w:color="auto"/>
              <w:right w:val="nil"/>
            </w:tcBorders>
            <w:shd w:val="clear" w:color="000000" w:fill="D9D9D9"/>
            <w:noWrap/>
            <w:vAlign w:val="center"/>
            <w:hideMark/>
          </w:tcPr>
          <w:p w14:paraId="1D713AE3" w14:textId="77777777" w:rsidR="006967AF" w:rsidRPr="00AB315F" w:rsidRDefault="006967AF" w:rsidP="00EC4A80">
            <w:pPr>
              <w:jc w:val="center"/>
              <w:rPr>
                <w:rFonts w:ascii="Calibri" w:hAnsi="Calibri"/>
                <w:sz w:val="22"/>
                <w:szCs w:val="22"/>
              </w:rPr>
            </w:pPr>
            <w:r w:rsidRPr="00AB315F">
              <w:rPr>
                <w:rFonts w:ascii="Calibri" w:hAnsi="Calibri"/>
                <w:sz w:val="22"/>
                <w:szCs w:val="22"/>
              </w:rPr>
              <w:t>2,98</w:t>
            </w:r>
          </w:p>
        </w:tc>
        <w:tc>
          <w:tcPr>
            <w:tcW w:w="960" w:type="dxa"/>
            <w:tcBorders>
              <w:top w:val="nil"/>
              <w:left w:val="single" w:sz="4" w:space="0" w:color="auto"/>
              <w:bottom w:val="single" w:sz="4" w:space="0" w:color="auto"/>
              <w:right w:val="nil"/>
            </w:tcBorders>
            <w:shd w:val="clear" w:color="auto" w:fill="auto"/>
            <w:noWrap/>
            <w:vAlign w:val="center"/>
            <w:hideMark/>
          </w:tcPr>
          <w:p w14:paraId="1BECE451" w14:textId="77777777" w:rsidR="006967AF" w:rsidRPr="00AB315F" w:rsidRDefault="006967AF" w:rsidP="00EC4A80">
            <w:pPr>
              <w:jc w:val="center"/>
              <w:rPr>
                <w:rFonts w:ascii="Calibri" w:hAnsi="Calibri"/>
                <w:sz w:val="22"/>
                <w:szCs w:val="22"/>
              </w:rPr>
            </w:pPr>
            <w:r w:rsidRPr="00AB315F">
              <w:rPr>
                <w:rFonts w:ascii="Calibri" w:hAnsi="Calibri"/>
                <w:sz w:val="22"/>
                <w:szCs w:val="22"/>
              </w:rPr>
              <w:t>0,003</w:t>
            </w:r>
          </w:p>
        </w:tc>
      </w:tr>
      <w:tr w:rsidR="006967AF" w:rsidRPr="00AB315F" w14:paraId="7DBBE21B"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1476A19D" w14:textId="77777777" w:rsidR="006967AF" w:rsidRPr="00AB315F" w:rsidRDefault="006967AF" w:rsidP="00EC4A80">
            <w:pPr>
              <w:jc w:val="center"/>
              <w:rPr>
                <w:rFonts w:ascii="Calibri" w:hAnsi="Calibri"/>
                <w:sz w:val="22"/>
                <w:szCs w:val="22"/>
              </w:rPr>
            </w:pPr>
            <w:r w:rsidRPr="00AB315F">
              <w:rPr>
                <w:rFonts w:ascii="Calibri" w:hAnsi="Calibri"/>
                <w:sz w:val="22"/>
                <w:szCs w:val="22"/>
              </w:rPr>
              <w:t xml:space="preserve"> Lê ou escuta as notícias via internet todos os dias</w:t>
            </w:r>
          </w:p>
        </w:tc>
        <w:tc>
          <w:tcPr>
            <w:tcW w:w="960" w:type="dxa"/>
            <w:tcBorders>
              <w:top w:val="nil"/>
              <w:left w:val="single" w:sz="4" w:space="0" w:color="auto"/>
              <w:bottom w:val="single" w:sz="4" w:space="0" w:color="auto"/>
              <w:right w:val="nil"/>
            </w:tcBorders>
            <w:shd w:val="clear" w:color="auto" w:fill="auto"/>
            <w:noWrap/>
            <w:vAlign w:val="center"/>
            <w:hideMark/>
          </w:tcPr>
          <w:p w14:paraId="2622BCAF" w14:textId="77777777" w:rsidR="006967AF" w:rsidRPr="00AB315F" w:rsidRDefault="006967AF" w:rsidP="00EC4A80">
            <w:pPr>
              <w:jc w:val="center"/>
              <w:rPr>
                <w:rFonts w:ascii="Calibri" w:hAnsi="Calibri"/>
                <w:sz w:val="22"/>
                <w:szCs w:val="22"/>
              </w:rPr>
            </w:pPr>
            <w:r w:rsidRPr="00AB315F">
              <w:rPr>
                <w:rFonts w:ascii="Calibri" w:hAnsi="Calibri"/>
                <w:sz w:val="22"/>
                <w:szCs w:val="22"/>
              </w:rPr>
              <w:t>1,748</w:t>
            </w:r>
          </w:p>
        </w:tc>
        <w:tc>
          <w:tcPr>
            <w:tcW w:w="1112" w:type="dxa"/>
            <w:tcBorders>
              <w:top w:val="nil"/>
              <w:left w:val="single" w:sz="4" w:space="0" w:color="auto"/>
              <w:bottom w:val="single" w:sz="4" w:space="0" w:color="auto"/>
              <w:right w:val="nil"/>
            </w:tcBorders>
            <w:shd w:val="clear" w:color="auto" w:fill="auto"/>
            <w:noWrap/>
            <w:vAlign w:val="center"/>
            <w:hideMark/>
          </w:tcPr>
          <w:p w14:paraId="1DAD4557" w14:textId="77777777" w:rsidR="006967AF" w:rsidRPr="00AB315F" w:rsidRDefault="006967AF" w:rsidP="00EC4A80">
            <w:pPr>
              <w:jc w:val="center"/>
              <w:rPr>
                <w:rFonts w:ascii="Calibri" w:hAnsi="Calibri"/>
                <w:sz w:val="22"/>
                <w:szCs w:val="22"/>
              </w:rPr>
            </w:pPr>
            <w:r w:rsidRPr="00AB315F">
              <w:rPr>
                <w:rFonts w:ascii="Calibri" w:hAnsi="Calibri"/>
                <w:sz w:val="22"/>
                <w:szCs w:val="22"/>
              </w:rPr>
              <w:t>0,546</w:t>
            </w:r>
          </w:p>
        </w:tc>
        <w:tc>
          <w:tcPr>
            <w:tcW w:w="960" w:type="dxa"/>
            <w:tcBorders>
              <w:top w:val="nil"/>
              <w:left w:val="single" w:sz="4" w:space="0" w:color="auto"/>
              <w:bottom w:val="single" w:sz="4" w:space="0" w:color="auto"/>
              <w:right w:val="nil"/>
            </w:tcBorders>
            <w:shd w:val="clear" w:color="000000" w:fill="D9D9D9"/>
            <w:noWrap/>
            <w:vAlign w:val="center"/>
            <w:hideMark/>
          </w:tcPr>
          <w:p w14:paraId="1B49E430" w14:textId="77777777" w:rsidR="006967AF" w:rsidRPr="00AB315F" w:rsidRDefault="006967AF" w:rsidP="00EC4A80">
            <w:pPr>
              <w:jc w:val="center"/>
              <w:rPr>
                <w:rFonts w:ascii="Calibri" w:hAnsi="Calibri"/>
                <w:sz w:val="22"/>
                <w:szCs w:val="22"/>
              </w:rPr>
            </w:pPr>
            <w:r w:rsidRPr="00AB315F">
              <w:rPr>
                <w:rFonts w:ascii="Calibri" w:hAnsi="Calibri"/>
                <w:sz w:val="22"/>
                <w:szCs w:val="22"/>
              </w:rPr>
              <w:t>1,79</w:t>
            </w:r>
          </w:p>
        </w:tc>
        <w:tc>
          <w:tcPr>
            <w:tcW w:w="960" w:type="dxa"/>
            <w:tcBorders>
              <w:top w:val="nil"/>
              <w:left w:val="single" w:sz="4" w:space="0" w:color="auto"/>
              <w:bottom w:val="single" w:sz="4" w:space="0" w:color="auto"/>
              <w:right w:val="nil"/>
            </w:tcBorders>
            <w:shd w:val="clear" w:color="auto" w:fill="auto"/>
            <w:noWrap/>
            <w:vAlign w:val="center"/>
            <w:hideMark/>
          </w:tcPr>
          <w:p w14:paraId="7CC3C725" w14:textId="77777777" w:rsidR="006967AF" w:rsidRPr="00AB315F" w:rsidRDefault="006967AF" w:rsidP="00EC4A80">
            <w:pPr>
              <w:jc w:val="center"/>
              <w:rPr>
                <w:rFonts w:ascii="Calibri" w:hAnsi="Calibri"/>
                <w:sz w:val="22"/>
                <w:szCs w:val="22"/>
              </w:rPr>
            </w:pPr>
            <w:r w:rsidRPr="00AB315F">
              <w:rPr>
                <w:rFonts w:ascii="Calibri" w:hAnsi="Calibri"/>
                <w:sz w:val="22"/>
                <w:szCs w:val="22"/>
              </w:rPr>
              <w:t>0,074</w:t>
            </w:r>
          </w:p>
        </w:tc>
      </w:tr>
      <w:tr w:rsidR="006967AF" w:rsidRPr="00AB315F" w14:paraId="2AC435A9" w14:textId="77777777" w:rsidTr="001C63EB">
        <w:trPr>
          <w:trHeight w:val="290"/>
        </w:trPr>
        <w:tc>
          <w:tcPr>
            <w:tcW w:w="4700" w:type="dxa"/>
            <w:tcBorders>
              <w:top w:val="nil"/>
              <w:bottom w:val="nil"/>
              <w:right w:val="nil"/>
            </w:tcBorders>
            <w:shd w:val="clear" w:color="auto" w:fill="auto"/>
            <w:noWrap/>
            <w:vAlign w:val="center"/>
            <w:hideMark/>
          </w:tcPr>
          <w:p w14:paraId="2BDE15D4" w14:textId="77777777" w:rsidR="006967AF" w:rsidRPr="00AB315F" w:rsidRDefault="006967AF" w:rsidP="00EC4A80">
            <w:pPr>
              <w:jc w:val="center"/>
              <w:rPr>
                <w:rFonts w:ascii="Calibri" w:hAnsi="Calibri"/>
                <w:sz w:val="22"/>
                <w:szCs w:val="22"/>
              </w:rPr>
            </w:pPr>
          </w:p>
        </w:tc>
        <w:tc>
          <w:tcPr>
            <w:tcW w:w="960" w:type="dxa"/>
            <w:tcBorders>
              <w:top w:val="nil"/>
              <w:left w:val="single" w:sz="4" w:space="0" w:color="auto"/>
              <w:bottom w:val="nil"/>
              <w:right w:val="nil"/>
            </w:tcBorders>
            <w:shd w:val="clear" w:color="auto" w:fill="auto"/>
            <w:noWrap/>
            <w:vAlign w:val="center"/>
            <w:hideMark/>
          </w:tcPr>
          <w:p w14:paraId="01F82EC6"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nil"/>
              <w:left w:val="single" w:sz="4" w:space="0" w:color="auto"/>
              <w:bottom w:val="nil"/>
              <w:right w:val="nil"/>
            </w:tcBorders>
            <w:shd w:val="clear" w:color="auto" w:fill="auto"/>
            <w:noWrap/>
            <w:vAlign w:val="center"/>
            <w:hideMark/>
          </w:tcPr>
          <w:p w14:paraId="292723B8"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5D920FC1"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47733BA6"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6967AF" w:rsidRPr="00AB315F" w14:paraId="612B76BA" w14:textId="77777777" w:rsidTr="001C63EB">
        <w:trPr>
          <w:trHeight w:val="290"/>
        </w:trPr>
        <w:tc>
          <w:tcPr>
            <w:tcW w:w="4700" w:type="dxa"/>
            <w:tcBorders>
              <w:top w:val="nil"/>
              <w:bottom w:val="nil"/>
              <w:right w:val="nil"/>
            </w:tcBorders>
            <w:shd w:val="clear" w:color="auto" w:fill="auto"/>
            <w:noWrap/>
            <w:vAlign w:val="center"/>
            <w:hideMark/>
          </w:tcPr>
          <w:p w14:paraId="444B4C84"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lastRenderedPageBreak/>
              <w:t>É corrupto mas se justifica</w:t>
            </w:r>
          </w:p>
        </w:tc>
        <w:tc>
          <w:tcPr>
            <w:tcW w:w="960" w:type="dxa"/>
            <w:tcBorders>
              <w:top w:val="nil"/>
              <w:left w:val="single" w:sz="4" w:space="0" w:color="auto"/>
              <w:bottom w:val="nil"/>
              <w:right w:val="nil"/>
            </w:tcBorders>
            <w:shd w:val="clear" w:color="auto" w:fill="auto"/>
            <w:noWrap/>
            <w:vAlign w:val="center"/>
            <w:hideMark/>
          </w:tcPr>
          <w:p w14:paraId="17C33FAB"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 </w:t>
            </w:r>
          </w:p>
        </w:tc>
        <w:tc>
          <w:tcPr>
            <w:tcW w:w="1112" w:type="dxa"/>
            <w:tcBorders>
              <w:top w:val="nil"/>
              <w:left w:val="single" w:sz="4" w:space="0" w:color="auto"/>
              <w:bottom w:val="nil"/>
              <w:right w:val="nil"/>
            </w:tcBorders>
            <w:shd w:val="clear" w:color="auto" w:fill="auto"/>
            <w:noWrap/>
            <w:vAlign w:val="center"/>
            <w:hideMark/>
          </w:tcPr>
          <w:p w14:paraId="386E4330"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 </w:t>
            </w:r>
          </w:p>
        </w:tc>
        <w:tc>
          <w:tcPr>
            <w:tcW w:w="960" w:type="dxa"/>
            <w:tcBorders>
              <w:top w:val="nil"/>
              <w:left w:val="single" w:sz="4" w:space="0" w:color="auto"/>
              <w:bottom w:val="nil"/>
              <w:right w:val="nil"/>
            </w:tcBorders>
            <w:shd w:val="clear" w:color="auto" w:fill="auto"/>
            <w:noWrap/>
            <w:vAlign w:val="center"/>
            <w:hideMark/>
          </w:tcPr>
          <w:p w14:paraId="79144786"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 </w:t>
            </w:r>
          </w:p>
        </w:tc>
        <w:tc>
          <w:tcPr>
            <w:tcW w:w="960" w:type="dxa"/>
            <w:tcBorders>
              <w:top w:val="nil"/>
              <w:left w:val="single" w:sz="4" w:space="0" w:color="auto"/>
              <w:bottom w:val="nil"/>
              <w:right w:val="nil"/>
            </w:tcBorders>
            <w:shd w:val="clear" w:color="auto" w:fill="auto"/>
            <w:noWrap/>
            <w:vAlign w:val="center"/>
            <w:hideMark/>
          </w:tcPr>
          <w:p w14:paraId="1A08DDA3" w14:textId="77777777" w:rsidR="006967AF" w:rsidRPr="00AB315F" w:rsidRDefault="006967AF" w:rsidP="00EC4A80">
            <w:pPr>
              <w:jc w:val="center"/>
              <w:rPr>
                <w:rFonts w:ascii="Calibri" w:hAnsi="Calibri"/>
                <w:b/>
                <w:bCs/>
                <w:sz w:val="22"/>
                <w:szCs w:val="22"/>
              </w:rPr>
            </w:pPr>
            <w:r w:rsidRPr="00AB315F">
              <w:rPr>
                <w:rFonts w:ascii="Calibri" w:hAnsi="Calibri"/>
                <w:b/>
                <w:bCs/>
                <w:sz w:val="22"/>
                <w:szCs w:val="22"/>
              </w:rPr>
              <w:t> </w:t>
            </w:r>
          </w:p>
        </w:tc>
      </w:tr>
      <w:tr w:rsidR="001C63EB" w:rsidRPr="00AB315F" w14:paraId="688C992F" w14:textId="77777777" w:rsidTr="001C63EB">
        <w:trPr>
          <w:trHeight w:val="290"/>
        </w:trPr>
        <w:tc>
          <w:tcPr>
            <w:tcW w:w="4700" w:type="dxa"/>
            <w:tcBorders>
              <w:top w:val="single" w:sz="4" w:space="0" w:color="auto"/>
              <w:bottom w:val="single" w:sz="4" w:space="0" w:color="auto"/>
              <w:right w:val="nil"/>
            </w:tcBorders>
            <w:shd w:val="clear" w:color="auto" w:fill="auto"/>
            <w:noWrap/>
            <w:vAlign w:val="center"/>
            <w:hideMark/>
          </w:tcPr>
          <w:p w14:paraId="5B76A678" w14:textId="477CEA21" w:rsidR="001C63EB" w:rsidRPr="00AB315F" w:rsidRDefault="001C63EB" w:rsidP="001C63EB">
            <w:pPr>
              <w:jc w:val="center"/>
              <w:rPr>
                <w:rFonts w:ascii="Calibri" w:hAnsi="Calibri"/>
                <w:b/>
                <w:bCs/>
                <w:sz w:val="22"/>
                <w:szCs w:val="22"/>
              </w:rPr>
            </w:pPr>
            <w:r>
              <w:rPr>
                <w:rFonts w:ascii="Calibri" w:hAnsi="Calibri"/>
                <w:b/>
                <w:bCs/>
                <w:sz w:val="22"/>
                <w:szCs w:val="22"/>
              </w:rPr>
              <w:t>Cená</w:t>
            </w:r>
            <w:r w:rsidRPr="00AB315F">
              <w:rPr>
                <w:rFonts w:ascii="Calibri" w:hAnsi="Calibri"/>
                <w:b/>
                <w:bCs/>
                <w:sz w:val="22"/>
                <w:szCs w:val="22"/>
              </w:rPr>
              <w:t>rio1</w:t>
            </w:r>
          </w:p>
        </w:tc>
        <w:tc>
          <w:tcPr>
            <w:tcW w:w="960" w:type="dxa"/>
            <w:tcBorders>
              <w:top w:val="single" w:sz="4" w:space="0" w:color="auto"/>
              <w:left w:val="single" w:sz="4" w:space="0" w:color="auto"/>
              <w:bottom w:val="single" w:sz="4" w:space="0" w:color="auto"/>
              <w:right w:val="nil"/>
            </w:tcBorders>
            <w:shd w:val="clear" w:color="auto" w:fill="auto"/>
            <w:noWrap/>
            <w:vAlign w:val="center"/>
            <w:hideMark/>
          </w:tcPr>
          <w:p w14:paraId="71DD2ED2" w14:textId="3FFBE1CA" w:rsidR="001C63EB" w:rsidRPr="00AB315F" w:rsidRDefault="001C63EB" w:rsidP="001C63EB">
            <w:pPr>
              <w:jc w:val="center"/>
              <w:rPr>
                <w:rFonts w:ascii="Calibri" w:hAnsi="Calibri"/>
                <w:b/>
                <w:bCs/>
                <w:sz w:val="22"/>
                <w:szCs w:val="22"/>
              </w:rPr>
            </w:pPr>
            <w:r w:rsidRPr="00AB315F">
              <w:rPr>
                <w:rFonts w:ascii="Calibri" w:hAnsi="Calibri"/>
                <w:b/>
                <w:bCs/>
                <w:sz w:val="22"/>
                <w:szCs w:val="22"/>
              </w:rPr>
              <w:t>RRR</w:t>
            </w:r>
          </w:p>
        </w:tc>
        <w:tc>
          <w:tcPr>
            <w:tcW w:w="1112" w:type="dxa"/>
            <w:tcBorders>
              <w:top w:val="single" w:sz="4" w:space="0" w:color="auto"/>
              <w:left w:val="single" w:sz="4" w:space="0" w:color="auto"/>
              <w:bottom w:val="single" w:sz="4" w:space="0" w:color="auto"/>
              <w:right w:val="nil"/>
            </w:tcBorders>
            <w:shd w:val="clear" w:color="auto" w:fill="auto"/>
            <w:noWrap/>
            <w:vAlign w:val="center"/>
            <w:hideMark/>
          </w:tcPr>
          <w:p w14:paraId="4D5A1757" w14:textId="6F461EE1" w:rsidR="001C63EB" w:rsidRPr="00AB315F" w:rsidRDefault="001C63EB" w:rsidP="001C63EB">
            <w:pPr>
              <w:jc w:val="center"/>
              <w:rPr>
                <w:rFonts w:ascii="Calibri" w:hAnsi="Calibri"/>
                <w:b/>
                <w:bCs/>
                <w:sz w:val="22"/>
                <w:szCs w:val="22"/>
              </w:rPr>
            </w:pPr>
            <w:r w:rsidRPr="00AB315F">
              <w:rPr>
                <w:rFonts w:ascii="Calibri" w:hAnsi="Calibri"/>
                <w:b/>
                <w:bCs/>
                <w:sz w:val="22"/>
                <w:szCs w:val="22"/>
              </w:rPr>
              <w:t>Err.</w:t>
            </w:r>
            <w:r>
              <w:rPr>
                <w:rFonts w:ascii="Calibri" w:hAnsi="Calibri"/>
                <w:b/>
                <w:bCs/>
                <w:sz w:val="22"/>
                <w:szCs w:val="22"/>
              </w:rPr>
              <w:t>Padrão</w:t>
            </w:r>
          </w:p>
        </w:tc>
        <w:tc>
          <w:tcPr>
            <w:tcW w:w="960" w:type="dxa"/>
            <w:tcBorders>
              <w:top w:val="single" w:sz="4" w:space="0" w:color="auto"/>
              <w:left w:val="single" w:sz="4" w:space="0" w:color="auto"/>
              <w:bottom w:val="single" w:sz="4" w:space="0" w:color="auto"/>
              <w:right w:val="nil"/>
            </w:tcBorders>
            <w:shd w:val="clear" w:color="auto" w:fill="auto"/>
            <w:noWrap/>
            <w:vAlign w:val="center"/>
            <w:hideMark/>
          </w:tcPr>
          <w:p w14:paraId="143E318F" w14:textId="6CAF8D81" w:rsidR="001C63EB" w:rsidRPr="00AB315F" w:rsidRDefault="001C63EB" w:rsidP="001C63EB">
            <w:pPr>
              <w:jc w:val="center"/>
              <w:rPr>
                <w:rFonts w:ascii="Calibri" w:hAnsi="Calibri"/>
                <w:b/>
                <w:bCs/>
                <w:sz w:val="22"/>
                <w:szCs w:val="22"/>
              </w:rPr>
            </w:pPr>
            <w:r w:rsidRPr="00AB315F">
              <w:rPr>
                <w:rFonts w:ascii="Calibri" w:hAnsi="Calibri"/>
                <w:b/>
                <w:bCs/>
                <w:sz w:val="22"/>
                <w:szCs w:val="22"/>
              </w:rPr>
              <w:t>z</w:t>
            </w:r>
          </w:p>
        </w:tc>
        <w:tc>
          <w:tcPr>
            <w:tcW w:w="960" w:type="dxa"/>
            <w:tcBorders>
              <w:top w:val="single" w:sz="4" w:space="0" w:color="auto"/>
              <w:left w:val="single" w:sz="4" w:space="0" w:color="auto"/>
              <w:bottom w:val="single" w:sz="4" w:space="0" w:color="auto"/>
              <w:right w:val="nil"/>
            </w:tcBorders>
            <w:shd w:val="clear" w:color="auto" w:fill="auto"/>
            <w:noWrap/>
            <w:vAlign w:val="center"/>
            <w:hideMark/>
          </w:tcPr>
          <w:p w14:paraId="31000355" w14:textId="652481E3" w:rsidR="001C63EB" w:rsidRPr="00AB315F" w:rsidRDefault="001C63EB" w:rsidP="001C63EB">
            <w:pPr>
              <w:jc w:val="center"/>
              <w:rPr>
                <w:rFonts w:ascii="Calibri" w:hAnsi="Calibri"/>
                <w:b/>
                <w:bCs/>
                <w:sz w:val="22"/>
                <w:szCs w:val="22"/>
              </w:rPr>
            </w:pPr>
            <w:r w:rsidRPr="00AB315F">
              <w:rPr>
                <w:rFonts w:ascii="Calibri" w:hAnsi="Calibri"/>
                <w:b/>
                <w:bCs/>
                <w:sz w:val="22"/>
                <w:szCs w:val="22"/>
              </w:rPr>
              <w:t>RRR</w:t>
            </w:r>
          </w:p>
        </w:tc>
      </w:tr>
      <w:tr w:rsidR="006967AF" w:rsidRPr="00AB315F" w14:paraId="44AA8EFD" w14:textId="77777777" w:rsidTr="001C63EB">
        <w:trPr>
          <w:trHeight w:val="290"/>
        </w:trPr>
        <w:tc>
          <w:tcPr>
            <w:tcW w:w="4700" w:type="dxa"/>
            <w:tcBorders>
              <w:top w:val="nil"/>
              <w:bottom w:val="nil"/>
              <w:right w:val="nil"/>
            </w:tcBorders>
            <w:shd w:val="clear" w:color="auto" w:fill="auto"/>
            <w:noWrap/>
            <w:vAlign w:val="center"/>
            <w:hideMark/>
          </w:tcPr>
          <w:p w14:paraId="74DDA0F3" w14:textId="77777777" w:rsidR="006967AF" w:rsidRPr="00AB315F" w:rsidRDefault="006967AF" w:rsidP="00EC4A80">
            <w:pPr>
              <w:jc w:val="center"/>
              <w:rPr>
                <w:rFonts w:ascii="Calibri" w:hAnsi="Calibri"/>
                <w:sz w:val="22"/>
                <w:szCs w:val="22"/>
              </w:rPr>
            </w:pPr>
            <w:r w:rsidRPr="00AB315F">
              <w:rPr>
                <w:rFonts w:ascii="Calibri" w:hAnsi="Calibri"/>
                <w:sz w:val="22"/>
                <w:szCs w:val="22"/>
              </w:rPr>
              <w:t>Macro Região</w:t>
            </w:r>
          </w:p>
        </w:tc>
        <w:tc>
          <w:tcPr>
            <w:tcW w:w="960" w:type="dxa"/>
            <w:tcBorders>
              <w:top w:val="nil"/>
              <w:left w:val="single" w:sz="4" w:space="0" w:color="auto"/>
              <w:bottom w:val="nil"/>
              <w:right w:val="nil"/>
            </w:tcBorders>
            <w:shd w:val="clear" w:color="auto" w:fill="auto"/>
            <w:noWrap/>
            <w:vAlign w:val="center"/>
            <w:hideMark/>
          </w:tcPr>
          <w:p w14:paraId="7574744C"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nil"/>
              <w:left w:val="single" w:sz="4" w:space="0" w:color="auto"/>
              <w:bottom w:val="nil"/>
              <w:right w:val="nil"/>
            </w:tcBorders>
            <w:shd w:val="clear" w:color="auto" w:fill="auto"/>
            <w:noWrap/>
            <w:vAlign w:val="center"/>
            <w:hideMark/>
          </w:tcPr>
          <w:p w14:paraId="0F9E88B7"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4FEF86C2"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331195BF"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6967AF" w:rsidRPr="00AB315F" w14:paraId="37C4A0BE" w14:textId="77777777" w:rsidTr="001C63EB">
        <w:trPr>
          <w:trHeight w:val="290"/>
        </w:trPr>
        <w:tc>
          <w:tcPr>
            <w:tcW w:w="4700" w:type="dxa"/>
            <w:tcBorders>
              <w:top w:val="nil"/>
              <w:bottom w:val="nil"/>
              <w:right w:val="nil"/>
            </w:tcBorders>
            <w:shd w:val="clear" w:color="auto" w:fill="auto"/>
            <w:vAlign w:val="center"/>
            <w:hideMark/>
          </w:tcPr>
          <w:p w14:paraId="5E3C4824" w14:textId="77777777" w:rsidR="006967AF" w:rsidRPr="00AB315F" w:rsidRDefault="006967AF" w:rsidP="00EC4A80">
            <w:pPr>
              <w:jc w:val="center"/>
              <w:rPr>
                <w:rFonts w:ascii="Calibri" w:hAnsi="Calibri"/>
                <w:sz w:val="20"/>
                <w:szCs w:val="20"/>
              </w:rPr>
            </w:pPr>
            <w:r w:rsidRPr="00AB315F">
              <w:rPr>
                <w:rFonts w:ascii="Calibri" w:hAnsi="Calibri"/>
                <w:sz w:val="20"/>
                <w:szCs w:val="20"/>
              </w:rPr>
              <w:t>Sul</w:t>
            </w:r>
          </w:p>
        </w:tc>
        <w:tc>
          <w:tcPr>
            <w:tcW w:w="960" w:type="dxa"/>
            <w:tcBorders>
              <w:top w:val="nil"/>
              <w:left w:val="single" w:sz="4" w:space="0" w:color="auto"/>
              <w:bottom w:val="nil"/>
              <w:right w:val="nil"/>
            </w:tcBorders>
            <w:shd w:val="clear" w:color="auto" w:fill="auto"/>
            <w:noWrap/>
            <w:vAlign w:val="center"/>
            <w:hideMark/>
          </w:tcPr>
          <w:p w14:paraId="49A86AD0" w14:textId="77777777" w:rsidR="006967AF" w:rsidRPr="00AB315F" w:rsidRDefault="006967AF" w:rsidP="00EC4A80">
            <w:pPr>
              <w:jc w:val="center"/>
              <w:rPr>
                <w:rFonts w:ascii="Calibri" w:hAnsi="Calibri"/>
                <w:sz w:val="22"/>
                <w:szCs w:val="22"/>
              </w:rPr>
            </w:pPr>
            <w:r w:rsidRPr="00AB315F">
              <w:rPr>
                <w:rFonts w:ascii="Calibri" w:hAnsi="Calibri"/>
                <w:sz w:val="22"/>
                <w:szCs w:val="22"/>
              </w:rPr>
              <w:t>0,622</w:t>
            </w:r>
          </w:p>
        </w:tc>
        <w:tc>
          <w:tcPr>
            <w:tcW w:w="1112" w:type="dxa"/>
            <w:tcBorders>
              <w:top w:val="nil"/>
              <w:left w:val="single" w:sz="4" w:space="0" w:color="auto"/>
              <w:bottom w:val="nil"/>
              <w:right w:val="nil"/>
            </w:tcBorders>
            <w:shd w:val="clear" w:color="auto" w:fill="auto"/>
            <w:noWrap/>
            <w:vAlign w:val="center"/>
            <w:hideMark/>
          </w:tcPr>
          <w:p w14:paraId="5D169051" w14:textId="77777777" w:rsidR="006967AF" w:rsidRPr="00AB315F" w:rsidRDefault="006967AF" w:rsidP="00EC4A80">
            <w:pPr>
              <w:jc w:val="center"/>
              <w:rPr>
                <w:rFonts w:ascii="Calibri" w:hAnsi="Calibri"/>
                <w:sz w:val="22"/>
                <w:szCs w:val="22"/>
              </w:rPr>
            </w:pPr>
            <w:r w:rsidRPr="00AB315F">
              <w:rPr>
                <w:rFonts w:ascii="Calibri" w:hAnsi="Calibri"/>
                <w:sz w:val="22"/>
                <w:szCs w:val="22"/>
              </w:rPr>
              <w:t>0,192</w:t>
            </w:r>
          </w:p>
        </w:tc>
        <w:tc>
          <w:tcPr>
            <w:tcW w:w="960" w:type="dxa"/>
            <w:tcBorders>
              <w:top w:val="nil"/>
              <w:left w:val="single" w:sz="4" w:space="0" w:color="auto"/>
              <w:bottom w:val="nil"/>
              <w:right w:val="nil"/>
            </w:tcBorders>
            <w:shd w:val="clear" w:color="auto" w:fill="auto"/>
            <w:noWrap/>
            <w:vAlign w:val="center"/>
            <w:hideMark/>
          </w:tcPr>
          <w:p w14:paraId="45AB5CB3" w14:textId="77777777" w:rsidR="006967AF" w:rsidRPr="00AB315F" w:rsidRDefault="006967AF" w:rsidP="00EC4A80">
            <w:pPr>
              <w:jc w:val="center"/>
              <w:rPr>
                <w:rFonts w:ascii="Calibri" w:hAnsi="Calibri"/>
                <w:sz w:val="22"/>
                <w:szCs w:val="22"/>
              </w:rPr>
            </w:pPr>
            <w:r w:rsidRPr="00AB315F">
              <w:rPr>
                <w:rFonts w:ascii="Calibri" w:hAnsi="Calibri"/>
                <w:sz w:val="22"/>
                <w:szCs w:val="22"/>
              </w:rPr>
              <w:t>-1,54</w:t>
            </w:r>
          </w:p>
        </w:tc>
        <w:tc>
          <w:tcPr>
            <w:tcW w:w="960" w:type="dxa"/>
            <w:tcBorders>
              <w:top w:val="nil"/>
              <w:left w:val="single" w:sz="4" w:space="0" w:color="auto"/>
              <w:bottom w:val="nil"/>
              <w:right w:val="nil"/>
            </w:tcBorders>
            <w:shd w:val="clear" w:color="auto" w:fill="auto"/>
            <w:noWrap/>
            <w:vAlign w:val="center"/>
            <w:hideMark/>
          </w:tcPr>
          <w:p w14:paraId="5A1020BC" w14:textId="77777777" w:rsidR="006967AF" w:rsidRPr="00AB315F" w:rsidRDefault="006967AF" w:rsidP="00EC4A80">
            <w:pPr>
              <w:jc w:val="center"/>
              <w:rPr>
                <w:rFonts w:ascii="Calibri" w:hAnsi="Calibri"/>
                <w:sz w:val="22"/>
                <w:szCs w:val="22"/>
              </w:rPr>
            </w:pPr>
            <w:r w:rsidRPr="00AB315F">
              <w:rPr>
                <w:rFonts w:ascii="Calibri" w:hAnsi="Calibri"/>
                <w:sz w:val="22"/>
                <w:szCs w:val="22"/>
              </w:rPr>
              <w:t>0,124</w:t>
            </w:r>
          </w:p>
        </w:tc>
      </w:tr>
      <w:tr w:rsidR="006967AF" w:rsidRPr="00AB315F" w14:paraId="7B5CA68A" w14:textId="77777777" w:rsidTr="001C63EB">
        <w:trPr>
          <w:trHeight w:val="290"/>
        </w:trPr>
        <w:tc>
          <w:tcPr>
            <w:tcW w:w="4700" w:type="dxa"/>
            <w:tcBorders>
              <w:top w:val="nil"/>
              <w:bottom w:val="nil"/>
              <w:right w:val="nil"/>
            </w:tcBorders>
            <w:shd w:val="clear" w:color="auto" w:fill="auto"/>
            <w:vAlign w:val="center"/>
            <w:hideMark/>
          </w:tcPr>
          <w:p w14:paraId="0D5767B4" w14:textId="77777777" w:rsidR="006967AF" w:rsidRPr="00AB315F" w:rsidRDefault="006967AF" w:rsidP="00EC4A80">
            <w:pPr>
              <w:jc w:val="center"/>
              <w:rPr>
                <w:rFonts w:ascii="Calibri" w:hAnsi="Calibri"/>
                <w:sz w:val="20"/>
                <w:szCs w:val="20"/>
              </w:rPr>
            </w:pPr>
            <w:r w:rsidRPr="00AB315F">
              <w:rPr>
                <w:rFonts w:ascii="Calibri" w:hAnsi="Calibri"/>
                <w:sz w:val="20"/>
                <w:szCs w:val="20"/>
              </w:rPr>
              <w:t>Centro-Oeste</w:t>
            </w:r>
          </w:p>
        </w:tc>
        <w:tc>
          <w:tcPr>
            <w:tcW w:w="960" w:type="dxa"/>
            <w:tcBorders>
              <w:top w:val="nil"/>
              <w:left w:val="single" w:sz="4" w:space="0" w:color="auto"/>
              <w:bottom w:val="nil"/>
              <w:right w:val="nil"/>
            </w:tcBorders>
            <w:shd w:val="clear" w:color="auto" w:fill="auto"/>
            <w:noWrap/>
            <w:vAlign w:val="center"/>
            <w:hideMark/>
          </w:tcPr>
          <w:p w14:paraId="6D320D39" w14:textId="77777777" w:rsidR="006967AF" w:rsidRPr="00AB315F" w:rsidRDefault="006967AF" w:rsidP="00EC4A80">
            <w:pPr>
              <w:jc w:val="center"/>
              <w:rPr>
                <w:rFonts w:ascii="Calibri" w:hAnsi="Calibri"/>
                <w:sz w:val="22"/>
                <w:szCs w:val="22"/>
              </w:rPr>
            </w:pPr>
            <w:r w:rsidRPr="00AB315F">
              <w:rPr>
                <w:rFonts w:ascii="Calibri" w:hAnsi="Calibri"/>
                <w:sz w:val="22"/>
                <w:szCs w:val="22"/>
              </w:rPr>
              <w:t>0,877</w:t>
            </w:r>
          </w:p>
        </w:tc>
        <w:tc>
          <w:tcPr>
            <w:tcW w:w="1112" w:type="dxa"/>
            <w:tcBorders>
              <w:top w:val="nil"/>
              <w:left w:val="single" w:sz="4" w:space="0" w:color="auto"/>
              <w:bottom w:val="nil"/>
              <w:right w:val="nil"/>
            </w:tcBorders>
            <w:shd w:val="clear" w:color="auto" w:fill="auto"/>
            <w:noWrap/>
            <w:vAlign w:val="center"/>
            <w:hideMark/>
          </w:tcPr>
          <w:p w14:paraId="343243B0" w14:textId="77777777" w:rsidR="006967AF" w:rsidRPr="00AB315F" w:rsidRDefault="006967AF" w:rsidP="00EC4A80">
            <w:pPr>
              <w:jc w:val="center"/>
              <w:rPr>
                <w:rFonts w:ascii="Calibri" w:hAnsi="Calibri"/>
                <w:sz w:val="22"/>
                <w:szCs w:val="22"/>
              </w:rPr>
            </w:pPr>
            <w:r w:rsidRPr="00AB315F">
              <w:rPr>
                <w:rFonts w:ascii="Calibri" w:hAnsi="Calibri"/>
                <w:sz w:val="22"/>
                <w:szCs w:val="22"/>
              </w:rPr>
              <w:t>0,349</w:t>
            </w:r>
          </w:p>
        </w:tc>
        <w:tc>
          <w:tcPr>
            <w:tcW w:w="960" w:type="dxa"/>
            <w:tcBorders>
              <w:top w:val="nil"/>
              <w:left w:val="single" w:sz="4" w:space="0" w:color="auto"/>
              <w:bottom w:val="nil"/>
              <w:right w:val="nil"/>
            </w:tcBorders>
            <w:shd w:val="clear" w:color="auto" w:fill="auto"/>
            <w:noWrap/>
            <w:vAlign w:val="center"/>
            <w:hideMark/>
          </w:tcPr>
          <w:p w14:paraId="075B73B5" w14:textId="77777777" w:rsidR="006967AF" w:rsidRPr="00AB315F" w:rsidRDefault="006967AF" w:rsidP="00EC4A80">
            <w:pPr>
              <w:jc w:val="center"/>
              <w:rPr>
                <w:rFonts w:ascii="Calibri" w:hAnsi="Calibri"/>
                <w:sz w:val="22"/>
                <w:szCs w:val="22"/>
              </w:rPr>
            </w:pPr>
            <w:r w:rsidRPr="00AB315F">
              <w:rPr>
                <w:rFonts w:ascii="Calibri" w:hAnsi="Calibri"/>
                <w:sz w:val="22"/>
                <w:szCs w:val="22"/>
              </w:rPr>
              <w:t>-0,33</w:t>
            </w:r>
          </w:p>
        </w:tc>
        <w:tc>
          <w:tcPr>
            <w:tcW w:w="960" w:type="dxa"/>
            <w:tcBorders>
              <w:top w:val="nil"/>
              <w:left w:val="single" w:sz="4" w:space="0" w:color="auto"/>
              <w:bottom w:val="nil"/>
              <w:right w:val="nil"/>
            </w:tcBorders>
            <w:shd w:val="clear" w:color="auto" w:fill="auto"/>
            <w:noWrap/>
            <w:vAlign w:val="center"/>
            <w:hideMark/>
          </w:tcPr>
          <w:p w14:paraId="5A72A624" w14:textId="77777777" w:rsidR="006967AF" w:rsidRPr="00AB315F" w:rsidRDefault="006967AF" w:rsidP="00EC4A80">
            <w:pPr>
              <w:jc w:val="center"/>
              <w:rPr>
                <w:rFonts w:ascii="Calibri" w:hAnsi="Calibri"/>
                <w:sz w:val="22"/>
                <w:szCs w:val="22"/>
              </w:rPr>
            </w:pPr>
            <w:r w:rsidRPr="00AB315F">
              <w:rPr>
                <w:rFonts w:ascii="Calibri" w:hAnsi="Calibri"/>
                <w:sz w:val="22"/>
                <w:szCs w:val="22"/>
              </w:rPr>
              <w:t>0,742</w:t>
            </w:r>
          </w:p>
        </w:tc>
      </w:tr>
      <w:tr w:rsidR="006967AF" w:rsidRPr="00AB315F" w14:paraId="522B7005" w14:textId="77777777" w:rsidTr="001C63EB">
        <w:trPr>
          <w:trHeight w:val="290"/>
        </w:trPr>
        <w:tc>
          <w:tcPr>
            <w:tcW w:w="4700" w:type="dxa"/>
            <w:tcBorders>
              <w:top w:val="nil"/>
              <w:bottom w:val="nil"/>
              <w:right w:val="nil"/>
            </w:tcBorders>
            <w:shd w:val="clear" w:color="auto" w:fill="auto"/>
            <w:vAlign w:val="center"/>
            <w:hideMark/>
          </w:tcPr>
          <w:p w14:paraId="2C6DF8D1" w14:textId="77777777" w:rsidR="006967AF" w:rsidRPr="00AB315F" w:rsidRDefault="006967AF" w:rsidP="00EC4A80">
            <w:pPr>
              <w:jc w:val="center"/>
              <w:rPr>
                <w:rFonts w:ascii="Calibri" w:hAnsi="Calibri"/>
                <w:sz w:val="20"/>
                <w:szCs w:val="20"/>
              </w:rPr>
            </w:pPr>
            <w:r w:rsidRPr="00AB315F">
              <w:rPr>
                <w:rFonts w:ascii="Calibri" w:hAnsi="Calibri"/>
                <w:sz w:val="20"/>
                <w:szCs w:val="20"/>
              </w:rPr>
              <w:t>Nordeste</w:t>
            </w:r>
          </w:p>
        </w:tc>
        <w:tc>
          <w:tcPr>
            <w:tcW w:w="960" w:type="dxa"/>
            <w:tcBorders>
              <w:top w:val="nil"/>
              <w:left w:val="single" w:sz="4" w:space="0" w:color="auto"/>
              <w:bottom w:val="nil"/>
              <w:right w:val="nil"/>
            </w:tcBorders>
            <w:shd w:val="clear" w:color="auto" w:fill="auto"/>
            <w:noWrap/>
            <w:vAlign w:val="center"/>
            <w:hideMark/>
          </w:tcPr>
          <w:p w14:paraId="11EF26FF" w14:textId="77777777" w:rsidR="006967AF" w:rsidRPr="00AB315F" w:rsidRDefault="006967AF" w:rsidP="00EC4A80">
            <w:pPr>
              <w:jc w:val="center"/>
              <w:rPr>
                <w:rFonts w:ascii="Calibri" w:hAnsi="Calibri"/>
                <w:sz w:val="22"/>
                <w:szCs w:val="22"/>
              </w:rPr>
            </w:pPr>
            <w:r w:rsidRPr="00AB315F">
              <w:rPr>
                <w:rFonts w:ascii="Calibri" w:hAnsi="Calibri"/>
                <w:sz w:val="22"/>
                <w:szCs w:val="22"/>
              </w:rPr>
              <w:t>1,061</w:t>
            </w:r>
          </w:p>
        </w:tc>
        <w:tc>
          <w:tcPr>
            <w:tcW w:w="1112" w:type="dxa"/>
            <w:tcBorders>
              <w:top w:val="nil"/>
              <w:left w:val="single" w:sz="4" w:space="0" w:color="auto"/>
              <w:bottom w:val="nil"/>
              <w:right w:val="nil"/>
            </w:tcBorders>
            <w:shd w:val="clear" w:color="auto" w:fill="auto"/>
            <w:noWrap/>
            <w:vAlign w:val="center"/>
            <w:hideMark/>
          </w:tcPr>
          <w:p w14:paraId="1EB7B98A" w14:textId="77777777" w:rsidR="006967AF" w:rsidRPr="00AB315F" w:rsidRDefault="006967AF" w:rsidP="00EC4A80">
            <w:pPr>
              <w:jc w:val="center"/>
              <w:rPr>
                <w:rFonts w:ascii="Calibri" w:hAnsi="Calibri"/>
                <w:sz w:val="22"/>
                <w:szCs w:val="22"/>
              </w:rPr>
            </w:pPr>
            <w:r w:rsidRPr="00AB315F">
              <w:rPr>
                <w:rFonts w:ascii="Calibri" w:hAnsi="Calibri"/>
                <w:sz w:val="22"/>
                <w:szCs w:val="22"/>
              </w:rPr>
              <w:t>0,290</w:t>
            </w:r>
          </w:p>
        </w:tc>
        <w:tc>
          <w:tcPr>
            <w:tcW w:w="960" w:type="dxa"/>
            <w:tcBorders>
              <w:top w:val="nil"/>
              <w:left w:val="single" w:sz="4" w:space="0" w:color="auto"/>
              <w:bottom w:val="nil"/>
              <w:right w:val="nil"/>
            </w:tcBorders>
            <w:shd w:val="clear" w:color="auto" w:fill="auto"/>
            <w:noWrap/>
            <w:vAlign w:val="center"/>
            <w:hideMark/>
          </w:tcPr>
          <w:p w14:paraId="09559FC1" w14:textId="77777777" w:rsidR="006967AF" w:rsidRPr="00AB315F" w:rsidRDefault="006967AF" w:rsidP="00EC4A80">
            <w:pPr>
              <w:jc w:val="center"/>
              <w:rPr>
                <w:rFonts w:ascii="Calibri" w:hAnsi="Calibri"/>
                <w:sz w:val="22"/>
                <w:szCs w:val="22"/>
              </w:rPr>
            </w:pPr>
            <w:r w:rsidRPr="00AB315F">
              <w:rPr>
                <w:rFonts w:ascii="Calibri" w:hAnsi="Calibri"/>
                <w:sz w:val="22"/>
                <w:szCs w:val="22"/>
              </w:rPr>
              <w:t>0,22</w:t>
            </w:r>
          </w:p>
        </w:tc>
        <w:tc>
          <w:tcPr>
            <w:tcW w:w="960" w:type="dxa"/>
            <w:tcBorders>
              <w:top w:val="nil"/>
              <w:left w:val="single" w:sz="4" w:space="0" w:color="auto"/>
              <w:bottom w:val="nil"/>
              <w:right w:val="nil"/>
            </w:tcBorders>
            <w:shd w:val="clear" w:color="auto" w:fill="auto"/>
            <w:noWrap/>
            <w:vAlign w:val="center"/>
            <w:hideMark/>
          </w:tcPr>
          <w:p w14:paraId="34DE6091" w14:textId="77777777" w:rsidR="006967AF" w:rsidRPr="00AB315F" w:rsidRDefault="006967AF" w:rsidP="00EC4A80">
            <w:pPr>
              <w:jc w:val="center"/>
              <w:rPr>
                <w:rFonts w:ascii="Calibri" w:hAnsi="Calibri"/>
                <w:sz w:val="22"/>
                <w:szCs w:val="22"/>
              </w:rPr>
            </w:pPr>
            <w:r w:rsidRPr="00AB315F">
              <w:rPr>
                <w:rFonts w:ascii="Calibri" w:hAnsi="Calibri"/>
                <w:sz w:val="22"/>
                <w:szCs w:val="22"/>
              </w:rPr>
              <w:t>0,827</w:t>
            </w:r>
          </w:p>
        </w:tc>
      </w:tr>
      <w:tr w:rsidR="006967AF" w:rsidRPr="00AB315F" w14:paraId="60739FDE" w14:textId="77777777" w:rsidTr="001C63EB">
        <w:trPr>
          <w:trHeight w:val="290"/>
        </w:trPr>
        <w:tc>
          <w:tcPr>
            <w:tcW w:w="4700" w:type="dxa"/>
            <w:tcBorders>
              <w:top w:val="nil"/>
              <w:bottom w:val="single" w:sz="4" w:space="0" w:color="auto"/>
              <w:right w:val="nil"/>
            </w:tcBorders>
            <w:shd w:val="clear" w:color="auto" w:fill="auto"/>
            <w:vAlign w:val="center"/>
            <w:hideMark/>
          </w:tcPr>
          <w:p w14:paraId="67754562" w14:textId="77777777" w:rsidR="006967AF" w:rsidRPr="00AB315F" w:rsidRDefault="006967AF" w:rsidP="00EC4A80">
            <w:pPr>
              <w:jc w:val="center"/>
              <w:rPr>
                <w:rFonts w:ascii="Calibri" w:hAnsi="Calibri"/>
                <w:sz w:val="20"/>
                <w:szCs w:val="20"/>
              </w:rPr>
            </w:pPr>
            <w:r w:rsidRPr="00AB315F">
              <w:rPr>
                <w:rFonts w:ascii="Calibri" w:hAnsi="Calibri"/>
                <w:sz w:val="20"/>
                <w:szCs w:val="20"/>
              </w:rPr>
              <w:t>Norte</w:t>
            </w:r>
          </w:p>
        </w:tc>
        <w:tc>
          <w:tcPr>
            <w:tcW w:w="960" w:type="dxa"/>
            <w:tcBorders>
              <w:top w:val="nil"/>
              <w:left w:val="single" w:sz="4" w:space="0" w:color="auto"/>
              <w:bottom w:val="single" w:sz="4" w:space="0" w:color="auto"/>
              <w:right w:val="nil"/>
            </w:tcBorders>
            <w:shd w:val="clear" w:color="auto" w:fill="auto"/>
            <w:noWrap/>
            <w:vAlign w:val="center"/>
            <w:hideMark/>
          </w:tcPr>
          <w:p w14:paraId="18F3AB14" w14:textId="77777777" w:rsidR="006967AF" w:rsidRPr="00AB315F" w:rsidRDefault="006967AF" w:rsidP="00EC4A80">
            <w:pPr>
              <w:jc w:val="center"/>
              <w:rPr>
                <w:rFonts w:ascii="Calibri" w:hAnsi="Calibri"/>
                <w:sz w:val="22"/>
                <w:szCs w:val="22"/>
              </w:rPr>
            </w:pPr>
            <w:r w:rsidRPr="00AB315F">
              <w:rPr>
                <w:rFonts w:ascii="Calibri" w:hAnsi="Calibri"/>
                <w:sz w:val="22"/>
                <w:szCs w:val="22"/>
              </w:rPr>
              <w:t>1,442</w:t>
            </w:r>
          </w:p>
        </w:tc>
        <w:tc>
          <w:tcPr>
            <w:tcW w:w="1112" w:type="dxa"/>
            <w:tcBorders>
              <w:top w:val="nil"/>
              <w:left w:val="single" w:sz="4" w:space="0" w:color="auto"/>
              <w:bottom w:val="single" w:sz="4" w:space="0" w:color="auto"/>
              <w:right w:val="nil"/>
            </w:tcBorders>
            <w:shd w:val="clear" w:color="auto" w:fill="auto"/>
            <w:noWrap/>
            <w:vAlign w:val="center"/>
            <w:hideMark/>
          </w:tcPr>
          <w:p w14:paraId="56F6D603" w14:textId="77777777" w:rsidR="006967AF" w:rsidRPr="00AB315F" w:rsidRDefault="006967AF" w:rsidP="00EC4A80">
            <w:pPr>
              <w:jc w:val="center"/>
              <w:rPr>
                <w:rFonts w:ascii="Calibri" w:hAnsi="Calibri"/>
                <w:sz w:val="22"/>
                <w:szCs w:val="22"/>
              </w:rPr>
            </w:pPr>
            <w:r w:rsidRPr="00AB315F">
              <w:rPr>
                <w:rFonts w:ascii="Calibri" w:hAnsi="Calibri"/>
                <w:sz w:val="22"/>
                <w:szCs w:val="22"/>
              </w:rPr>
              <w:t>0,653</w:t>
            </w:r>
          </w:p>
        </w:tc>
        <w:tc>
          <w:tcPr>
            <w:tcW w:w="960" w:type="dxa"/>
            <w:tcBorders>
              <w:top w:val="nil"/>
              <w:left w:val="single" w:sz="4" w:space="0" w:color="auto"/>
              <w:bottom w:val="single" w:sz="4" w:space="0" w:color="auto"/>
              <w:right w:val="nil"/>
            </w:tcBorders>
            <w:shd w:val="clear" w:color="auto" w:fill="auto"/>
            <w:noWrap/>
            <w:vAlign w:val="center"/>
            <w:hideMark/>
          </w:tcPr>
          <w:p w14:paraId="567D1053" w14:textId="77777777" w:rsidR="006967AF" w:rsidRPr="00AB315F" w:rsidRDefault="006967AF" w:rsidP="00EC4A80">
            <w:pPr>
              <w:jc w:val="center"/>
              <w:rPr>
                <w:rFonts w:ascii="Calibri" w:hAnsi="Calibri"/>
                <w:sz w:val="22"/>
                <w:szCs w:val="22"/>
              </w:rPr>
            </w:pPr>
            <w:r w:rsidRPr="00AB315F">
              <w:rPr>
                <w:rFonts w:ascii="Calibri" w:hAnsi="Calibri"/>
                <w:sz w:val="22"/>
                <w:szCs w:val="22"/>
              </w:rPr>
              <w:t>0,81</w:t>
            </w:r>
          </w:p>
        </w:tc>
        <w:tc>
          <w:tcPr>
            <w:tcW w:w="960" w:type="dxa"/>
            <w:tcBorders>
              <w:top w:val="nil"/>
              <w:left w:val="single" w:sz="4" w:space="0" w:color="auto"/>
              <w:bottom w:val="single" w:sz="4" w:space="0" w:color="auto"/>
              <w:right w:val="nil"/>
            </w:tcBorders>
            <w:shd w:val="clear" w:color="auto" w:fill="auto"/>
            <w:noWrap/>
            <w:vAlign w:val="center"/>
            <w:hideMark/>
          </w:tcPr>
          <w:p w14:paraId="16E814D3" w14:textId="77777777" w:rsidR="006967AF" w:rsidRPr="00AB315F" w:rsidRDefault="006967AF" w:rsidP="00EC4A80">
            <w:pPr>
              <w:jc w:val="center"/>
              <w:rPr>
                <w:rFonts w:ascii="Calibri" w:hAnsi="Calibri"/>
                <w:sz w:val="22"/>
                <w:szCs w:val="22"/>
              </w:rPr>
            </w:pPr>
            <w:r w:rsidRPr="00AB315F">
              <w:rPr>
                <w:rFonts w:ascii="Calibri" w:hAnsi="Calibri"/>
                <w:sz w:val="22"/>
                <w:szCs w:val="22"/>
              </w:rPr>
              <w:t>0,419</w:t>
            </w:r>
          </w:p>
        </w:tc>
      </w:tr>
      <w:tr w:rsidR="006967AF" w:rsidRPr="00AB315F" w14:paraId="4CC8F56B" w14:textId="77777777" w:rsidTr="001C63EB">
        <w:trPr>
          <w:trHeight w:val="290"/>
        </w:trPr>
        <w:tc>
          <w:tcPr>
            <w:tcW w:w="4700" w:type="dxa"/>
            <w:tcBorders>
              <w:top w:val="nil"/>
              <w:bottom w:val="nil"/>
              <w:right w:val="nil"/>
            </w:tcBorders>
            <w:shd w:val="clear" w:color="auto" w:fill="auto"/>
            <w:noWrap/>
            <w:vAlign w:val="center"/>
            <w:hideMark/>
          </w:tcPr>
          <w:p w14:paraId="4EC8F0D9" w14:textId="77777777" w:rsidR="006967AF" w:rsidRPr="00AB315F" w:rsidRDefault="006967AF" w:rsidP="00EC4A80">
            <w:pPr>
              <w:jc w:val="center"/>
              <w:rPr>
                <w:rFonts w:ascii="Calibri" w:hAnsi="Calibri"/>
                <w:sz w:val="22"/>
                <w:szCs w:val="22"/>
              </w:rPr>
            </w:pPr>
            <w:r w:rsidRPr="00AB315F">
              <w:rPr>
                <w:rFonts w:ascii="Calibri" w:hAnsi="Calibri"/>
                <w:sz w:val="22"/>
                <w:szCs w:val="22"/>
              </w:rPr>
              <w:t>Tamanho da cidade</w:t>
            </w:r>
          </w:p>
        </w:tc>
        <w:tc>
          <w:tcPr>
            <w:tcW w:w="960" w:type="dxa"/>
            <w:tcBorders>
              <w:top w:val="nil"/>
              <w:left w:val="single" w:sz="4" w:space="0" w:color="auto"/>
              <w:bottom w:val="nil"/>
              <w:right w:val="nil"/>
            </w:tcBorders>
            <w:shd w:val="clear" w:color="auto" w:fill="auto"/>
            <w:noWrap/>
            <w:vAlign w:val="center"/>
            <w:hideMark/>
          </w:tcPr>
          <w:p w14:paraId="0DCC8F93"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nil"/>
              <w:left w:val="single" w:sz="4" w:space="0" w:color="auto"/>
              <w:bottom w:val="nil"/>
              <w:right w:val="nil"/>
            </w:tcBorders>
            <w:shd w:val="clear" w:color="auto" w:fill="auto"/>
            <w:noWrap/>
            <w:vAlign w:val="center"/>
            <w:hideMark/>
          </w:tcPr>
          <w:p w14:paraId="7BACAC9A"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2A66849C"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39FA2778"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6967AF" w:rsidRPr="00AB315F" w14:paraId="7C8EEC60" w14:textId="77777777" w:rsidTr="001C63EB">
        <w:trPr>
          <w:trHeight w:val="290"/>
        </w:trPr>
        <w:tc>
          <w:tcPr>
            <w:tcW w:w="4700" w:type="dxa"/>
            <w:tcBorders>
              <w:top w:val="nil"/>
              <w:bottom w:val="nil"/>
              <w:right w:val="nil"/>
            </w:tcBorders>
            <w:shd w:val="clear" w:color="auto" w:fill="auto"/>
            <w:vAlign w:val="center"/>
            <w:hideMark/>
          </w:tcPr>
          <w:p w14:paraId="547BE702" w14:textId="77777777" w:rsidR="006967AF" w:rsidRPr="00AB315F" w:rsidRDefault="006967AF" w:rsidP="00EC4A80">
            <w:pPr>
              <w:jc w:val="center"/>
              <w:rPr>
                <w:rFonts w:ascii="Calibri" w:hAnsi="Calibri"/>
                <w:sz w:val="20"/>
                <w:szCs w:val="20"/>
              </w:rPr>
            </w:pPr>
            <w:r w:rsidRPr="00AB315F">
              <w:rPr>
                <w:rFonts w:ascii="Calibri" w:hAnsi="Calibri"/>
                <w:sz w:val="20"/>
                <w:szCs w:val="20"/>
              </w:rPr>
              <w:t>Cidade grande</w:t>
            </w:r>
          </w:p>
        </w:tc>
        <w:tc>
          <w:tcPr>
            <w:tcW w:w="960" w:type="dxa"/>
            <w:tcBorders>
              <w:top w:val="nil"/>
              <w:left w:val="single" w:sz="4" w:space="0" w:color="auto"/>
              <w:bottom w:val="nil"/>
              <w:right w:val="nil"/>
            </w:tcBorders>
            <w:shd w:val="clear" w:color="auto" w:fill="auto"/>
            <w:noWrap/>
            <w:vAlign w:val="center"/>
            <w:hideMark/>
          </w:tcPr>
          <w:p w14:paraId="305A091A" w14:textId="77777777" w:rsidR="006967AF" w:rsidRPr="00AB315F" w:rsidRDefault="006967AF" w:rsidP="00EC4A80">
            <w:pPr>
              <w:jc w:val="center"/>
              <w:rPr>
                <w:rFonts w:ascii="Calibri" w:hAnsi="Calibri"/>
                <w:sz w:val="22"/>
                <w:szCs w:val="22"/>
              </w:rPr>
            </w:pPr>
            <w:r w:rsidRPr="00AB315F">
              <w:rPr>
                <w:rFonts w:ascii="Calibri" w:hAnsi="Calibri"/>
                <w:sz w:val="22"/>
                <w:szCs w:val="22"/>
              </w:rPr>
              <w:t>0,584</w:t>
            </w:r>
          </w:p>
        </w:tc>
        <w:tc>
          <w:tcPr>
            <w:tcW w:w="1112" w:type="dxa"/>
            <w:tcBorders>
              <w:top w:val="nil"/>
              <w:left w:val="single" w:sz="4" w:space="0" w:color="auto"/>
              <w:bottom w:val="nil"/>
              <w:right w:val="nil"/>
            </w:tcBorders>
            <w:shd w:val="clear" w:color="auto" w:fill="auto"/>
            <w:noWrap/>
            <w:vAlign w:val="center"/>
            <w:hideMark/>
          </w:tcPr>
          <w:p w14:paraId="091BE7F7" w14:textId="77777777" w:rsidR="006967AF" w:rsidRPr="00AB315F" w:rsidRDefault="006967AF" w:rsidP="00EC4A80">
            <w:pPr>
              <w:jc w:val="center"/>
              <w:rPr>
                <w:rFonts w:ascii="Calibri" w:hAnsi="Calibri"/>
                <w:sz w:val="22"/>
                <w:szCs w:val="22"/>
              </w:rPr>
            </w:pPr>
            <w:r w:rsidRPr="00AB315F">
              <w:rPr>
                <w:rFonts w:ascii="Calibri" w:hAnsi="Calibri"/>
                <w:sz w:val="22"/>
                <w:szCs w:val="22"/>
              </w:rPr>
              <w:t>0,186</w:t>
            </w:r>
          </w:p>
        </w:tc>
        <w:tc>
          <w:tcPr>
            <w:tcW w:w="960" w:type="dxa"/>
            <w:tcBorders>
              <w:top w:val="nil"/>
              <w:left w:val="single" w:sz="4" w:space="0" w:color="auto"/>
              <w:bottom w:val="nil"/>
              <w:right w:val="nil"/>
            </w:tcBorders>
            <w:shd w:val="clear" w:color="000000" w:fill="D9D9D9"/>
            <w:noWrap/>
            <w:vAlign w:val="center"/>
            <w:hideMark/>
          </w:tcPr>
          <w:p w14:paraId="0E9EA714" w14:textId="77777777" w:rsidR="006967AF" w:rsidRPr="00AB315F" w:rsidRDefault="006967AF" w:rsidP="00EC4A80">
            <w:pPr>
              <w:jc w:val="center"/>
              <w:rPr>
                <w:rFonts w:ascii="Calibri" w:hAnsi="Calibri"/>
                <w:sz w:val="22"/>
                <w:szCs w:val="22"/>
              </w:rPr>
            </w:pPr>
            <w:r w:rsidRPr="00AB315F">
              <w:rPr>
                <w:rFonts w:ascii="Calibri" w:hAnsi="Calibri"/>
                <w:sz w:val="22"/>
                <w:szCs w:val="22"/>
              </w:rPr>
              <w:t>-1,69</w:t>
            </w:r>
          </w:p>
        </w:tc>
        <w:tc>
          <w:tcPr>
            <w:tcW w:w="960" w:type="dxa"/>
            <w:tcBorders>
              <w:top w:val="nil"/>
              <w:left w:val="single" w:sz="4" w:space="0" w:color="auto"/>
              <w:bottom w:val="nil"/>
              <w:right w:val="nil"/>
            </w:tcBorders>
            <w:shd w:val="clear" w:color="auto" w:fill="auto"/>
            <w:noWrap/>
            <w:vAlign w:val="center"/>
            <w:hideMark/>
          </w:tcPr>
          <w:p w14:paraId="777C7484" w14:textId="77777777" w:rsidR="006967AF" w:rsidRPr="00AB315F" w:rsidRDefault="006967AF" w:rsidP="00EC4A80">
            <w:pPr>
              <w:jc w:val="center"/>
              <w:rPr>
                <w:rFonts w:ascii="Calibri" w:hAnsi="Calibri"/>
                <w:sz w:val="22"/>
                <w:szCs w:val="22"/>
              </w:rPr>
            </w:pPr>
            <w:r w:rsidRPr="00AB315F">
              <w:rPr>
                <w:rFonts w:ascii="Calibri" w:hAnsi="Calibri"/>
                <w:sz w:val="22"/>
                <w:szCs w:val="22"/>
              </w:rPr>
              <w:t>0,092</w:t>
            </w:r>
          </w:p>
        </w:tc>
      </w:tr>
      <w:tr w:rsidR="006967AF" w:rsidRPr="00AB315F" w14:paraId="6BA90993" w14:textId="77777777" w:rsidTr="001C63EB">
        <w:trPr>
          <w:trHeight w:val="290"/>
        </w:trPr>
        <w:tc>
          <w:tcPr>
            <w:tcW w:w="4700" w:type="dxa"/>
            <w:tcBorders>
              <w:top w:val="nil"/>
              <w:bottom w:val="nil"/>
              <w:right w:val="nil"/>
            </w:tcBorders>
            <w:shd w:val="clear" w:color="auto" w:fill="auto"/>
            <w:vAlign w:val="center"/>
            <w:hideMark/>
          </w:tcPr>
          <w:p w14:paraId="120F2BF8" w14:textId="77777777" w:rsidR="006967AF" w:rsidRPr="00AB315F" w:rsidRDefault="006967AF" w:rsidP="00EC4A80">
            <w:pPr>
              <w:jc w:val="center"/>
              <w:rPr>
                <w:rFonts w:ascii="Calibri" w:hAnsi="Calibri"/>
                <w:sz w:val="20"/>
                <w:szCs w:val="20"/>
              </w:rPr>
            </w:pPr>
            <w:r w:rsidRPr="00AB315F">
              <w:rPr>
                <w:rFonts w:ascii="Calibri" w:hAnsi="Calibri"/>
                <w:sz w:val="20"/>
                <w:szCs w:val="20"/>
              </w:rPr>
              <w:t>Cidade mediana</w:t>
            </w:r>
          </w:p>
        </w:tc>
        <w:tc>
          <w:tcPr>
            <w:tcW w:w="960" w:type="dxa"/>
            <w:tcBorders>
              <w:top w:val="nil"/>
              <w:left w:val="single" w:sz="4" w:space="0" w:color="auto"/>
              <w:bottom w:val="nil"/>
              <w:right w:val="nil"/>
            </w:tcBorders>
            <w:shd w:val="clear" w:color="auto" w:fill="auto"/>
            <w:noWrap/>
            <w:vAlign w:val="center"/>
            <w:hideMark/>
          </w:tcPr>
          <w:p w14:paraId="6B167DC4" w14:textId="77777777" w:rsidR="006967AF" w:rsidRPr="00AB315F" w:rsidRDefault="006967AF" w:rsidP="00EC4A80">
            <w:pPr>
              <w:jc w:val="center"/>
              <w:rPr>
                <w:rFonts w:ascii="Calibri" w:hAnsi="Calibri"/>
                <w:sz w:val="22"/>
                <w:szCs w:val="22"/>
              </w:rPr>
            </w:pPr>
            <w:r w:rsidRPr="00AB315F">
              <w:rPr>
                <w:rFonts w:ascii="Calibri" w:hAnsi="Calibri"/>
                <w:sz w:val="22"/>
                <w:szCs w:val="22"/>
              </w:rPr>
              <w:t>0,650</w:t>
            </w:r>
          </w:p>
        </w:tc>
        <w:tc>
          <w:tcPr>
            <w:tcW w:w="1112" w:type="dxa"/>
            <w:tcBorders>
              <w:top w:val="nil"/>
              <w:left w:val="single" w:sz="4" w:space="0" w:color="auto"/>
              <w:bottom w:val="nil"/>
              <w:right w:val="nil"/>
            </w:tcBorders>
            <w:shd w:val="clear" w:color="auto" w:fill="auto"/>
            <w:noWrap/>
            <w:vAlign w:val="center"/>
            <w:hideMark/>
          </w:tcPr>
          <w:p w14:paraId="58E3BCA4" w14:textId="77777777" w:rsidR="006967AF" w:rsidRPr="00AB315F" w:rsidRDefault="006967AF" w:rsidP="00EC4A80">
            <w:pPr>
              <w:jc w:val="center"/>
              <w:rPr>
                <w:rFonts w:ascii="Calibri" w:hAnsi="Calibri"/>
                <w:sz w:val="22"/>
                <w:szCs w:val="22"/>
              </w:rPr>
            </w:pPr>
            <w:r w:rsidRPr="00AB315F">
              <w:rPr>
                <w:rFonts w:ascii="Calibri" w:hAnsi="Calibri"/>
                <w:sz w:val="22"/>
                <w:szCs w:val="22"/>
              </w:rPr>
              <w:t>0,221</w:t>
            </w:r>
          </w:p>
        </w:tc>
        <w:tc>
          <w:tcPr>
            <w:tcW w:w="960" w:type="dxa"/>
            <w:tcBorders>
              <w:top w:val="nil"/>
              <w:left w:val="single" w:sz="4" w:space="0" w:color="auto"/>
              <w:bottom w:val="nil"/>
              <w:right w:val="nil"/>
            </w:tcBorders>
            <w:shd w:val="clear" w:color="auto" w:fill="auto"/>
            <w:noWrap/>
            <w:vAlign w:val="center"/>
            <w:hideMark/>
          </w:tcPr>
          <w:p w14:paraId="33C8C3E8" w14:textId="77777777" w:rsidR="006967AF" w:rsidRPr="00AB315F" w:rsidRDefault="006967AF" w:rsidP="00EC4A80">
            <w:pPr>
              <w:jc w:val="center"/>
              <w:rPr>
                <w:rFonts w:ascii="Calibri" w:hAnsi="Calibri"/>
                <w:sz w:val="22"/>
                <w:szCs w:val="22"/>
              </w:rPr>
            </w:pPr>
            <w:r w:rsidRPr="00AB315F">
              <w:rPr>
                <w:rFonts w:ascii="Calibri" w:hAnsi="Calibri"/>
                <w:sz w:val="22"/>
                <w:szCs w:val="22"/>
              </w:rPr>
              <w:t>-1,27</w:t>
            </w:r>
          </w:p>
        </w:tc>
        <w:tc>
          <w:tcPr>
            <w:tcW w:w="960" w:type="dxa"/>
            <w:tcBorders>
              <w:top w:val="nil"/>
              <w:left w:val="single" w:sz="4" w:space="0" w:color="auto"/>
              <w:bottom w:val="nil"/>
              <w:right w:val="nil"/>
            </w:tcBorders>
            <w:shd w:val="clear" w:color="auto" w:fill="auto"/>
            <w:noWrap/>
            <w:vAlign w:val="center"/>
            <w:hideMark/>
          </w:tcPr>
          <w:p w14:paraId="38107D70" w14:textId="77777777" w:rsidR="006967AF" w:rsidRPr="00AB315F" w:rsidRDefault="006967AF" w:rsidP="00EC4A80">
            <w:pPr>
              <w:jc w:val="center"/>
              <w:rPr>
                <w:rFonts w:ascii="Calibri" w:hAnsi="Calibri"/>
                <w:sz w:val="22"/>
                <w:szCs w:val="22"/>
              </w:rPr>
            </w:pPr>
            <w:r w:rsidRPr="00AB315F">
              <w:rPr>
                <w:rFonts w:ascii="Calibri" w:hAnsi="Calibri"/>
                <w:sz w:val="22"/>
                <w:szCs w:val="22"/>
              </w:rPr>
              <w:t>0,204</w:t>
            </w:r>
          </w:p>
        </w:tc>
      </w:tr>
      <w:tr w:rsidR="006967AF" w:rsidRPr="00AB315F" w14:paraId="19BA6234" w14:textId="77777777" w:rsidTr="001C63EB">
        <w:trPr>
          <w:trHeight w:val="290"/>
        </w:trPr>
        <w:tc>
          <w:tcPr>
            <w:tcW w:w="4700" w:type="dxa"/>
            <w:tcBorders>
              <w:top w:val="nil"/>
              <w:bottom w:val="nil"/>
              <w:right w:val="nil"/>
            </w:tcBorders>
            <w:shd w:val="clear" w:color="auto" w:fill="auto"/>
            <w:vAlign w:val="center"/>
            <w:hideMark/>
          </w:tcPr>
          <w:p w14:paraId="4EE14F14" w14:textId="77777777" w:rsidR="006967AF" w:rsidRPr="00AB315F" w:rsidRDefault="006967AF" w:rsidP="00EC4A80">
            <w:pPr>
              <w:jc w:val="center"/>
              <w:rPr>
                <w:rFonts w:ascii="Calibri" w:hAnsi="Calibri"/>
                <w:sz w:val="20"/>
                <w:szCs w:val="20"/>
              </w:rPr>
            </w:pPr>
            <w:r w:rsidRPr="00AB315F">
              <w:rPr>
                <w:rFonts w:ascii="Calibri" w:hAnsi="Calibri"/>
                <w:sz w:val="20"/>
                <w:szCs w:val="20"/>
              </w:rPr>
              <w:t>Cidade pequena</w:t>
            </w:r>
          </w:p>
        </w:tc>
        <w:tc>
          <w:tcPr>
            <w:tcW w:w="960" w:type="dxa"/>
            <w:tcBorders>
              <w:top w:val="nil"/>
              <w:left w:val="single" w:sz="4" w:space="0" w:color="auto"/>
              <w:bottom w:val="nil"/>
              <w:right w:val="nil"/>
            </w:tcBorders>
            <w:shd w:val="clear" w:color="auto" w:fill="auto"/>
            <w:noWrap/>
            <w:vAlign w:val="center"/>
            <w:hideMark/>
          </w:tcPr>
          <w:p w14:paraId="34A383B7" w14:textId="77777777" w:rsidR="006967AF" w:rsidRPr="00AB315F" w:rsidRDefault="006967AF" w:rsidP="00EC4A80">
            <w:pPr>
              <w:jc w:val="center"/>
              <w:rPr>
                <w:rFonts w:ascii="Calibri" w:hAnsi="Calibri"/>
                <w:sz w:val="22"/>
                <w:szCs w:val="22"/>
              </w:rPr>
            </w:pPr>
            <w:r w:rsidRPr="00AB315F">
              <w:rPr>
                <w:rFonts w:ascii="Calibri" w:hAnsi="Calibri"/>
                <w:sz w:val="22"/>
                <w:szCs w:val="22"/>
              </w:rPr>
              <w:t>0,638</w:t>
            </w:r>
          </w:p>
        </w:tc>
        <w:tc>
          <w:tcPr>
            <w:tcW w:w="1112" w:type="dxa"/>
            <w:tcBorders>
              <w:top w:val="nil"/>
              <w:left w:val="single" w:sz="4" w:space="0" w:color="auto"/>
              <w:bottom w:val="nil"/>
              <w:right w:val="nil"/>
            </w:tcBorders>
            <w:shd w:val="clear" w:color="auto" w:fill="auto"/>
            <w:noWrap/>
            <w:vAlign w:val="center"/>
            <w:hideMark/>
          </w:tcPr>
          <w:p w14:paraId="0000C7F8" w14:textId="77777777" w:rsidR="006967AF" w:rsidRPr="00AB315F" w:rsidRDefault="006967AF" w:rsidP="00EC4A80">
            <w:pPr>
              <w:jc w:val="center"/>
              <w:rPr>
                <w:rFonts w:ascii="Calibri" w:hAnsi="Calibri"/>
                <w:sz w:val="22"/>
                <w:szCs w:val="22"/>
              </w:rPr>
            </w:pPr>
            <w:r w:rsidRPr="00AB315F">
              <w:rPr>
                <w:rFonts w:ascii="Calibri" w:hAnsi="Calibri"/>
                <w:sz w:val="22"/>
                <w:szCs w:val="22"/>
              </w:rPr>
              <w:t>0,212</w:t>
            </w:r>
          </w:p>
        </w:tc>
        <w:tc>
          <w:tcPr>
            <w:tcW w:w="960" w:type="dxa"/>
            <w:tcBorders>
              <w:top w:val="nil"/>
              <w:left w:val="single" w:sz="4" w:space="0" w:color="auto"/>
              <w:bottom w:val="nil"/>
              <w:right w:val="nil"/>
            </w:tcBorders>
            <w:shd w:val="clear" w:color="auto" w:fill="auto"/>
            <w:noWrap/>
            <w:vAlign w:val="center"/>
            <w:hideMark/>
          </w:tcPr>
          <w:p w14:paraId="39042952" w14:textId="77777777" w:rsidR="006967AF" w:rsidRPr="00AB315F" w:rsidRDefault="006967AF" w:rsidP="00EC4A80">
            <w:pPr>
              <w:jc w:val="center"/>
              <w:rPr>
                <w:rFonts w:ascii="Calibri" w:hAnsi="Calibri"/>
                <w:sz w:val="22"/>
                <w:szCs w:val="22"/>
              </w:rPr>
            </w:pPr>
            <w:r w:rsidRPr="00AB315F">
              <w:rPr>
                <w:rFonts w:ascii="Calibri" w:hAnsi="Calibri"/>
                <w:sz w:val="22"/>
                <w:szCs w:val="22"/>
              </w:rPr>
              <w:t>-1,35</w:t>
            </w:r>
          </w:p>
        </w:tc>
        <w:tc>
          <w:tcPr>
            <w:tcW w:w="960" w:type="dxa"/>
            <w:tcBorders>
              <w:top w:val="nil"/>
              <w:left w:val="single" w:sz="4" w:space="0" w:color="auto"/>
              <w:bottom w:val="nil"/>
              <w:right w:val="nil"/>
            </w:tcBorders>
            <w:shd w:val="clear" w:color="auto" w:fill="auto"/>
            <w:noWrap/>
            <w:vAlign w:val="center"/>
            <w:hideMark/>
          </w:tcPr>
          <w:p w14:paraId="6FB1F96B" w14:textId="77777777" w:rsidR="006967AF" w:rsidRPr="00AB315F" w:rsidRDefault="006967AF" w:rsidP="00EC4A80">
            <w:pPr>
              <w:jc w:val="center"/>
              <w:rPr>
                <w:rFonts w:ascii="Calibri" w:hAnsi="Calibri"/>
                <w:sz w:val="22"/>
                <w:szCs w:val="22"/>
              </w:rPr>
            </w:pPr>
            <w:r w:rsidRPr="00AB315F">
              <w:rPr>
                <w:rFonts w:ascii="Calibri" w:hAnsi="Calibri"/>
                <w:sz w:val="22"/>
                <w:szCs w:val="22"/>
              </w:rPr>
              <w:t>0,177</w:t>
            </w:r>
          </w:p>
        </w:tc>
      </w:tr>
      <w:tr w:rsidR="006967AF" w:rsidRPr="00AB315F" w14:paraId="4796D18D" w14:textId="77777777" w:rsidTr="001C63EB">
        <w:trPr>
          <w:trHeight w:val="290"/>
        </w:trPr>
        <w:tc>
          <w:tcPr>
            <w:tcW w:w="4700" w:type="dxa"/>
            <w:tcBorders>
              <w:top w:val="nil"/>
              <w:bottom w:val="single" w:sz="4" w:space="0" w:color="auto"/>
              <w:right w:val="nil"/>
            </w:tcBorders>
            <w:shd w:val="clear" w:color="auto" w:fill="auto"/>
            <w:vAlign w:val="center"/>
            <w:hideMark/>
          </w:tcPr>
          <w:p w14:paraId="1E5620C3" w14:textId="77777777" w:rsidR="006967AF" w:rsidRPr="00AB315F" w:rsidRDefault="006967AF" w:rsidP="00EC4A80">
            <w:pPr>
              <w:jc w:val="center"/>
              <w:rPr>
                <w:rFonts w:ascii="Calibri" w:hAnsi="Calibri"/>
                <w:sz w:val="20"/>
                <w:szCs w:val="20"/>
              </w:rPr>
            </w:pPr>
            <w:r w:rsidRPr="00AB315F">
              <w:rPr>
                <w:rFonts w:ascii="Calibri" w:hAnsi="Calibri"/>
                <w:sz w:val="20"/>
                <w:szCs w:val="20"/>
              </w:rPr>
              <w:t>Área rural</w:t>
            </w:r>
          </w:p>
        </w:tc>
        <w:tc>
          <w:tcPr>
            <w:tcW w:w="960" w:type="dxa"/>
            <w:tcBorders>
              <w:top w:val="nil"/>
              <w:left w:val="single" w:sz="4" w:space="0" w:color="auto"/>
              <w:bottom w:val="single" w:sz="4" w:space="0" w:color="auto"/>
              <w:right w:val="nil"/>
            </w:tcBorders>
            <w:shd w:val="clear" w:color="auto" w:fill="auto"/>
            <w:noWrap/>
            <w:vAlign w:val="center"/>
            <w:hideMark/>
          </w:tcPr>
          <w:p w14:paraId="69339155" w14:textId="77777777" w:rsidR="006967AF" w:rsidRPr="00AB315F" w:rsidRDefault="006967AF" w:rsidP="00EC4A80">
            <w:pPr>
              <w:jc w:val="center"/>
              <w:rPr>
                <w:rFonts w:ascii="Calibri" w:hAnsi="Calibri"/>
                <w:sz w:val="22"/>
                <w:szCs w:val="22"/>
              </w:rPr>
            </w:pPr>
            <w:r w:rsidRPr="00AB315F">
              <w:rPr>
                <w:rFonts w:ascii="Calibri" w:hAnsi="Calibri"/>
                <w:sz w:val="22"/>
                <w:szCs w:val="22"/>
              </w:rPr>
              <w:t>0,614</w:t>
            </w:r>
          </w:p>
        </w:tc>
        <w:tc>
          <w:tcPr>
            <w:tcW w:w="1112" w:type="dxa"/>
            <w:tcBorders>
              <w:top w:val="nil"/>
              <w:left w:val="single" w:sz="4" w:space="0" w:color="auto"/>
              <w:bottom w:val="single" w:sz="4" w:space="0" w:color="auto"/>
              <w:right w:val="nil"/>
            </w:tcBorders>
            <w:shd w:val="clear" w:color="auto" w:fill="auto"/>
            <w:noWrap/>
            <w:vAlign w:val="center"/>
            <w:hideMark/>
          </w:tcPr>
          <w:p w14:paraId="7A5B686E" w14:textId="77777777" w:rsidR="006967AF" w:rsidRPr="00AB315F" w:rsidRDefault="006967AF" w:rsidP="00EC4A80">
            <w:pPr>
              <w:jc w:val="center"/>
              <w:rPr>
                <w:rFonts w:ascii="Calibri" w:hAnsi="Calibri"/>
                <w:sz w:val="22"/>
                <w:szCs w:val="22"/>
              </w:rPr>
            </w:pPr>
            <w:r w:rsidRPr="00AB315F">
              <w:rPr>
                <w:rFonts w:ascii="Calibri" w:hAnsi="Calibri"/>
                <w:sz w:val="22"/>
                <w:szCs w:val="22"/>
              </w:rPr>
              <w:t>0,209</w:t>
            </w:r>
          </w:p>
        </w:tc>
        <w:tc>
          <w:tcPr>
            <w:tcW w:w="960" w:type="dxa"/>
            <w:tcBorders>
              <w:top w:val="nil"/>
              <w:left w:val="single" w:sz="4" w:space="0" w:color="auto"/>
              <w:bottom w:val="single" w:sz="4" w:space="0" w:color="auto"/>
              <w:right w:val="nil"/>
            </w:tcBorders>
            <w:shd w:val="clear" w:color="auto" w:fill="auto"/>
            <w:noWrap/>
            <w:vAlign w:val="center"/>
            <w:hideMark/>
          </w:tcPr>
          <w:p w14:paraId="1FC23C26" w14:textId="77777777" w:rsidR="006967AF" w:rsidRPr="00AB315F" w:rsidRDefault="006967AF" w:rsidP="00EC4A80">
            <w:pPr>
              <w:jc w:val="center"/>
              <w:rPr>
                <w:rFonts w:ascii="Calibri" w:hAnsi="Calibri"/>
                <w:sz w:val="22"/>
                <w:szCs w:val="22"/>
              </w:rPr>
            </w:pPr>
            <w:r w:rsidRPr="00AB315F">
              <w:rPr>
                <w:rFonts w:ascii="Calibri" w:hAnsi="Calibri"/>
                <w:sz w:val="22"/>
                <w:szCs w:val="22"/>
              </w:rPr>
              <w:t>-1,43</w:t>
            </w:r>
          </w:p>
        </w:tc>
        <w:tc>
          <w:tcPr>
            <w:tcW w:w="960" w:type="dxa"/>
            <w:tcBorders>
              <w:top w:val="nil"/>
              <w:left w:val="single" w:sz="4" w:space="0" w:color="auto"/>
              <w:bottom w:val="single" w:sz="4" w:space="0" w:color="auto"/>
              <w:right w:val="nil"/>
            </w:tcBorders>
            <w:shd w:val="clear" w:color="auto" w:fill="auto"/>
            <w:noWrap/>
            <w:vAlign w:val="center"/>
            <w:hideMark/>
          </w:tcPr>
          <w:p w14:paraId="798A3EC4" w14:textId="77777777" w:rsidR="006967AF" w:rsidRPr="00AB315F" w:rsidRDefault="006967AF" w:rsidP="00EC4A80">
            <w:pPr>
              <w:jc w:val="center"/>
              <w:rPr>
                <w:rFonts w:ascii="Calibri" w:hAnsi="Calibri"/>
                <w:sz w:val="22"/>
                <w:szCs w:val="22"/>
              </w:rPr>
            </w:pPr>
            <w:r w:rsidRPr="00AB315F">
              <w:rPr>
                <w:rFonts w:ascii="Calibri" w:hAnsi="Calibri"/>
                <w:sz w:val="22"/>
                <w:szCs w:val="22"/>
              </w:rPr>
              <w:t>0,152</w:t>
            </w:r>
          </w:p>
        </w:tc>
      </w:tr>
      <w:tr w:rsidR="006967AF" w:rsidRPr="00AB315F" w14:paraId="702C9694" w14:textId="77777777" w:rsidTr="001C63EB">
        <w:trPr>
          <w:trHeight w:val="290"/>
        </w:trPr>
        <w:tc>
          <w:tcPr>
            <w:tcW w:w="4700" w:type="dxa"/>
            <w:tcBorders>
              <w:top w:val="nil"/>
              <w:bottom w:val="nil"/>
              <w:right w:val="nil"/>
            </w:tcBorders>
            <w:shd w:val="clear" w:color="auto" w:fill="auto"/>
            <w:noWrap/>
            <w:vAlign w:val="center"/>
            <w:hideMark/>
          </w:tcPr>
          <w:p w14:paraId="7FF1DADF" w14:textId="77777777" w:rsidR="006967AF" w:rsidRPr="00AB315F" w:rsidRDefault="006967AF" w:rsidP="00EC4A80">
            <w:pPr>
              <w:jc w:val="center"/>
              <w:rPr>
                <w:rFonts w:ascii="Calibri" w:hAnsi="Calibri"/>
                <w:sz w:val="22"/>
                <w:szCs w:val="22"/>
              </w:rPr>
            </w:pPr>
            <w:r w:rsidRPr="00AB315F">
              <w:rPr>
                <w:rFonts w:ascii="Calibri" w:hAnsi="Calibri"/>
                <w:sz w:val="22"/>
                <w:szCs w:val="22"/>
              </w:rPr>
              <w:t>Gênero</w:t>
            </w:r>
          </w:p>
        </w:tc>
        <w:tc>
          <w:tcPr>
            <w:tcW w:w="960" w:type="dxa"/>
            <w:tcBorders>
              <w:top w:val="nil"/>
              <w:left w:val="single" w:sz="4" w:space="0" w:color="auto"/>
              <w:bottom w:val="nil"/>
              <w:right w:val="nil"/>
            </w:tcBorders>
            <w:shd w:val="clear" w:color="auto" w:fill="auto"/>
            <w:noWrap/>
            <w:vAlign w:val="center"/>
            <w:hideMark/>
          </w:tcPr>
          <w:p w14:paraId="7C66963E" w14:textId="77777777" w:rsidR="006967AF" w:rsidRPr="00AB315F" w:rsidRDefault="006967AF" w:rsidP="00EC4A80">
            <w:pPr>
              <w:jc w:val="center"/>
              <w:rPr>
                <w:rFonts w:ascii="Calibri" w:hAnsi="Calibri"/>
                <w:sz w:val="22"/>
                <w:szCs w:val="22"/>
              </w:rPr>
            </w:pPr>
            <w:r w:rsidRPr="00AB315F">
              <w:rPr>
                <w:rFonts w:ascii="Calibri" w:hAnsi="Calibri"/>
                <w:sz w:val="22"/>
                <w:szCs w:val="22"/>
              </w:rPr>
              <w:t>1,032</w:t>
            </w:r>
          </w:p>
        </w:tc>
        <w:tc>
          <w:tcPr>
            <w:tcW w:w="1112" w:type="dxa"/>
            <w:tcBorders>
              <w:top w:val="nil"/>
              <w:left w:val="single" w:sz="4" w:space="0" w:color="auto"/>
              <w:bottom w:val="nil"/>
              <w:right w:val="nil"/>
            </w:tcBorders>
            <w:shd w:val="clear" w:color="auto" w:fill="auto"/>
            <w:noWrap/>
            <w:vAlign w:val="center"/>
            <w:hideMark/>
          </w:tcPr>
          <w:p w14:paraId="069EC4D5" w14:textId="77777777" w:rsidR="006967AF" w:rsidRPr="00AB315F" w:rsidRDefault="006967AF" w:rsidP="00EC4A80">
            <w:pPr>
              <w:jc w:val="center"/>
              <w:rPr>
                <w:rFonts w:ascii="Calibri" w:hAnsi="Calibri"/>
                <w:sz w:val="22"/>
                <w:szCs w:val="22"/>
              </w:rPr>
            </w:pPr>
            <w:r w:rsidRPr="00AB315F">
              <w:rPr>
                <w:rFonts w:ascii="Calibri" w:hAnsi="Calibri"/>
                <w:sz w:val="22"/>
                <w:szCs w:val="22"/>
              </w:rPr>
              <w:t>0,215</w:t>
            </w:r>
          </w:p>
        </w:tc>
        <w:tc>
          <w:tcPr>
            <w:tcW w:w="960" w:type="dxa"/>
            <w:tcBorders>
              <w:top w:val="nil"/>
              <w:left w:val="single" w:sz="4" w:space="0" w:color="auto"/>
              <w:bottom w:val="nil"/>
              <w:right w:val="nil"/>
            </w:tcBorders>
            <w:shd w:val="clear" w:color="auto" w:fill="auto"/>
            <w:noWrap/>
            <w:vAlign w:val="center"/>
            <w:hideMark/>
          </w:tcPr>
          <w:p w14:paraId="13F1E00C" w14:textId="77777777" w:rsidR="006967AF" w:rsidRPr="00AB315F" w:rsidRDefault="006967AF" w:rsidP="00EC4A80">
            <w:pPr>
              <w:jc w:val="center"/>
              <w:rPr>
                <w:rFonts w:ascii="Calibri" w:hAnsi="Calibri"/>
                <w:sz w:val="22"/>
                <w:szCs w:val="22"/>
              </w:rPr>
            </w:pPr>
            <w:r w:rsidRPr="00AB315F">
              <w:rPr>
                <w:rFonts w:ascii="Calibri" w:hAnsi="Calibri"/>
                <w:sz w:val="22"/>
                <w:szCs w:val="22"/>
              </w:rPr>
              <w:t>0,15</w:t>
            </w:r>
          </w:p>
        </w:tc>
        <w:tc>
          <w:tcPr>
            <w:tcW w:w="960" w:type="dxa"/>
            <w:tcBorders>
              <w:top w:val="nil"/>
              <w:left w:val="single" w:sz="4" w:space="0" w:color="auto"/>
              <w:bottom w:val="nil"/>
              <w:right w:val="nil"/>
            </w:tcBorders>
            <w:shd w:val="clear" w:color="auto" w:fill="auto"/>
            <w:noWrap/>
            <w:vAlign w:val="center"/>
            <w:hideMark/>
          </w:tcPr>
          <w:p w14:paraId="412CD678" w14:textId="77777777" w:rsidR="006967AF" w:rsidRPr="00AB315F" w:rsidRDefault="006967AF" w:rsidP="00EC4A80">
            <w:pPr>
              <w:jc w:val="center"/>
              <w:rPr>
                <w:rFonts w:ascii="Calibri" w:hAnsi="Calibri"/>
                <w:sz w:val="22"/>
                <w:szCs w:val="22"/>
              </w:rPr>
            </w:pPr>
            <w:r w:rsidRPr="00AB315F">
              <w:rPr>
                <w:rFonts w:ascii="Calibri" w:hAnsi="Calibri"/>
                <w:sz w:val="22"/>
                <w:szCs w:val="22"/>
              </w:rPr>
              <w:t>0,878</w:t>
            </w:r>
          </w:p>
        </w:tc>
      </w:tr>
      <w:tr w:rsidR="006967AF" w:rsidRPr="00AB315F" w14:paraId="195674C7" w14:textId="77777777" w:rsidTr="001C63EB">
        <w:trPr>
          <w:trHeight w:val="290"/>
        </w:trPr>
        <w:tc>
          <w:tcPr>
            <w:tcW w:w="4700" w:type="dxa"/>
            <w:tcBorders>
              <w:top w:val="single" w:sz="4" w:space="0" w:color="auto"/>
              <w:bottom w:val="nil"/>
              <w:right w:val="nil"/>
            </w:tcBorders>
            <w:shd w:val="clear" w:color="auto" w:fill="auto"/>
            <w:noWrap/>
            <w:vAlign w:val="center"/>
            <w:hideMark/>
          </w:tcPr>
          <w:p w14:paraId="79999590" w14:textId="77777777" w:rsidR="006967AF" w:rsidRPr="00AB315F" w:rsidRDefault="006967AF" w:rsidP="00EC4A80">
            <w:pPr>
              <w:jc w:val="center"/>
              <w:rPr>
                <w:rFonts w:ascii="Calibri" w:hAnsi="Calibri"/>
                <w:sz w:val="22"/>
                <w:szCs w:val="22"/>
              </w:rPr>
            </w:pPr>
            <w:r w:rsidRPr="00AB315F">
              <w:rPr>
                <w:rFonts w:ascii="Calibri" w:hAnsi="Calibri"/>
                <w:sz w:val="22"/>
                <w:szCs w:val="22"/>
              </w:rPr>
              <w:t>Idade</w:t>
            </w:r>
          </w:p>
        </w:tc>
        <w:tc>
          <w:tcPr>
            <w:tcW w:w="960" w:type="dxa"/>
            <w:tcBorders>
              <w:top w:val="single" w:sz="4" w:space="0" w:color="auto"/>
              <w:left w:val="single" w:sz="4" w:space="0" w:color="auto"/>
              <w:bottom w:val="nil"/>
              <w:right w:val="nil"/>
            </w:tcBorders>
            <w:shd w:val="clear" w:color="auto" w:fill="auto"/>
            <w:noWrap/>
            <w:vAlign w:val="center"/>
            <w:hideMark/>
          </w:tcPr>
          <w:p w14:paraId="140BA170"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single" w:sz="4" w:space="0" w:color="auto"/>
              <w:left w:val="single" w:sz="4" w:space="0" w:color="auto"/>
              <w:bottom w:val="nil"/>
              <w:right w:val="nil"/>
            </w:tcBorders>
            <w:shd w:val="clear" w:color="auto" w:fill="auto"/>
            <w:noWrap/>
            <w:vAlign w:val="center"/>
            <w:hideMark/>
          </w:tcPr>
          <w:p w14:paraId="1D3CFD5D"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single" w:sz="4" w:space="0" w:color="auto"/>
              <w:left w:val="single" w:sz="4" w:space="0" w:color="auto"/>
              <w:bottom w:val="nil"/>
              <w:right w:val="nil"/>
            </w:tcBorders>
            <w:shd w:val="clear" w:color="auto" w:fill="auto"/>
            <w:noWrap/>
            <w:vAlign w:val="center"/>
            <w:hideMark/>
          </w:tcPr>
          <w:p w14:paraId="47D08AB0"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single" w:sz="4" w:space="0" w:color="auto"/>
              <w:left w:val="single" w:sz="4" w:space="0" w:color="auto"/>
              <w:bottom w:val="nil"/>
              <w:right w:val="nil"/>
            </w:tcBorders>
            <w:shd w:val="clear" w:color="auto" w:fill="auto"/>
            <w:noWrap/>
            <w:vAlign w:val="center"/>
            <w:hideMark/>
          </w:tcPr>
          <w:p w14:paraId="26655ABB"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6967AF" w:rsidRPr="00AB315F" w14:paraId="6F37A8CE" w14:textId="77777777" w:rsidTr="001C63EB">
        <w:trPr>
          <w:trHeight w:val="290"/>
        </w:trPr>
        <w:tc>
          <w:tcPr>
            <w:tcW w:w="4700" w:type="dxa"/>
            <w:tcBorders>
              <w:top w:val="nil"/>
              <w:bottom w:val="nil"/>
              <w:right w:val="nil"/>
            </w:tcBorders>
            <w:shd w:val="clear" w:color="auto" w:fill="auto"/>
            <w:vAlign w:val="center"/>
            <w:hideMark/>
          </w:tcPr>
          <w:p w14:paraId="24CABCA7" w14:textId="77777777" w:rsidR="006967AF" w:rsidRPr="00AB315F" w:rsidRDefault="006967AF" w:rsidP="00EC4A80">
            <w:pPr>
              <w:jc w:val="center"/>
              <w:rPr>
                <w:rFonts w:ascii="Calibri" w:hAnsi="Calibri"/>
                <w:sz w:val="20"/>
                <w:szCs w:val="20"/>
              </w:rPr>
            </w:pPr>
            <w:r w:rsidRPr="00AB315F">
              <w:rPr>
                <w:rFonts w:ascii="Calibri" w:hAnsi="Calibri"/>
                <w:sz w:val="20"/>
                <w:szCs w:val="20"/>
              </w:rPr>
              <w:t>31 a 40</w:t>
            </w:r>
          </w:p>
        </w:tc>
        <w:tc>
          <w:tcPr>
            <w:tcW w:w="960" w:type="dxa"/>
            <w:tcBorders>
              <w:top w:val="nil"/>
              <w:left w:val="single" w:sz="4" w:space="0" w:color="auto"/>
              <w:bottom w:val="nil"/>
              <w:right w:val="nil"/>
            </w:tcBorders>
            <w:shd w:val="clear" w:color="auto" w:fill="auto"/>
            <w:noWrap/>
            <w:vAlign w:val="center"/>
            <w:hideMark/>
          </w:tcPr>
          <w:p w14:paraId="10B41BA7" w14:textId="77777777" w:rsidR="006967AF" w:rsidRPr="00AB315F" w:rsidRDefault="006967AF" w:rsidP="00EC4A80">
            <w:pPr>
              <w:jc w:val="center"/>
              <w:rPr>
                <w:rFonts w:ascii="Calibri" w:hAnsi="Calibri"/>
                <w:sz w:val="22"/>
                <w:szCs w:val="22"/>
              </w:rPr>
            </w:pPr>
            <w:r w:rsidRPr="00AB315F">
              <w:rPr>
                <w:rFonts w:ascii="Calibri" w:hAnsi="Calibri"/>
                <w:sz w:val="22"/>
                <w:szCs w:val="22"/>
              </w:rPr>
              <w:t>0,565</w:t>
            </w:r>
          </w:p>
        </w:tc>
        <w:tc>
          <w:tcPr>
            <w:tcW w:w="1112" w:type="dxa"/>
            <w:tcBorders>
              <w:top w:val="nil"/>
              <w:left w:val="single" w:sz="4" w:space="0" w:color="auto"/>
              <w:bottom w:val="nil"/>
              <w:right w:val="nil"/>
            </w:tcBorders>
            <w:shd w:val="clear" w:color="auto" w:fill="auto"/>
            <w:noWrap/>
            <w:vAlign w:val="center"/>
            <w:hideMark/>
          </w:tcPr>
          <w:p w14:paraId="689585FF" w14:textId="77777777" w:rsidR="006967AF" w:rsidRPr="00AB315F" w:rsidRDefault="006967AF" w:rsidP="00EC4A80">
            <w:pPr>
              <w:jc w:val="center"/>
              <w:rPr>
                <w:rFonts w:ascii="Calibri" w:hAnsi="Calibri"/>
                <w:sz w:val="22"/>
                <w:szCs w:val="22"/>
              </w:rPr>
            </w:pPr>
            <w:r w:rsidRPr="00AB315F">
              <w:rPr>
                <w:rFonts w:ascii="Calibri" w:hAnsi="Calibri"/>
                <w:sz w:val="22"/>
                <w:szCs w:val="22"/>
              </w:rPr>
              <w:t>0,158</w:t>
            </w:r>
          </w:p>
        </w:tc>
        <w:tc>
          <w:tcPr>
            <w:tcW w:w="960" w:type="dxa"/>
            <w:tcBorders>
              <w:top w:val="nil"/>
              <w:left w:val="single" w:sz="4" w:space="0" w:color="auto"/>
              <w:bottom w:val="nil"/>
              <w:right w:val="nil"/>
            </w:tcBorders>
            <w:shd w:val="clear" w:color="000000" w:fill="D9D9D9"/>
            <w:noWrap/>
            <w:vAlign w:val="center"/>
            <w:hideMark/>
          </w:tcPr>
          <w:p w14:paraId="4B42678B" w14:textId="77777777" w:rsidR="006967AF" w:rsidRPr="00AB315F" w:rsidRDefault="006967AF" w:rsidP="00EC4A80">
            <w:pPr>
              <w:jc w:val="center"/>
              <w:rPr>
                <w:rFonts w:ascii="Calibri" w:hAnsi="Calibri"/>
                <w:sz w:val="22"/>
                <w:szCs w:val="22"/>
              </w:rPr>
            </w:pPr>
            <w:r w:rsidRPr="00AB315F">
              <w:rPr>
                <w:rFonts w:ascii="Calibri" w:hAnsi="Calibri"/>
                <w:sz w:val="22"/>
                <w:szCs w:val="22"/>
              </w:rPr>
              <w:t>-2,05</w:t>
            </w:r>
          </w:p>
        </w:tc>
        <w:tc>
          <w:tcPr>
            <w:tcW w:w="960" w:type="dxa"/>
            <w:tcBorders>
              <w:top w:val="nil"/>
              <w:left w:val="single" w:sz="4" w:space="0" w:color="auto"/>
              <w:bottom w:val="nil"/>
              <w:right w:val="nil"/>
            </w:tcBorders>
            <w:shd w:val="clear" w:color="auto" w:fill="auto"/>
            <w:noWrap/>
            <w:vAlign w:val="center"/>
            <w:hideMark/>
          </w:tcPr>
          <w:p w14:paraId="4D8B2C84" w14:textId="77777777" w:rsidR="006967AF" w:rsidRPr="00AB315F" w:rsidRDefault="006967AF" w:rsidP="00EC4A80">
            <w:pPr>
              <w:jc w:val="center"/>
              <w:rPr>
                <w:rFonts w:ascii="Calibri" w:hAnsi="Calibri"/>
                <w:sz w:val="22"/>
                <w:szCs w:val="22"/>
              </w:rPr>
            </w:pPr>
            <w:r w:rsidRPr="00AB315F">
              <w:rPr>
                <w:rFonts w:ascii="Calibri" w:hAnsi="Calibri"/>
                <w:sz w:val="22"/>
                <w:szCs w:val="22"/>
              </w:rPr>
              <w:t>0,041</w:t>
            </w:r>
          </w:p>
        </w:tc>
      </w:tr>
      <w:tr w:rsidR="006967AF" w:rsidRPr="00AB315F" w14:paraId="2A7B6F04" w14:textId="77777777" w:rsidTr="001C63EB">
        <w:trPr>
          <w:trHeight w:val="290"/>
        </w:trPr>
        <w:tc>
          <w:tcPr>
            <w:tcW w:w="4700" w:type="dxa"/>
            <w:tcBorders>
              <w:top w:val="nil"/>
              <w:bottom w:val="nil"/>
              <w:right w:val="nil"/>
            </w:tcBorders>
            <w:shd w:val="clear" w:color="auto" w:fill="auto"/>
            <w:vAlign w:val="center"/>
            <w:hideMark/>
          </w:tcPr>
          <w:p w14:paraId="4553D368" w14:textId="77777777" w:rsidR="006967AF" w:rsidRPr="00AB315F" w:rsidRDefault="006967AF" w:rsidP="00EC4A80">
            <w:pPr>
              <w:jc w:val="center"/>
              <w:rPr>
                <w:rFonts w:ascii="Calibri" w:hAnsi="Calibri"/>
                <w:sz w:val="20"/>
                <w:szCs w:val="20"/>
              </w:rPr>
            </w:pPr>
            <w:r w:rsidRPr="00AB315F">
              <w:rPr>
                <w:rFonts w:ascii="Calibri" w:hAnsi="Calibri"/>
                <w:sz w:val="20"/>
                <w:szCs w:val="20"/>
              </w:rPr>
              <w:t>41 a 50</w:t>
            </w:r>
          </w:p>
        </w:tc>
        <w:tc>
          <w:tcPr>
            <w:tcW w:w="960" w:type="dxa"/>
            <w:tcBorders>
              <w:top w:val="nil"/>
              <w:left w:val="single" w:sz="4" w:space="0" w:color="auto"/>
              <w:bottom w:val="nil"/>
              <w:right w:val="nil"/>
            </w:tcBorders>
            <w:shd w:val="clear" w:color="auto" w:fill="auto"/>
            <w:noWrap/>
            <w:vAlign w:val="center"/>
            <w:hideMark/>
          </w:tcPr>
          <w:p w14:paraId="3BE21E43" w14:textId="77777777" w:rsidR="006967AF" w:rsidRPr="00AB315F" w:rsidRDefault="006967AF" w:rsidP="00EC4A80">
            <w:pPr>
              <w:jc w:val="center"/>
              <w:rPr>
                <w:rFonts w:ascii="Calibri" w:hAnsi="Calibri"/>
                <w:sz w:val="22"/>
                <w:szCs w:val="22"/>
              </w:rPr>
            </w:pPr>
            <w:r w:rsidRPr="00AB315F">
              <w:rPr>
                <w:rFonts w:ascii="Calibri" w:hAnsi="Calibri"/>
                <w:sz w:val="22"/>
                <w:szCs w:val="22"/>
              </w:rPr>
              <w:t>0,509</w:t>
            </w:r>
          </w:p>
        </w:tc>
        <w:tc>
          <w:tcPr>
            <w:tcW w:w="1112" w:type="dxa"/>
            <w:tcBorders>
              <w:top w:val="nil"/>
              <w:left w:val="single" w:sz="4" w:space="0" w:color="auto"/>
              <w:bottom w:val="nil"/>
              <w:right w:val="nil"/>
            </w:tcBorders>
            <w:shd w:val="clear" w:color="auto" w:fill="auto"/>
            <w:noWrap/>
            <w:vAlign w:val="center"/>
            <w:hideMark/>
          </w:tcPr>
          <w:p w14:paraId="6CAFD63D" w14:textId="77777777" w:rsidR="006967AF" w:rsidRPr="00AB315F" w:rsidRDefault="006967AF" w:rsidP="00EC4A80">
            <w:pPr>
              <w:jc w:val="center"/>
              <w:rPr>
                <w:rFonts w:ascii="Calibri" w:hAnsi="Calibri"/>
                <w:sz w:val="22"/>
                <w:szCs w:val="22"/>
              </w:rPr>
            </w:pPr>
            <w:r w:rsidRPr="00AB315F">
              <w:rPr>
                <w:rFonts w:ascii="Calibri" w:hAnsi="Calibri"/>
                <w:sz w:val="22"/>
                <w:szCs w:val="22"/>
              </w:rPr>
              <w:t>0,161</w:t>
            </w:r>
          </w:p>
        </w:tc>
        <w:tc>
          <w:tcPr>
            <w:tcW w:w="960" w:type="dxa"/>
            <w:tcBorders>
              <w:top w:val="nil"/>
              <w:left w:val="single" w:sz="4" w:space="0" w:color="auto"/>
              <w:bottom w:val="nil"/>
              <w:right w:val="nil"/>
            </w:tcBorders>
            <w:shd w:val="clear" w:color="000000" w:fill="D9D9D9"/>
            <w:noWrap/>
            <w:vAlign w:val="center"/>
            <w:hideMark/>
          </w:tcPr>
          <w:p w14:paraId="30BAE390" w14:textId="77777777" w:rsidR="006967AF" w:rsidRPr="00AB315F" w:rsidRDefault="006967AF" w:rsidP="00EC4A80">
            <w:pPr>
              <w:jc w:val="center"/>
              <w:rPr>
                <w:rFonts w:ascii="Calibri" w:hAnsi="Calibri"/>
                <w:sz w:val="22"/>
                <w:szCs w:val="22"/>
              </w:rPr>
            </w:pPr>
            <w:r w:rsidRPr="00AB315F">
              <w:rPr>
                <w:rFonts w:ascii="Calibri" w:hAnsi="Calibri"/>
                <w:sz w:val="22"/>
                <w:szCs w:val="22"/>
              </w:rPr>
              <w:t>-2,13</w:t>
            </w:r>
          </w:p>
        </w:tc>
        <w:tc>
          <w:tcPr>
            <w:tcW w:w="960" w:type="dxa"/>
            <w:tcBorders>
              <w:top w:val="nil"/>
              <w:left w:val="single" w:sz="4" w:space="0" w:color="auto"/>
              <w:bottom w:val="nil"/>
              <w:right w:val="nil"/>
            </w:tcBorders>
            <w:shd w:val="clear" w:color="auto" w:fill="auto"/>
            <w:noWrap/>
            <w:vAlign w:val="center"/>
            <w:hideMark/>
          </w:tcPr>
          <w:p w14:paraId="0CB8D977" w14:textId="77777777" w:rsidR="006967AF" w:rsidRPr="00AB315F" w:rsidRDefault="006967AF" w:rsidP="00EC4A80">
            <w:pPr>
              <w:jc w:val="center"/>
              <w:rPr>
                <w:rFonts w:ascii="Calibri" w:hAnsi="Calibri"/>
                <w:sz w:val="22"/>
                <w:szCs w:val="22"/>
              </w:rPr>
            </w:pPr>
            <w:r w:rsidRPr="00AB315F">
              <w:rPr>
                <w:rFonts w:ascii="Calibri" w:hAnsi="Calibri"/>
                <w:sz w:val="22"/>
                <w:szCs w:val="22"/>
              </w:rPr>
              <w:t>0,033</w:t>
            </w:r>
          </w:p>
        </w:tc>
      </w:tr>
      <w:tr w:rsidR="006967AF" w:rsidRPr="00AB315F" w14:paraId="08C4A2AE" w14:textId="77777777" w:rsidTr="001C63EB">
        <w:trPr>
          <w:trHeight w:val="290"/>
        </w:trPr>
        <w:tc>
          <w:tcPr>
            <w:tcW w:w="4700" w:type="dxa"/>
            <w:tcBorders>
              <w:top w:val="nil"/>
              <w:bottom w:val="nil"/>
              <w:right w:val="nil"/>
            </w:tcBorders>
            <w:shd w:val="clear" w:color="auto" w:fill="auto"/>
            <w:vAlign w:val="center"/>
            <w:hideMark/>
          </w:tcPr>
          <w:p w14:paraId="5C5EBC8D" w14:textId="77777777" w:rsidR="006967AF" w:rsidRPr="00AB315F" w:rsidRDefault="006967AF" w:rsidP="00EC4A80">
            <w:pPr>
              <w:jc w:val="center"/>
              <w:rPr>
                <w:rFonts w:ascii="Calibri" w:hAnsi="Calibri"/>
                <w:sz w:val="20"/>
                <w:szCs w:val="20"/>
              </w:rPr>
            </w:pPr>
            <w:r w:rsidRPr="00AB315F">
              <w:rPr>
                <w:rFonts w:ascii="Calibri" w:hAnsi="Calibri"/>
                <w:sz w:val="20"/>
                <w:szCs w:val="20"/>
              </w:rPr>
              <w:t>51 a 65</w:t>
            </w:r>
          </w:p>
        </w:tc>
        <w:tc>
          <w:tcPr>
            <w:tcW w:w="960" w:type="dxa"/>
            <w:tcBorders>
              <w:top w:val="nil"/>
              <w:left w:val="single" w:sz="4" w:space="0" w:color="auto"/>
              <w:bottom w:val="nil"/>
              <w:right w:val="nil"/>
            </w:tcBorders>
            <w:shd w:val="clear" w:color="auto" w:fill="auto"/>
            <w:noWrap/>
            <w:vAlign w:val="center"/>
            <w:hideMark/>
          </w:tcPr>
          <w:p w14:paraId="39744DBB" w14:textId="77777777" w:rsidR="006967AF" w:rsidRPr="00AB315F" w:rsidRDefault="006967AF" w:rsidP="00EC4A80">
            <w:pPr>
              <w:jc w:val="center"/>
              <w:rPr>
                <w:rFonts w:ascii="Calibri" w:hAnsi="Calibri"/>
                <w:sz w:val="22"/>
                <w:szCs w:val="22"/>
              </w:rPr>
            </w:pPr>
            <w:r w:rsidRPr="00AB315F">
              <w:rPr>
                <w:rFonts w:ascii="Calibri" w:hAnsi="Calibri"/>
                <w:sz w:val="22"/>
                <w:szCs w:val="22"/>
              </w:rPr>
              <w:t>0,821</w:t>
            </w:r>
          </w:p>
        </w:tc>
        <w:tc>
          <w:tcPr>
            <w:tcW w:w="1112" w:type="dxa"/>
            <w:tcBorders>
              <w:top w:val="nil"/>
              <w:left w:val="single" w:sz="4" w:space="0" w:color="auto"/>
              <w:bottom w:val="nil"/>
              <w:right w:val="nil"/>
            </w:tcBorders>
            <w:shd w:val="clear" w:color="auto" w:fill="auto"/>
            <w:noWrap/>
            <w:vAlign w:val="center"/>
            <w:hideMark/>
          </w:tcPr>
          <w:p w14:paraId="3DD6D6FA" w14:textId="77777777" w:rsidR="006967AF" w:rsidRPr="00AB315F" w:rsidRDefault="006967AF" w:rsidP="00EC4A80">
            <w:pPr>
              <w:jc w:val="center"/>
              <w:rPr>
                <w:rFonts w:ascii="Calibri" w:hAnsi="Calibri"/>
                <w:sz w:val="22"/>
                <w:szCs w:val="22"/>
              </w:rPr>
            </w:pPr>
            <w:r w:rsidRPr="00AB315F">
              <w:rPr>
                <w:rFonts w:ascii="Calibri" w:hAnsi="Calibri"/>
                <w:sz w:val="22"/>
                <w:szCs w:val="22"/>
              </w:rPr>
              <w:t>0,265</w:t>
            </w:r>
          </w:p>
        </w:tc>
        <w:tc>
          <w:tcPr>
            <w:tcW w:w="960" w:type="dxa"/>
            <w:tcBorders>
              <w:top w:val="nil"/>
              <w:left w:val="single" w:sz="4" w:space="0" w:color="auto"/>
              <w:bottom w:val="nil"/>
              <w:right w:val="nil"/>
            </w:tcBorders>
            <w:shd w:val="clear" w:color="auto" w:fill="auto"/>
            <w:noWrap/>
            <w:vAlign w:val="center"/>
            <w:hideMark/>
          </w:tcPr>
          <w:p w14:paraId="7601F8B4" w14:textId="77777777" w:rsidR="006967AF" w:rsidRPr="00AB315F" w:rsidRDefault="006967AF" w:rsidP="00EC4A80">
            <w:pPr>
              <w:jc w:val="center"/>
              <w:rPr>
                <w:rFonts w:ascii="Calibri" w:hAnsi="Calibri"/>
                <w:sz w:val="22"/>
                <w:szCs w:val="22"/>
              </w:rPr>
            </w:pPr>
            <w:r w:rsidRPr="00AB315F">
              <w:rPr>
                <w:rFonts w:ascii="Calibri" w:hAnsi="Calibri"/>
                <w:sz w:val="22"/>
                <w:szCs w:val="22"/>
              </w:rPr>
              <w:t>-0,61</w:t>
            </w:r>
          </w:p>
        </w:tc>
        <w:tc>
          <w:tcPr>
            <w:tcW w:w="960" w:type="dxa"/>
            <w:tcBorders>
              <w:top w:val="nil"/>
              <w:left w:val="single" w:sz="4" w:space="0" w:color="auto"/>
              <w:bottom w:val="nil"/>
              <w:right w:val="nil"/>
            </w:tcBorders>
            <w:shd w:val="clear" w:color="auto" w:fill="auto"/>
            <w:noWrap/>
            <w:vAlign w:val="center"/>
            <w:hideMark/>
          </w:tcPr>
          <w:p w14:paraId="44AF00F5" w14:textId="77777777" w:rsidR="006967AF" w:rsidRPr="00AB315F" w:rsidRDefault="006967AF" w:rsidP="00EC4A80">
            <w:pPr>
              <w:jc w:val="center"/>
              <w:rPr>
                <w:rFonts w:ascii="Calibri" w:hAnsi="Calibri"/>
                <w:sz w:val="22"/>
                <w:szCs w:val="22"/>
              </w:rPr>
            </w:pPr>
            <w:r w:rsidRPr="00AB315F">
              <w:rPr>
                <w:rFonts w:ascii="Calibri" w:hAnsi="Calibri"/>
                <w:sz w:val="22"/>
                <w:szCs w:val="22"/>
              </w:rPr>
              <w:t>0,54</w:t>
            </w:r>
          </w:p>
        </w:tc>
      </w:tr>
      <w:tr w:rsidR="006967AF" w:rsidRPr="00AB315F" w14:paraId="0D83A24E" w14:textId="77777777" w:rsidTr="001C63EB">
        <w:trPr>
          <w:trHeight w:val="290"/>
        </w:trPr>
        <w:tc>
          <w:tcPr>
            <w:tcW w:w="4700" w:type="dxa"/>
            <w:tcBorders>
              <w:top w:val="nil"/>
              <w:bottom w:val="single" w:sz="4" w:space="0" w:color="auto"/>
              <w:right w:val="nil"/>
            </w:tcBorders>
            <w:shd w:val="clear" w:color="auto" w:fill="auto"/>
            <w:vAlign w:val="center"/>
            <w:hideMark/>
          </w:tcPr>
          <w:p w14:paraId="7AA1A15C" w14:textId="77777777" w:rsidR="006967AF" w:rsidRPr="00AB315F" w:rsidRDefault="006967AF" w:rsidP="00EC4A80">
            <w:pPr>
              <w:jc w:val="center"/>
              <w:rPr>
                <w:rFonts w:ascii="Calibri" w:hAnsi="Calibri"/>
                <w:sz w:val="20"/>
                <w:szCs w:val="20"/>
              </w:rPr>
            </w:pPr>
            <w:r w:rsidRPr="00AB315F">
              <w:rPr>
                <w:rFonts w:ascii="Calibri" w:hAnsi="Calibri"/>
                <w:sz w:val="20"/>
                <w:szCs w:val="20"/>
              </w:rPr>
              <w:t>Acima de 65</w:t>
            </w:r>
          </w:p>
        </w:tc>
        <w:tc>
          <w:tcPr>
            <w:tcW w:w="960" w:type="dxa"/>
            <w:tcBorders>
              <w:top w:val="nil"/>
              <w:left w:val="single" w:sz="4" w:space="0" w:color="auto"/>
              <w:bottom w:val="single" w:sz="4" w:space="0" w:color="auto"/>
              <w:right w:val="nil"/>
            </w:tcBorders>
            <w:shd w:val="clear" w:color="auto" w:fill="auto"/>
            <w:noWrap/>
            <w:vAlign w:val="center"/>
            <w:hideMark/>
          </w:tcPr>
          <w:p w14:paraId="25B83073" w14:textId="77777777" w:rsidR="006967AF" w:rsidRPr="00AB315F" w:rsidRDefault="006967AF" w:rsidP="00EC4A80">
            <w:pPr>
              <w:jc w:val="center"/>
              <w:rPr>
                <w:rFonts w:ascii="Calibri" w:hAnsi="Calibri"/>
                <w:sz w:val="22"/>
                <w:szCs w:val="22"/>
              </w:rPr>
            </w:pPr>
            <w:r w:rsidRPr="00AB315F">
              <w:rPr>
                <w:rFonts w:ascii="Calibri" w:hAnsi="Calibri"/>
                <w:sz w:val="22"/>
                <w:szCs w:val="22"/>
              </w:rPr>
              <w:t>0,674</w:t>
            </w:r>
          </w:p>
        </w:tc>
        <w:tc>
          <w:tcPr>
            <w:tcW w:w="1112" w:type="dxa"/>
            <w:tcBorders>
              <w:top w:val="nil"/>
              <w:left w:val="single" w:sz="4" w:space="0" w:color="auto"/>
              <w:bottom w:val="single" w:sz="4" w:space="0" w:color="auto"/>
              <w:right w:val="nil"/>
            </w:tcBorders>
            <w:shd w:val="clear" w:color="auto" w:fill="auto"/>
            <w:noWrap/>
            <w:vAlign w:val="center"/>
            <w:hideMark/>
          </w:tcPr>
          <w:p w14:paraId="26276027" w14:textId="77777777" w:rsidR="006967AF" w:rsidRPr="00AB315F" w:rsidRDefault="006967AF" w:rsidP="00EC4A80">
            <w:pPr>
              <w:jc w:val="center"/>
              <w:rPr>
                <w:rFonts w:ascii="Calibri" w:hAnsi="Calibri"/>
                <w:sz w:val="22"/>
                <w:szCs w:val="22"/>
              </w:rPr>
            </w:pPr>
            <w:r w:rsidRPr="00AB315F">
              <w:rPr>
                <w:rFonts w:ascii="Calibri" w:hAnsi="Calibri"/>
                <w:sz w:val="22"/>
                <w:szCs w:val="22"/>
              </w:rPr>
              <w:t>0,279</w:t>
            </w:r>
          </w:p>
        </w:tc>
        <w:tc>
          <w:tcPr>
            <w:tcW w:w="960" w:type="dxa"/>
            <w:tcBorders>
              <w:top w:val="nil"/>
              <w:left w:val="single" w:sz="4" w:space="0" w:color="auto"/>
              <w:bottom w:val="single" w:sz="4" w:space="0" w:color="auto"/>
              <w:right w:val="nil"/>
            </w:tcBorders>
            <w:shd w:val="clear" w:color="auto" w:fill="auto"/>
            <w:noWrap/>
            <w:vAlign w:val="center"/>
            <w:hideMark/>
          </w:tcPr>
          <w:p w14:paraId="4FA090BC" w14:textId="77777777" w:rsidR="006967AF" w:rsidRPr="00AB315F" w:rsidRDefault="006967AF" w:rsidP="00EC4A80">
            <w:pPr>
              <w:jc w:val="center"/>
              <w:rPr>
                <w:rFonts w:ascii="Calibri" w:hAnsi="Calibri"/>
                <w:sz w:val="22"/>
                <w:szCs w:val="22"/>
              </w:rPr>
            </w:pPr>
            <w:r w:rsidRPr="00AB315F">
              <w:rPr>
                <w:rFonts w:ascii="Calibri" w:hAnsi="Calibri"/>
                <w:sz w:val="22"/>
                <w:szCs w:val="22"/>
              </w:rPr>
              <w:t>-0,95</w:t>
            </w:r>
          </w:p>
        </w:tc>
        <w:tc>
          <w:tcPr>
            <w:tcW w:w="960" w:type="dxa"/>
            <w:tcBorders>
              <w:top w:val="nil"/>
              <w:left w:val="single" w:sz="4" w:space="0" w:color="auto"/>
              <w:bottom w:val="single" w:sz="4" w:space="0" w:color="auto"/>
              <w:right w:val="nil"/>
            </w:tcBorders>
            <w:shd w:val="clear" w:color="auto" w:fill="auto"/>
            <w:noWrap/>
            <w:vAlign w:val="center"/>
            <w:hideMark/>
          </w:tcPr>
          <w:p w14:paraId="5DDD4A98" w14:textId="77777777" w:rsidR="006967AF" w:rsidRPr="00AB315F" w:rsidRDefault="006967AF" w:rsidP="00EC4A80">
            <w:pPr>
              <w:jc w:val="center"/>
              <w:rPr>
                <w:rFonts w:ascii="Calibri" w:hAnsi="Calibri"/>
                <w:sz w:val="22"/>
                <w:szCs w:val="22"/>
              </w:rPr>
            </w:pPr>
            <w:r w:rsidRPr="00AB315F">
              <w:rPr>
                <w:rFonts w:ascii="Calibri" w:hAnsi="Calibri"/>
                <w:sz w:val="22"/>
                <w:szCs w:val="22"/>
              </w:rPr>
              <w:t>0,34</w:t>
            </w:r>
          </w:p>
        </w:tc>
      </w:tr>
      <w:tr w:rsidR="006967AF" w:rsidRPr="00AB315F" w14:paraId="5FBF051E" w14:textId="77777777" w:rsidTr="001C63EB">
        <w:trPr>
          <w:trHeight w:val="290"/>
        </w:trPr>
        <w:tc>
          <w:tcPr>
            <w:tcW w:w="4700" w:type="dxa"/>
            <w:tcBorders>
              <w:top w:val="nil"/>
              <w:bottom w:val="nil"/>
              <w:right w:val="nil"/>
            </w:tcBorders>
            <w:shd w:val="clear" w:color="auto" w:fill="auto"/>
            <w:noWrap/>
            <w:vAlign w:val="center"/>
            <w:hideMark/>
          </w:tcPr>
          <w:p w14:paraId="0DF65232" w14:textId="77777777" w:rsidR="006967AF" w:rsidRPr="00AB315F" w:rsidRDefault="006967AF" w:rsidP="00EC4A80">
            <w:pPr>
              <w:jc w:val="center"/>
              <w:rPr>
                <w:rFonts w:ascii="Calibri" w:hAnsi="Calibri"/>
                <w:sz w:val="22"/>
                <w:szCs w:val="22"/>
              </w:rPr>
            </w:pPr>
            <w:r w:rsidRPr="00AB315F">
              <w:rPr>
                <w:rFonts w:ascii="Calibri" w:hAnsi="Calibri"/>
                <w:sz w:val="22"/>
                <w:szCs w:val="22"/>
              </w:rPr>
              <w:t>Escolaridade</w:t>
            </w:r>
          </w:p>
        </w:tc>
        <w:tc>
          <w:tcPr>
            <w:tcW w:w="960" w:type="dxa"/>
            <w:tcBorders>
              <w:top w:val="nil"/>
              <w:left w:val="single" w:sz="4" w:space="0" w:color="auto"/>
              <w:bottom w:val="nil"/>
              <w:right w:val="nil"/>
            </w:tcBorders>
            <w:shd w:val="clear" w:color="auto" w:fill="auto"/>
            <w:noWrap/>
            <w:vAlign w:val="center"/>
            <w:hideMark/>
          </w:tcPr>
          <w:p w14:paraId="3DBC030F"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nil"/>
              <w:left w:val="single" w:sz="4" w:space="0" w:color="auto"/>
              <w:bottom w:val="nil"/>
              <w:right w:val="nil"/>
            </w:tcBorders>
            <w:shd w:val="clear" w:color="auto" w:fill="auto"/>
            <w:noWrap/>
            <w:vAlign w:val="center"/>
            <w:hideMark/>
          </w:tcPr>
          <w:p w14:paraId="70CE2772"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2FCC27D1"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462049E1"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6967AF" w:rsidRPr="00AB315F" w14:paraId="5B1C0299" w14:textId="77777777" w:rsidTr="001C63EB">
        <w:trPr>
          <w:trHeight w:val="290"/>
        </w:trPr>
        <w:tc>
          <w:tcPr>
            <w:tcW w:w="4700" w:type="dxa"/>
            <w:tcBorders>
              <w:top w:val="nil"/>
              <w:bottom w:val="nil"/>
              <w:right w:val="nil"/>
            </w:tcBorders>
            <w:shd w:val="clear" w:color="auto" w:fill="auto"/>
            <w:vAlign w:val="center"/>
            <w:hideMark/>
          </w:tcPr>
          <w:p w14:paraId="3E343B92" w14:textId="77777777" w:rsidR="006967AF" w:rsidRPr="00AB315F" w:rsidRDefault="006967AF" w:rsidP="00EC4A80">
            <w:pPr>
              <w:jc w:val="center"/>
              <w:rPr>
                <w:rFonts w:ascii="Calibri" w:hAnsi="Calibri"/>
                <w:sz w:val="20"/>
                <w:szCs w:val="20"/>
              </w:rPr>
            </w:pPr>
            <w:r w:rsidRPr="00AB315F">
              <w:rPr>
                <w:rFonts w:ascii="Calibri" w:hAnsi="Calibri"/>
                <w:sz w:val="20"/>
                <w:szCs w:val="20"/>
              </w:rPr>
              <w:t>Primário compelto/imcompleto</w:t>
            </w:r>
          </w:p>
        </w:tc>
        <w:tc>
          <w:tcPr>
            <w:tcW w:w="960" w:type="dxa"/>
            <w:tcBorders>
              <w:top w:val="nil"/>
              <w:left w:val="single" w:sz="4" w:space="0" w:color="auto"/>
              <w:bottom w:val="nil"/>
              <w:right w:val="nil"/>
            </w:tcBorders>
            <w:shd w:val="clear" w:color="auto" w:fill="auto"/>
            <w:noWrap/>
            <w:vAlign w:val="center"/>
            <w:hideMark/>
          </w:tcPr>
          <w:p w14:paraId="74DE2A8D" w14:textId="77777777" w:rsidR="006967AF" w:rsidRPr="00AB315F" w:rsidRDefault="006967AF" w:rsidP="00EC4A80">
            <w:pPr>
              <w:jc w:val="center"/>
              <w:rPr>
                <w:rFonts w:ascii="Calibri" w:hAnsi="Calibri"/>
                <w:sz w:val="22"/>
                <w:szCs w:val="22"/>
              </w:rPr>
            </w:pPr>
            <w:r w:rsidRPr="00AB315F">
              <w:rPr>
                <w:rFonts w:ascii="Calibri" w:hAnsi="Calibri"/>
                <w:sz w:val="22"/>
                <w:szCs w:val="22"/>
              </w:rPr>
              <w:t>1,066</w:t>
            </w:r>
          </w:p>
        </w:tc>
        <w:tc>
          <w:tcPr>
            <w:tcW w:w="1112" w:type="dxa"/>
            <w:tcBorders>
              <w:top w:val="nil"/>
              <w:left w:val="single" w:sz="4" w:space="0" w:color="auto"/>
              <w:bottom w:val="nil"/>
              <w:right w:val="nil"/>
            </w:tcBorders>
            <w:shd w:val="clear" w:color="auto" w:fill="auto"/>
            <w:noWrap/>
            <w:vAlign w:val="center"/>
            <w:hideMark/>
          </w:tcPr>
          <w:p w14:paraId="0A134D40" w14:textId="77777777" w:rsidR="006967AF" w:rsidRPr="00AB315F" w:rsidRDefault="006967AF" w:rsidP="00EC4A80">
            <w:pPr>
              <w:jc w:val="center"/>
              <w:rPr>
                <w:rFonts w:ascii="Calibri" w:hAnsi="Calibri"/>
                <w:sz w:val="22"/>
                <w:szCs w:val="22"/>
              </w:rPr>
            </w:pPr>
            <w:r w:rsidRPr="00AB315F">
              <w:rPr>
                <w:rFonts w:ascii="Calibri" w:hAnsi="Calibri"/>
                <w:sz w:val="22"/>
                <w:szCs w:val="22"/>
              </w:rPr>
              <w:t>0,506</w:t>
            </w:r>
          </w:p>
        </w:tc>
        <w:tc>
          <w:tcPr>
            <w:tcW w:w="960" w:type="dxa"/>
            <w:tcBorders>
              <w:top w:val="nil"/>
              <w:left w:val="single" w:sz="4" w:space="0" w:color="auto"/>
              <w:bottom w:val="nil"/>
              <w:right w:val="nil"/>
            </w:tcBorders>
            <w:shd w:val="clear" w:color="auto" w:fill="auto"/>
            <w:noWrap/>
            <w:vAlign w:val="center"/>
            <w:hideMark/>
          </w:tcPr>
          <w:p w14:paraId="218744A1" w14:textId="77777777" w:rsidR="006967AF" w:rsidRPr="00AB315F" w:rsidRDefault="006967AF" w:rsidP="00EC4A80">
            <w:pPr>
              <w:jc w:val="center"/>
              <w:rPr>
                <w:rFonts w:ascii="Calibri" w:hAnsi="Calibri"/>
                <w:sz w:val="22"/>
                <w:szCs w:val="22"/>
              </w:rPr>
            </w:pPr>
            <w:r w:rsidRPr="00AB315F">
              <w:rPr>
                <w:rFonts w:ascii="Calibri" w:hAnsi="Calibri"/>
                <w:sz w:val="22"/>
                <w:szCs w:val="22"/>
              </w:rPr>
              <w:t>0,13</w:t>
            </w:r>
          </w:p>
        </w:tc>
        <w:tc>
          <w:tcPr>
            <w:tcW w:w="960" w:type="dxa"/>
            <w:tcBorders>
              <w:top w:val="nil"/>
              <w:left w:val="single" w:sz="4" w:space="0" w:color="auto"/>
              <w:bottom w:val="nil"/>
              <w:right w:val="nil"/>
            </w:tcBorders>
            <w:shd w:val="clear" w:color="auto" w:fill="auto"/>
            <w:noWrap/>
            <w:vAlign w:val="center"/>
            <w:hideMark/>
          </w:tcPr>
          <w:p w14:paraId="5D6086B0" w14:textId="77777777" w:rsidR="006967AF" w:rsidRPr="00AB315F" w:rsidRDefault="006967AF" w:rsidP="00EC4A80">
            <w:pPr>
              <w:jc w:val="center"/>
              <w:rPr>
                <w:rFonts w:ascii="Calibri" w:hAnsi="Calibri"/>
                <w:sz w:val="22"/>
                <w:szCs w:val="22"/>
              </w:rPr>
            </w:pPr>
            <w:r w:rsidRPr="00AB315F">
              <w:rPr>
                <w:rFonts w:ascii="Calibri" w:hAnsi="Calibri"/>
                <w:sz w:val="22"/>
                <w:szCs w:val="22"/>
              </w:rPr>
              <w:t>0,893</w:t>
            </w:r>
          </w:p>
        </w:tc>
      </w:tr>
      <w:tr w:rsidR="006967AF" w:rsidRPr="00AB315F" w14:paraId="37D2E5C2" w14:textId="77777777" w:rsidTr="001C63EB">
        <w:trPr>
          <w:trHeight w:val="290"/>
        </w:trPr>
        <w:tc>
          <w:tcPr>
            <w:tcW w:w="4700" w:type="dxa"/>
            <w:tcBorders>
              <w:top w:val="nil"/>
              <w:bottom w:val="nil"/>
              <w:right w:val="nil"/>
            </w:tcBorders>
            <w:shd w:val="clear" w:color="auto" w:fill="auto"/>
            <w:vAlign w:val="center"/>
            <w:hideMark/>
          </w:tcPr>
          <w:p w14:paraId="5C9CA0AA" w14:textId="77777777" w:rsidR="006967AF" w:rsidRPr="00AB315F" w:rsidRDefault="006967AF" w:rsidP="00EC4A80">
            <w:pPr>
              <w:jc w:val="center"/>
              <w:rPr>
                <w:rFonts w:ascii="Calibri" w:hAnsi="Calibri"/>
                <w:sz w:val="20"/>
                <w:szCs w:val="20"/>
              </w:rPr>
            </w:pPr>
            <w:r w:rsidRPr="00AB315F">
              <w:rPr>
                <w:rFonts w:ascii="Calibri" w:hAnsi="Calibri"/>
                <w:sz w:val="20"/>
                <w:szCs w:val="20"/>
              </w:rPr>
              <w:t>Fundamenta complo/incompleto</w:t>
            </w:r>
          </w:p>
        </w:tc>
        <w:tc>
          <w:tcPr>
            <w:tcW w:w="960" w:type="dxa"/>
            <w:tcBorders>
              <w:top w:val="nil"/>
              <w:left w:val="single" w:sz="4" w:space="0" w:color="auto"/>
              <w:bottom w:val="nil"/>
              <w:right w:val="nil"/>
            </w:tcBorders>
            <w:shd w:val="clear" w:color="auto" w:fill="auto"/>
            <w:noWrap/>
            <w:vAlign w:val="center"/>
            <w:hideMark/>
          </w:tcPr>
          <w:p w14:paraId="7FCC87F9" w14:textId="77777777" w:rsidR="006967AF" w:rsidRPr="00AB315F" w:rsidRDefault="006967AF" w:rsidP="00EC4A80">
            <w:pPr>
              <w:jc w:val="center"/>
              <w:rPr>
                <w:rFonts w:ascii="Calibri" w:hAnsi="Calibri"/>
                <w:sz w:val="22"/>
                <w:szCs w:val="22"/>
              </w:rPr>
            </w:pPr>
            <w:r w:rsidRPr="00AB315F">
              <w:rPr>
                <w:rFonts w:ascii="Calibri" w:hAnsi="Calibri"/>
                <w:sz w:val="22"/>
                <w:szCs w:val="22"/>
              </w:rPr>
              <w:t>1,719</w:t>
            </w:r>
          </w:p>
        </w:tc>
        <w:tc>
          <w:tcPr>
            <w:tcW w:w="1112" w:type="dxa"/>
            <w:tcBorders>
              <w:top w:val="nil"/>
              <w:left w:val="single" w:sz="4" w:space="0" w:color="auto"/>
              <w:bottom w:val="nil"/>
              <w:right w:val="nil"/>
            </w:tcBorders>
            <w:shd w:val="clear" w:color="auto" w:fill="auto"/>
            <w:noWrap/>
            <w:vAlign w:val="center"/>
            <w:hideMark/>
          </w:tcPr>
          <w:p w14:paraId="64896313" w14:textId="77777777" w:rsidR="006967AF" w:rsidRPr="00AB315F" w:rsidRDefault="006967AF" w:rsidP="00EC4A80">
            <w:pPr>
              <w:jc w:val="center"/>
              <w:rPr>
                <w:rFonts w:ascii="Calibri" w:hAnsi="Calibri"/>
                <w:sz w:val="22"/>
                <w:szCs w:val="22"/>
              </w:rPr>
            </w:pPr>
            <w:r w:rsidRPr="00AB315F">
              <w:rPr>
                <w:rFonts w:ascii="Calibri" w:hAnsi="Calibri"/>
                <w:sz w:val="22"/>
                <w:szCs w:val="22"/>
              </w:rPr>
              <w:t>0,863</w:t>
            </w:r>
          </w:p>
        </w:tc>
        <w:tc>
          <w:tcPr>
            <w:tcW w:w="960" w:type="dxa"/>
            <w:tcBorders>
              <w:top w:val="nil"/>
              <w:left w:val="single" w:sz="4" w:space="0" w:color="auto"/>
              <w:bottom w:val="nil"/>
              <w:right w:val="nil"/>
            </w:tcBorders>
            <w:shd w:val="clear" w:color="auto" w:fill="auto"/>
            <w:noWrap/>
            <w:vAlign w:val="center"/>
            <w:hideMark/>
          </w:tcPr>
          <w:p w14:paraId="05AAC76B" w14:textId="77777777" w:rsidR="006967AF" w:rsidRPr="00AB315F" w:rsidRDefault="006967AF" w:rsidP="00EC4A80">
            <w:pPr>
              <w:jc w:val="center"/>
              <w:rPr>
                <w:rFonts w:ascii="Calibri" w:hAnsi="Calibri"/>
                <w:sz w:val="22"/>
                <w:szCs w:val="22"/>
              </w:rPr>
            </w:pPr>
            <w:r w:rsidRPr="00AB315F">
              <w:rPr>
                <w:rFonts w:ascii="Calibri" w:hAnsi="Calibri"/>
                <w:sz w:val="22"/>
                <w:szCs w:val="22"/>
              </w:rPr>
              <w:t>1,08</w:t>
            </w:r>
          </w:p>
        </w:tc>
        <w:tc>
          <w:tcPr>
            <w:tcW w:w="960" w:type="dxa"/>
            <w:tcBorders>
              <w:top w:val="nil"/>
              <w:left w:val="single" w:sz="4" w:space="0" w:color="auto"/>
              <w:bottom w:val="nil"/>
              <w:right w:val="nil"/>
            </w:tcBorders>
            <w:shd w:val="clear" w:color="auto" w:fill="auto"/>
            <w:noWrap/>
            <w:vAlign w:val="center"/>
            <w:hideMark/>
          </w:tcPr>
          <w:p w14:paraId="03B0FC7C" w14:textId="77777777" w:rsidR="006967AF" w:rsidRPr="00AB315F" w:rsidRDefault="006967AF" w:rsidP="00EC4A80">
            <w:pPr>
              <w:jc w:val="center"/>
              <w:rPr>
                <w:rFonts w:ascii="Calibri" w:hAnsi="Calibri"/>
                <w:sz w:val="22"/>
                <w:szCs w:val="22"/>
              </w:rPr>
            </w:pPr>
            <w:r w:rsidRPr="00AB315F">
              <w:rPr>
                <w:rFonts w:ascii="Calibri" w:hAnsi="Calibri"/>
                <w:sz w:val="22"/>
                <w:szCs w:val="22"/>
              </w:rPr>
              <w:t>0,281</w:t>
            </w:r>
          </w:p>
        </w:tc>
      </w:tr>
      <w:tr w:rsidR="006967AF" w:rsidRPr="00AB315F" w14:paraId="32594CDC" w14:textId="77777777" w:rsidTr="001C63EB">
        <w:trPr>
          <w:trHeight w:val="290"/>
        </w:trPr>
        <w:tc>
          <w:tcPr>
            <w:tcW w:w="4700" w:type="dxa"/>
            <w:tcBorders>
              <w:top w:val="nil"/>
              <w:bottom w:val="nil"/>
              <w:right w:val="nil"/>
            </w:tcBorders>
            <w:shd w:val="clear" w:color="auto" w:fill="auto"/>
            <w:vAlign w:val="center"/>
            <w:hideMark/>
          </w:tcPr>
          <w:p w14:paraId="30C50C9C" w14:textId="77777777" w:rsidR="006967AF" w:rsidRPr="00AB315F" w:rsidRDefault="006967AF" w:rsidP="00EC4A80">
            <w:pPr>
              <w:jc w:val="center"/>
              <w:rPr>
                <w:rFonts w:ascii="Calibri" w:hAnsi="Calibri"/>
                <w:sz w:val="20"/>
                <w:szCs w:val="20"/>
              </w:rPr>
            </w:pPr>
            <w:r w:rsidRPr="00AB315F">
              <w:rPr>
                <w:rFonts w:ascii="Calibri" w:hAnsi="Calibri"/>
                <w:sz w:val="20"/>
                <w:szCs w:val="20"/>
              </w:rPr>
              <w:t>Ens. Médio completo/incompleto</w:t>
            </w:r>
          </w:p>
        </w:tc>
        <w:tc>
          <w:tcPr>
            <w:tcW w:w="960" w:type="dxa"/>
            <w:tcBorders>
              <w:top w:val="nil"/>
              <w:left w:val="single" w:sz="4" w:space="0" w:color="auto"/>
              <w:bottom w:val="nil"/>
              <w:right w:val="nil"/>
            </w:tcBorders>
            <w:shd w:val="clear" w:color="auto" w:fill="auto"/>
            <w:noWrap/>
            <w:vAlign w:val="center"/>
            <w:hideMark/>
          </w:tcPr>
          <w:p w14:paraId="12817AF1" w14:textId="77777777" w:rsidR="006967AF" w:rsidRPr="00AB315F" w:rsidRDefault="006967AF" w:rsidP="00EC4A80">
            <w:pPr>
              <w:jc w:val="center"/>
              <w:rPr>
                <w:rFonts w:ascii="Calibri" w:hAnsi="Calibri"/>
                <w:sz w:val="22"/>
                <w:szCs w:val="22"/>
              </w:rPr>
            </w:pPr>
            <w:r w:rsidRPr="00AB315F">
              <w:rPr>
                <w:rFonts w:ascii="Calibri" w:hAnsi="Calibri"/>
                <w:sz w:val="22"/>
                <w:szCs w:val="22"/>
              </w:rPr>
              <w:t>1,525</w:t>
            </w:r>
          </w:p>
        </w:tc>
        <w:tc>
          <w:tcPr>
            <w:tcW w:w="1112" w:type="dxa"/>
            <w:tcBorders>
              <w:top w:val="nil"/>
              <w:left w:val="single" w:sz="4" w:space="0" w:color="auto"/>
              <w:bottom w:val="nil"/>
              <w:right w:val="nil"/>
            </w:tcBorders>
            <w:shd w:val="clear" w:color="auto" w:fill="auto"/>
            <w:noWrap/>
            <w:vAlign w:val="center"/>
            <w:hideMark/>
          </w:tcPr>
          <w:p w14:paraId="0C5620DB" w14:textId="77777777" w:rsidR="006967AF" w:rsidRPr="00AB315F" w:rsidRDefault="006967AF" w:rsidP="00EC4A80">
            <w:pPr>
              <w:jc w:val="center"/>
              <w:rPr>
                <w:rFonts w:ascii="Calibri" w:hAnsi="Calibri"/>
                <w:sz w:val="22"/>
                <w:szCs w:val="22"/>
              </w:rPr>
            </w:pPr>
            <w:r w:rsidRPr="00AB315F">
              <w:rPr>
                <w:rFonts w:ascii="Calibri" w:hAnsi="Calibri"/>
                <w:sz w:val="22"/>
                <w:szCs w:val="22"/>
              </w:rPr>
              <w:t>0,778</w:t>
            </w:r>
          </w:p>
        </w:tc>
        <w:tc>
          <w:tcPr>
            <w:tcW w:w="960" w:type="dxa"/>
            <w:tcBorders>
              <w:top w:val="nil"/>
              <w:left w:val="single" w:sz="4" w:space="0" w:color="auto"/>
              <w:bottom w:val="nil"/>
              <w:right w:val="nil"/>
            </w:tcBorders>
            <w:shd w:val="clear" w:color="auto" w:fill="auto"/>
            <w:noWrap/>
            <w:vAlign w:val="center"/>
            <w:hideMark/>
          </w:tcPr>
          <w:p w14:paraId="5F3738F7" w14:textId="77777777" w:rsidR="006967AF" w:rsidRPr="00AB315F" w:rsidRDefault="006967AF" w:rsidP="00EC4A80">
            <w:pPr>
              <w:jc w:val="center"/>
              <w:rPr>
                <w:rFonts w:ascii="Calibri" w:hAnsi="Calibri"/>
                <w:sz w:val="22"/>
                <w:szCs w:val="22"/>
              </w:rPr>
            </w:pPr>
            <w:r w:rsidRPr="00AB315F">
              <w:rPr>
                <w:rFonts w:ascii="Calibri" w:hAnsi="Calibri"/>
                <w:sz w:val="22"/>
                <w:szCs w:val="22"/>
              </w:rPr>
              <w:t>0,83</w:t>
            </w:r>
          </w:p>
        </w:tc>
        <w:tc>
          <w:tcPr>
            <w:tcW w:w="960" w:type="dxa"/>
            <w:tcBorders>
              <w:top w:val="nil"/>
              <w:left w:val="single" w:sz="4" w:space="0" w:color="auto"/>
              <w:bottom w:val="nil"/>
              <w:right w:val="nil"/>
            </w:tcBorders>
            <w:shd w:val="clear" w:color="auto" w:fill="auto"/>
            <w:noWrap/>
            <w:vAlign w:val="center"/>
            <w:hideMark/>
          </w:tcPr>
          <w:p w14:paraId="6491398A" w14:textId="77777777" w:rsidR="006967AF" w:rsidRPr="00AB315F" w:rsidRDefault="006967AF" w:rsidP="00EC4A80">
            <w:pPr>
              <w:jc w:val="center"/>
              <w:rPr>
                <w:rFonts w:ascii="Calibri" w:hAnsi="Calibri"/>
                <w:sz w:val="22"/>
                <w:szCs w:val="22"/>
              </w:rPr>
            </w:pPr>
            <w:r w:rsidRPr="00AB315F">
              <w:rPr>
                <w:rFonts w:ascii="Calibri" w:hAnsi="Calibri"/>
                <w:sz w:val="22"/>
                <w:szCs w:val="22"/>
              </w:rPr>
              <w:t>0,409</w:t>
            </w:r>
          </w:p>
        </w:tc>
      </w:tr>
      <w:tr w:rsidR="006967AF" w:rsidRPr="00AB315F" w14:paraId="1EA06D4F" w14:textId="77777777" w:rsidTr="001C63EB">
        <w:trPr>
          <w:trHeight w:val="290"/>
        </w:trPr>
        <w:tc>
          <w:tcPr>
            <w:tcW w:w="4700" w:type="dxa"/>
            <w:tcBorders>
              <w:top w:val="nil"/>
              <w:bottom w:val="single" w:sz="4" w:space="0" w:color="auto"/>
              <w:right w:val="nil"/>
            </w:tcBorders>
            <w:shd w:val="clear" w:color="auto" w:fill="auto"/>
            <w:vAlign w:val="center"/>
            <w:hideMark/>
          </w:tcPr>
          <w:p w14:paraId="26E652B7" w14:textId="77777777" w:rsidR="006967AF" w:rsidRPr="00AB315F" w:rsidRDefault="006967AF" w:rsidP="00EC4A80">
            <w:pPr>
              <w:jc w:val="center"/>
              <w:rPr>
                <w:rFonts w:ascii="Calibri" w:hAnsi="Calibri"/>
                <w:sz w:val="20"/>
                <w:szCs w:val="20"/>
              </w:rPr>
            </w:pPr>
            <w:r w:rsidRPr="00AB315F">
              <w:rPr>
                <w:rFonts w:ascii="Calibri" w:hAnsi="Calibri"/>
                <w:sz w:val="20"/>
                <w:szCs w:val="20"/>
              </w:rPr>
              <w:t>Sueprior completo/incompleto</w:t>
            </w:r>
          </w:p>
        </w:tc>
        <w:tc>
          <w:tcPr>
            <w:tcW w:w="960" w:type="dxa"/>
            <w:tcBorders>
              <w:top w:val="nil"/>
              <w:left w:val="single" w:sz="4" w:space="0" w:color="auto"/>
              <w:bottom w:val="single" w:sz="4" w:space="0" w:color="auto"/>
              <w:right w:val="nil"/>
            </w:tcBorders>
            <w:shd w:val="clear" w:color="auto" w:fill="auto"/>
            <w:noWrap/>
            <w:vAlign w:val="center"/>
            <w:hideMark/>
          </w:tcPr>
          <w:p w14:paraId="6CFFF232" w14:textId="77777777" w:rsidR="006967AF" w:rsidRPr="00AB315F" w:rsidRDefault="006967AF" w:rsidP="00EC4A80">
            <w:pPr>
              <w:jc w:val="center"/>
              <w:rPr>
                <w:rFonts w:ascii="Calibri" w:hAnsi="Calibri"/>
                <w:sz w:val="22"/>
                <w:szCs w:val="22"/>
              </w:rPr>
            </w:pPr>
            <w:r w:rsidRPr="00AB315F">
              <w:rPr>
                <w:rFonts w:ascii="Calibri" w:hAnsi="Calibri"/>
                <w:sz w:val="22"/>
                <w:szCs w:val="22"/>
              </w:rPr>
              <w:t>2,161</w:t>
            </w:r>
          </w:p>
        </w:tc>
        <w:tc>
          <w:tcPr>
            <w:tcW w:w="1112" w:type="dxa"/>
            <w:tcBorders>
              <w:top w:val="nil"/>
              <w:left w:val="single" w:sz="4" w:space="0" w:color="auto"/>
              <w:bottom w:val="single" w:sz="4" w:space="0" w:color="auto"/>
              <w:right w:val="nil"/>
            </w:tcBorders>
            <w:shd w:val="clear" w:color="auto" w:fill="auto"/>
            <w:noWrap/>
            <w:vAlign w:val="center"/>
            <w:hideMark/>
          </w:tcPr>
          <w:p w14:paraId="31FB5F73" w14:textId="77777777" w:rsidR="006967AF" w:rsidRPr="00AB315F" w:rsidRDefault="006967AF" w:rsidP="00EC4A80">
            <w:pPr>
              <w:jc w:val="center"/>
              <w:rPr>
                <w:rFonts w:ascii="Calibri" w:hAnsi="Calibri"/>
                <w:sz w:val="22"/>
                <w:szCs w:val="22"/>
              </w:rPr>
            </w:pPr>
            <w:r w:rsidRPr="00AB315F">
              <w:rPr>
                <w:rFonts w:ascii="Calibri" w:hAnsi="Calibri"/>
                <w:sz w:val="22"/>
                <w:szCs w:val="22"/>
              </w:rPr>
              <w:t>1,381</w:t>
            </w:r>
          </w:p>
        </w:tc>
        <w:tc>
          <w:tcPr>
            <w:tcW w:w="960" w:type="dxa"/>
            <w:tcBorders>
              <w:top w:val="nil"/>
              <w:left w:val="single" w:sz="4" w:space="0" w:color="auto"/>
              <w:bottom w:val="single" w:sz="4" w:space="0" w:color="auto"/>
              <w:right w:val="nil"/>
            </w:tcBorders>
            <w:shd w:val="clear" w:color="auto" w:fill="auto"/>
            <w:noWrap/>
            <w:vAlign w:val="center"/>
            <w:hideMark/>
          </w:tcPr>
          <w:p w14:paraId="13899F37" w14:textId="77777777" w:rsidR="006967AF" w:rsidRPr="00AB315F" w:rsidRDefault="006967AF" w:rsidP="00EC4A80">
            <w:pPr>
              <w:jc w:val="center"/>
              <w:rPr>
                <w:rFonts w:ascii="Calibri" w:hAnsi="Calibri"/>
                <w:sz w:val="22"/>
                <w:szCs w:val="22"/>
              </w:rPr>
            </w:pPr>
            <w:r w:rsidRPr="00AB315F">
              <w:rPr>
                <w:rFonts w:ascii="Calibri" w:hAnsi="Calibri"/>
                <w:sz w:val="22"/>
                <w:szCs w:val="22"/>
              </w:rPr>
              <w:t>1,21</w:t>
            </w:r>
          </w:p>
        </w:tc>
        <w:tc>
          <w:tcPr>
            <w:tcW w:w="960" w:type="dxa"/>
            <w:tcBorders>
              <w:top w:val="nil"/>
              <w:left w:val="single" w:sz="4" w:space="0" w:color="auto"/>
              <w:bottom w:val="single" w:sz="4" w:space="0" w:color="auto"/>
              <w:right w:val="nil"/>
            </w:tcBorders>
            <w:shd w:val="clear" w:color="auto" w:fill="auto"/>
            <w:noWrap/>
            <w:vAlign w:val="center"/>
            <w:hideMark/>
          </w:tcPr>
          <w:p w14:paraId="21ADABB1" w14:textId="77777777" w:rsidR="006967AF" w:rsidRPr="00AB315F" w:rsidRDefault="006967AF" w:rsidP="00EC4A80">
            <w:pPr>
              <w:jc w:val="center"/>
              <w:rPr>
                <w:rFonts w:ascii="Calibri" w:hAnsi="Calibri"/>
                <w:sz w:val="22"/>
                <w:szCs w:val="22"/>
              </w:rPr>
            </w:pPr>
            <w:r w:rsidRPr="00AB315F">
              <w:rPr>
                <w:rFonts w:ascii="Calibri" w:hAnsi="Calibri"/>
                <w:sz w:val="22"/>
                <w:szCs w:val="22"/>
              </w:rPr>
              <w:t>0,228</w:t>
            </w:r>
          </w:p>
        </w:tc>
      </w:tr>
      <w:tr w:rsidR="006967AF" w:rsidRPr="00AB315F" w14:paraId="61360E00" w14:textId="77777777" w:rsidTr="001C63EB">
        <w:trPr>
          <w:trHeight w:val="290"/>
        </w:trPr>
        <w:tc>
          <w:tcPr>
            <w:tcW w:w="4700" w:type="dxa"/>
            <w:tcBorders>
              <w:top w:val="nil"/>
              <w:bottom w:val="nil"/>
              <w:right w:val="nil"/>
            </w:tcBorders>
            <w:shd w:val="clear" w:color="auto" w:fill="auto"/>
            <w:noWrap/>
            <w:vAlign w:val="center"/>
            <w:hideMark/>
          </w:tcPr>
          <w:p w14:paraId="0B8E3888" w14:textId="77777777" w:rsidR="006967AF" w:rsidRPr="00AB315F" w:rsidRDefault="006967AF" w:rsidP="00EC4A80">
            <w:pPr>
              <w:jc w:val="center"/>
              <w:rPr>
                <w:rFonts w:ascii="Calibri" w:hAnsi="Calibri"/>
                <w:sz w:val="22"/>
                <w:szCs w:val="22"/>
              </w:rPr>
            </w:pPr>
            <w:r w:rsidRPr="00AB315F">
              <w:rPr>
                <w:rFonts w:ascii="Calibri" w:hAnsi="Calibri"/>
                <w:sz w:val="22"/>
                <w:szCs w:val="22"/>
              </w:rPr>
              <w:t>Situação financeira pessoal</w:t>
            </w:r>
          </w:p>
        </w:tc>
        <w:tc>
          <w:tcPr>
            <w:tcW w:w="960" w:type="dxa"/>
            <w:tcBorders>
              <w:top w:val="nil"/>
              <w:left w:val="single" w:sz="4" w:space="0" w:color="auto"/>
              <w:bottom w:val="nil"/>
              <w:right w:val="nil"/>
            </w:tcBorders>
            <w:shd w:val="clear" w:color="auto" w:fill="auto"/>
            <w:noWrap/>
            <w:vAlign w:val="center"/>
            <w:hideMark/>
          </w:tcPr>
          <w:p w14:paraId="6A1B8229"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nil"/>
              <w:left w:val="single" w:sz="4" w:space="0" w:color="auto"/>
              <w:bottom w:val="nil"/>
              <w:right w:val="nil"/>
            </w:tcBorders>
            <w:shd w:val="clear" w:color="auto" w:fill="auto"/>
            <w:noWrap/>
            <w:vAlign w:val="center"/>
            <w:hideMark/>
          </w:tcPr>
          <w:p w14:paraId="3C5D470C"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617B5D44"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nil"/>
              <w:left w:val="single" w:sz="4" w:space="0" w:color="auto"/>
              <w:bottom w:val="nil"/>
              <w:right w:val="nil"/>
            </w:tcBorders>
            <w:shd w:val="clear" w:color="auto" w:fill="auto"/>
            <w:noWrap/>
            <w:vAlign w:val="center"/>
            <w:hideMark/>
          </w:tcPr>
          <w:p w14:paraId="54B5E599"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6967AF" w:rsidRPr="00AB315F" w14:paraId="1EB0877B" w14:textId="77777777" w:rsidTr="001C63EB">
        <w:trPr>
          <w:trHeight w:val="290"/>
        </w:trPr>
        <w:tc>
          <w:tcPr>
            <w:tcW w:w="4700" w:type="dxa"/>
            <w:tcBorders>
              <w:top w:val="nil"/>
              <w:bottom w:val="nil"/>
              <w:right w:val="nil"/>
            </w:tcBorders>
            <w:shd w:val="clear" w:color="auto" w:fill="auto"/>
            <w:noWrap/>
            <w:vAlign w:val="center"/>
            <w:hideMark/>
          </w:tcPr>
          <w:p w14:paraId="71C3F3A8" w14:textId="77777777" w:rsidR="006967AF" w:rsidRPr="00AB315F" w:rsidRDefault="006967AF" w:rsidP="00EC4A80">
            <w:pPr>
              <w:jc w:val="center"/>
              <w:rPr>
                <w:rFonts w:ascii="Calibri" w:hAnsi="Calibri"/>
                <w:sz w:val="20"/>
                <w:szCs w:val="20"/>
              </w:rPr>
            </w:pPr>
            <w:r w:rsidRPr="00AB315F">
              <w:rPr>
                <w:rFonts w:ascii="Calibri" w:hAnsi="Calibri"/>
                <w:sz w:val="20"/>
                <w:szCs w:val="20"/>
              </w:rPr>
              <w:t>Não é suficiente, gera dificuldades</w:t>
            </w:r>
          </w:p>
        </w:tc>
        <w:tc>
          <w:tcPr>
            <w:tcW w:w="960" w:type="dxa"/>
            <w:tcBorders>
              <w:top w:val="nil"/>
              <w:left w:val="single" w:sz="4" w:space="0" w:color="auto"/>
              <w:bottom w:val="nil"/>
              <w:right w:val="nil"/>
            </w:tcBorders>
            <w:shd w:val="clear" w:color="auto" w:fill="auto"/>
            <w:noWrap/>
            <w:vAlign w:val="center"/>
            <w:hideMark/>
          </w:tcPr>
          <w:p w14:paraId="05677630" w14:textId="77777777" w:rsidR="006967AF" w:rsidRPr="00AB315F" w:rsidRDefault="006967AF" w:rsidP="00EC4A80">
            <w:pPr>
              <w:jc w:val="center"/>
              <w:rPr>
                <w:rFonts w:ascii="Calibri" w:hAnsi="Calibri"/>
                <w:sz w:val="22"/>
                <w:szCs w:val="22"/>
              </w:rPr>
            </w:pPr>
            <w:r w:rsidRPr="00AB315F">
              <w:rPr>
                <w:rFonts w:ascii="Calibri" w:hAnsi="Calibri"/>
                <w:sz w:val="22"/>
                <w:szCs w:val="22"/>
              </w:rPr>
              <w:t>1,185</w:t>
            </w:r>
          </w:p>
        </w:tc>
        <w:tc>
          <w:tcPr>
            <w:tcW w:w="1112" w:type="dxa"/>
            <w:tcBorders>
              <w:top w:val="nil"/>
              <w:left w:val="single" w:sz="4" w:space="0" w:color="auto"/>
              <w:bottom w:val="nil"/>
              <w:right w:val="nil"/>
            </w:tcBorders>
            <w:shd w:val="clear" w:color="auto" w:fill="auto"/>
            <w:noWrap/>
            <w:vAlign w:val="center"/>
            <w:hideMark/>
          </w:tcPr>
          <w:p w14:paraId="6D2DB02E" w14:textId="77777777" w:rsidR="006967AF" w:rsidRPr="00AB315F" w:rsidRDefault="006967AF" w:rsidP="00EC4A80">
            <w:pPr>
              <w:jc w:val="center"/>
              <w:rPr>
                <w:rFonts w:ascii="Calibri" w:hAnsi="Calibri"/>
                <w:sz w:val="22"/>
                <w:szCs w:val="22"/>
              </w:rPr>
            </w:pPr>
            <w:r w:rsidRPr="00AB315F">
              <w:rPr>
                <w:rFonts w:ascii="Calibri" w:hAnsi="Calibri"/>
                <w:sz w:val="22"/>
                <w:szCs w:val="22"/>
              </w:rPr>
              <w:t>0,355</w:t>
            </w:r>
          </w:p>
        </w:tc>
        <w:tc>
          <w:tcPr>
            <w:tcW w:w="960" w:type="dxa"/>
            <w:tcBorders>
              <w:top w:val="nil"/>
              <w:left w:val="single" w:sz="4" w:space="0" w:color="auto"/>
              <w:bottom w:val="nil"/>
              <w:right w:val="nil"/>
            </w:tcBorders>
            <w:shd w:val="clear" w:color="auto" w:fill="auto"/>
            <w:noWrap/>
            <w:vAlign w:val="center"/>
            <w:hideMark/>
          </w:tcPr>
          <w:p w14:paraId="0CCCBD04" w14:textId="77777777" w:rsidR="006967AF" w:rsidRPr="00AB315F" w:rsidRDefault="006967AF" w:rsidP="00EC4A80">
            <w:pPr>
              <w:jc w:val="center"/>
              <w:rPr>
                <w:rFonts w:ascii="Calibri" w:hAnsi="Calibri"/>
                <w:sz w:val="22"/>
                <w:szCs w:val="22"/>
              </w:rPr>
            </w:pPr>
            <w:r w:rsidRPr="00AB315F">
              <w:rPr>
                <w:rFonts w:ascii="Calibri" w:hAnsi="Calibri"/>
                <w:sz w:val="22"/>
                <w:szCs w:val="22"/>
              </w:rPr>
              <w:t>0,57</w:t>
            </w:r>
          </w:p>
        </w:tc>
        <w:tc>
          <w:tcPr>
            <w:tcW w:w="960" w:type="dxa"/>
            <w:tcBorders>
              <w:top w:val="nil"/>
              <w:left w:val="single" w:sz="4" w:space="0" w:color="auto"/>
              <w:bottom w:val="nil"/>
              <w:right w:val="nil"/>
            </w:tcBorders>
            <w:shd w:val="clear" w:color="auto" w:fill="auto"/>
            <w:noWrap/>
            <w:vAlign w:val="center"/>
            <w:hideMark/>
          </w:tcPr>
          <w:p w14:paraId="257BEFF0" w14:textId="77777777" w:rsidR="006967AF" w:rsidRPr="00AB315F" w:rsidRDefault="006967AF" w:rsidP="00EC4A80">
            <w:pPr>
              <w:jc w:val="center"/>
              <w:rPr>
                <w:rFonts w:ascii="Calibri" w:hAnsi="Calibri"/>
                <w:sz w:val="22"/>
                <w:szCs w:val="22"/>
              </w:rPr>
            </w:pPr>
            <w:r w:rsidRPr="00AB315F">
              <w:rPr>
                <w:rFonts w:ascii="Calibri" w:hAnsi="Calibri"/>
                <w:sz w:val="22"/>
                <w:szCs w:val="22"/>
              </w:rPr>
              <w:t>0,569</w:t>
            </w:r>
          </w:p>
        </w:tc>
      </w:tr>
      <w:tr w:rsidR="006967AF" w:rsidRPr="00AB315F" w14:paraId="4E19C215" w14:textId="77777777" w:rsidTr="001C63EB">
        <w:trPr>
          <w:trHeight w:val="290"/>
        </w:trPr>
        <w:tc>
          <w:tcPr>
            <w:tcW w:w="4700" w:type="dxa"/>
            <w:tcBorders>
              <w:top w:val="nil"/>
              <w:bottom w:val="nil"/>
              <w:right w:val="nil"/>
            </w:tcBorders>
            <w:shd w:val="clear" w:color="auto" w:fill="auto"/>
            <w:noWrap/>
            <w:vAlign w:val="center"/>
            <w:hideMark/>
          </w:tcPr>
          <w:p w14:paraId="754A437C" w14:textId="77777777" w:rsidR="006967AF" w:rsidRPr="00AB315F" w:rsidRDefault="006967AF" w:rsidP="00EC4A80">
            <w:pPr>
              <w:jc w:val="center"/>
              <w:rPr>
                <w:rFonts w:ascii="Calibri" w:hAnsi="Calibri"/>
                <w:sz w:val="20"/>
                <w:szCs w:val="20"/>
              </w:rPr>
            </w:pPr>
            <w:r w:rsidRPr="00AB315F">
              <w:rPr>
                <w:rFonts w:ascii="Calibri" w:hAnsi="Calibri"/>
                <w:sz w:val="20"/>
                <w:szCs w:val="20"/>
              </w:rPr>
              <w:t>É suficiente, não gera grandes dificuldes</w:t>
            </w:r>
          </w:p>
        </w:tc>
        <w:tc>
          <w:tcPr>
            <w:tcW w:w="960" w:type="dxa"/>
            <w:tcBorders>
              <w:top w:val="nil"/>
              <w:left w:val="single" w:sz="4" w:space="0" w:color="auto"/>
              <w:bottom w:val="nil"/>
              <w:right w:val="nil"/>
            </w:tcBorders>
            <w:shd w:val="clear" w:color="auto" w:fill="auto"/>
            <w:noWrap/>
            <w:vAlign w:val="center"/>
            <w:hideMark/>
          </w:tcPr>
          <w:p w14:paraId="3D0BE907" w14:textId="77777777" w:rsidR="006967AF" w:rsidRPr="00AB315F" w:rsidRDefault="006967AF" w:rsidP="00EC4A80">
            <w:pPr>
              <w:jc w:val="center"/>
              <w:rPr>
                <w:rFonts w:ascii="Calibri" w:hAnsi="Calibri"/>
                <w:sz w:val="22"/>
                <w:szCs w:val="22"/>
              </w:rPr>
            </w:pPr>
            <w:r w:rsidRPr="00AB315F">
              <w:rPr>
                <w:rFonts w:ascii="Calibri" w:hAnsi="Calibri"/>
                <w:sz w:val="22"/>
                <w:szCs w:val="22"/>
              </w:rPr>
              <w:t>1,456</w:t>
            </w:r>
          </w:p>
        </w:tc>
        <w:tc>
          <w:tcPr>
            <w:tcW w:w="1112" w:type="dxa"/>
            <w:tcBorders>
              <w:top w:val="nil"/>
              <w:left w:val="single" w:sz="4" w:space="0" w:color="auto"/>
              <w:bottom w:val="nil"/>
              <w:right w:val="nil"/>
            </w:tcBorders>
            <w:shd w:val="clear" w:color="auto" w:fill="auto"/>
            <w:noWrap/>
            <w:vAlign w:val="center"/>
            <w:hideMark/>
          </w:tcPr>
          <w:p w14:paraId="0CF78A7C" w14:textId="77777777" w:rsidR="006967AF" w:rsidRPr="00AB315F" w:rsidRDefault="006967AF" w:rsidP="00EC4A80">
            <w:pPr>
              <w:jc w:val="center"/>
              <w:rPr>
                <w:rFonts w:ascii="Calibri" w:hAnsi="Calibri"/>
                <w:sz w:val="22"/>
                <w:szCs w:val="22"/>
              </w:rPr>
            </w:pPr>
            <w:r w:rsidRPr="00AB315F">
              <w:rPr>
                <w:rFonts w:ascii="Calibri" w:hAnsi="Calibri"/>
                <w:sz w:val="22"/>
                <w:szCs w:val="22"/>
              </w:rPr>
              <w:t>0,463</w:t>
            </w:r>
          </w:p>
        </w:tc>
        <w:tc>
          <w:tcPr>
            <w:tcW w:w="960" w:type="dxa"/>
            <w:tcBorders>
              <w:top w:val="nil"/>
              <w:left w:val="single" w:sz="4" w:space="0" w:color="auto"/>
              <w:bottom w:val="nil"/>
              <w:right w:val="nil"/>
            </w:tcBorders>
            <w:shd w:val="clear" w:color="auto" w:fill="auto"/>
            <w:noWrap/>
            <w:vAlign w:val="center"/>
            <w:hideMark/>
          </w:tcPr>
          <w:p w14:paraId="0F8881D4" w14:textId="77777777" w:rsidR="006967AF" w:rsidRPr="00AB315F" w:rsidRDefault="006967AF" w:rsidP="00EC4A80">
            <w:pPr>
              <w:jc w:val="center"/>
              <w:rPr>
                <w:rFonts w:ascii="Calibri" w:hAnsi="Calibri"/>
                <w:sz w:val="22"/>
                <w:szCs w:val="22"/>
              </w:rPr>
            </w:pPr>
            <w:r w:rsidRPr="00AB315F">
              <w:rPr>
                <w:rFonts w:ascii="Calibri" w:hAnsi="Calibri"/>
                <w:sz w:val="22"/>
                <w:szCs w:val="22"/>
              </w:rPr>
              <w:t>1,18</w:t>
            </w:r>
          </w:p>
        </w:tc>
        <w:tc>
          <w:tcPr>
            <w:tcW w:w="960" w:type="dxa"/>
            <w:tcBorders>
              <w:top w:val="nil"/>
              <w:left w:val="single" w:sz="4" w:space="0" w:color="auto"/>
              <w:bottom w:val="nil"/>
              <w:right w:val="nil"/>
            </w:tcBorders>
            <w:shd w:val="clear" w:color="auto" w:fill="auto"/>
            <w:noWrap/>
            <w:vAlign w:val="center"/>
            <w:hideMark/>
          </w:tcPr>
          <w:p w14:paraId="02E96023" w14:textId="77777777" w:rsidR="006967AF" w:rsidRPr="00AB315F" w:rsidRDefault="006967AF" w:rsidP="00EC4A80">
            <w:pPr>
              <w:jc w:val="center"/>
              <w:rPr>
                <w:rFonts w:ascii="Calibri" w:hAnsi="Calibri"/>
                <w:sz w:val="22"/>
                <w:szCs w:val="22"/>
              </w:rPr>
            </w:pPr>
            <w:r w:rsidRPr="00AB315F">
              <w:rPr>
                <w:rFonts w:ascii="Calibri" w:hAnsi="Calibri"/>
                <w:sz w:val="22"/>
                <w:szCs w:val="22"/>
              </w:rPr>
              <w:t>0,238</w:t>
            </w:r>
          </w:p>
        </w:tc>
      </w:tr>
      <w:tr w:rsidR="006967AF" w:rsidRPr="00AB315F" w14:paraId="1B0A4442"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4D376F48" w14:textId="77777777" w:rsidR="006967AF" w:rsidRPr="00AB315F" w:rsidRDefault="006967AF" w:rsidP="00EC4A80">
            <w:pPr>
              <w:jc w:val="center"/>
              <w:rPr>
                <w:rFonts w:ascii="Calibri" w:hAnsi="Calibri"/>
                <w:sz w:val="20"/>
                <w:szCs w:val="20"/>
              </w:rPr>
            </w:pPr>
            <w:r w:rsidRPr="00AB315F">
              <w:rPr>
                <w:rFonts w:ascii="Calibri" w:hAnsi="Calibri"/>
                <w:sz w:val="20"/>
                <w:szCs w:val="20"/>
              </w:rPr>
              <w:t>Sobra, dá para economizar/poupar</w:t>
            </w:r>
          </w:p>
        </w:tc>
        <w:tc>
          <w:tcPr>
            <w:tcW w:w="960" w:type="dxa"/>
            <w:tcBorders>
              <w:top w:val="nil"/>
              <w:left w:val="single" w:sz="4" w:space="0" w:color="auto"/>
              <w:bottom w:val="single" w:sz="4" w:space="0" w:color="auto"/>
              <w:right w:val="nil"/>
            </w:tcBorders>
            <w:shd w:val="clear" w:color="auto" w:fill="auto"/>
            <w:noWrap/>
            <w:vAlign w:val="center"/>
            <w:hideMark/>
          </w:tcPr>
          <w:p w14:paraId="62B4EADB" w14:textId="77777777" w:rsidR="006967AF" w:rsidRPr="00AB315F" w:rsidRDefault="006967AF" w:rsidP="00EC4A80">
            <w:pPr>
              <w:jc w:val="center"/>
              <w:rPr>
                <w:rFonts w:ascii="Calibri" w:hAnsi="Calibri"/>
                <w:sz w:val="22"/>
                <w:szCs w:val="22"/>
              </w:rPr>
            </w:pPr>
            <w:r w:rsidRPr="00AB315F">
              <w:rPr>
                <w:rFonts w:ascii="Calibri" w:hAnsi="Calibri"/>
                <w:sz w:val="22"/>
                <w:szCs w:val="22"/>
              </w:rPr>
              <w:t>1,348</w:t>
            </w:r>
          </w:p>
        </w:tc>
        <w:tc>
          <w:tcPr>
            <w:tcW w:w="1112" w:type="dxa"/>
            <w:tcBorders>
              <w:top w:val="nil"/>
              <w:left w:val="single" w:sz="4" w:space="0" w:color="auto"/>
              <w:bottom w:val="single" w:sz="4" w:space="0" w:color="auto"/>
              <w:right w:val="nil"/>
            </w:tcBorders>
            <w:shd w:val="clear" w:color="auto" w:fill="auto"/>
            <w:noWrap/>
            <w:vAlign w:val="center"/>
            <w:hideMark/>
          </w:tcPr>
          <w:p w14:paraId="51A2BB42" w14:textId="77777777" w:rsidR="006967AF" w:rsidRPr="00AB315F" w:rsidRDefault="006967AF" w:rsidP="00EC4A80">
            <w:pPr>
              <w:jc w:val="center"/>
              <w:rPr>
                <w:rFonts w:ascii="Calibri" w:hAnsi="Calibri"/>
                <w:sz w:val="22"/>
                <w:szCs w:val="22"/>
              </w:rPr>
            </w:pPr>
            <w:r w:rsidRPr="00AB315F">
              <w:rPr>
                <w:rFonts w:ascii="Calibri" w:hAnsi="Calibri"/>
                <w:sz w:val="22"/>
                <w:szCs w:val="22"/>
              </w:rPr>
              <w:t>0,668</w:t>
            </w:r>
          </w:p>
        </w:tc>
        <w:tc>
          <w:tcPr>
            <w:tcW w:w="960" w:type="dxa"/>
            <w:tcBorders>
              <w:top w:val="nil"/>
              <w:left w:val="single" w:sz="4" w:space="0" w:color="auto"/>
              <w:bottom w:val="single" w:sz="4" w:space="0" w:color="auto"/>
              <w:right w:val="nil"/>
            </w:tcBorders>
            <w:shd w:val="clear" w:color="auto" w:fill="auto"/>
            <w:noWrap/>
            <w:vAlign w:val="center"/>
            <w:hideMark/>
          </w:tcPr>
          <w:p w14:paraId="6AF6BBCD" w14:textId="77777777" w:rsidR="006967AF" w:rsidRPr="00AB315F" w:rsidRDefault="006967AF" w:rsidP="00EC4A80">
            <w:pPr>
              <w:jc w:val="center"/>
              <w:rPr>
                <w:rFonts w:ascii="Calibri" w:hAnsi="Calibri"/>
                <w:sz w:val="22"/>
                <w:szCs w:val="22"/>
              </w:rPr>
            </w:pPr>
            <w:r w:rsidRPr="00AB315F">
              <w:rPr>
                <w:rFonts w:ascii="Calibri" w:hAnsi="Calibri"/>
                <w:sz w:val="22"/>
                <w:szCs w:val="22"/>
              </w:rPr>
              <w:t>0,6</w:t>
            </w:r>
          </w:p>
        </w:tc>
        <w:tc>
          <w:tcPr>
            <w:tcW w:w="960" w:type="dxa"/>
            <w:tcBorders>
              <w:top w:val="nil"/>
              <w:left w:val="single" w:sz="4" w:space="0" w:color="auto"/>
              <w:bottom w:val="single" w:sz="4" w:space="0" w:color="auto"/>
              <w:right w:val="nil"/>
            </w:tcBorders>
            <w:shd w:val="clear" w:color="auto" w:fill="auto"/>
            <w:noWrap/>
            <w:vAlign w:val="center"/>
            <w:hideMark/>
          </w:tcPr>
          <w:p w14:paraId="168F85BC" w14:textId="77777777" w:rsidR="006967AF" w:rsidRPr="00AB315F" w:rsidRDefault="006967AF" w:rsidP="00EC4A80">
            <w:pPr>
              <w:jc w:val="center"/>
              <w:rPr>
                <w:rFonts w:ascii="Calibri" w:hAnsi="Calibri"/>
                <w:sz w:val="22"/>
                <w:szCs w:val="22"/>
              </w:rPr>
            </w:pPr>
            <w:r w:rsidRPr="00AB315F">
              <w:rPr>
                <w:rFonts w:ascii="Calibri" w:hAnsi="Calibri"/>
                <w:sz w:val="22"/>
                <w:szCs w:val="22"/>
              </w:rPr>
              <w:t>0,547</w:t>
            </w:r>
          </w:p>
        </w:tc>
      </w:tr>
      <w:tr w:rsidR="006967AF" w:rsidRPr="00AB315F" w14:paraId="3AB023F2" w14:textId="77777777" w:rsidTr="001C63EB">
        <w:trPr>
          <w:trHeight w:val="290"/>
        </w:trPr>
        <w:tc>
          <w:tcPr>
            <w:tcW w:w="4700" w:type="dxa"/>
            <w:tcBorders>
              <w:top w:val="nil"/>
              <w:bottom w:val="nil"/>
              <w:right w:val="nil"/>
            </w:tcBorders>
            <w:shd w:val="clear" w:color="auto" w:fill="auto"/>
            <w:noWrap/>
            <w:vAlign w:val="center"/>
            <w:hideMark/>
          </w:tcPr>
          <w:p w14:paraId="73E94BF9" w14:textId="77777777" w:rsidR="006967AF" w:rsidRPr="00AB315F" w:rsidRDefault="006967AF" w:rsidP="00EC4A80">
            <w:pPr>
              <w:jc w:val="center"/>
              <w:rPr>
                <w:rFonts w:ascii="Calibri" w:hAnsi="Calibri"/>
                <w:sz w:val="22"/>
                <w:szCs w:val="22"/>
              </w:rPr>
            </w:pPr>
            <w:r w:rsidRPr="00AB315F">
              <w:rPr>
                <w:rFonts w:ascii="Calibri" w:hAnsi="Calibri"/>
                <w:sz w:val="22"/>
                <w:szCs w:val="22"/>
              </w:rPr>
              <w:t>Confiança interpessoal</w:t>
            </w:r>
          </w:p>
        </w:tc>
        <w:tc>
          <w:tcPr>
            <w:tcW w:w="960" w:type="dxa"/>
            <w:tcBorders>
              <w:top w:val="nil"/>
              <w:left w:val="single" w:sz="4" w:space="0" w:color="auto"/>
              <w:bottom w:val="nil"/>
              <w:right w:val="nil"/>
            </w:tcBorders>
            <w:shd w:val="clear" w:color="auto" w:fill="auto"/>
            <w:noWrap/>
            <w:vAlign w:val="center"/>
            <w:hideMark/>
          </w:tcPr>
          <w:p w14:paraId="581491E8" w14:textId="77777777" w:rsidR="006967AF" w:rsidRPr="00AB315F" w:rsidRDefault="006967AF" w:rsidP="00EC4A80">
            <w:pPr>
              <w:jc w:val="center"/>
              <w:rPr>
                <w:rFonts w:ascii="Calibri" w:hAnsi="Calibri"/>
                <w:sz w:val="22"/>
                <w:szCs w:val="22"/>
              </w:rPr>
            </w:pPr>
            <w:r w:rsidRPr="00AB315F">
              <w:rPr>
                <w:rFonts w:ascii="Calibri" w:hAnsi="Calibri"/>
                <w:sz w:val="22"/>
                <w:szCs w:val="22"/>
              </w:rPr>
              <w:t>0,358</w:t>
            </w:r>
          </w:p>
        </w:tc>
        <w:tc>
          <w:tcPr>
            <w:tcW w:w="1112" w:type="dxa"/>
            <w:tcBorders>
              <w:top w:val="nil"/>
              <w:left w:val="single" w:sz="4" w:space="0" w:color="auto"/>
              <w:bottom w:val="nil"/>
              <w:right w:val="nil"/>
            </w:tcBorders>
            <w:shd w:val="clear" w:color="auto" w:fill="auto"/>
            <w:noWrap/>
            <w:vAlign w:val="center"/>
            <w:hideMark/>
          </w:tcPr>
          <w:p w14:paraId="282E5443" w14:textId="77777777" w:rsidR="006967AF" w:rsidRPr="00AB315F" w:rsidRDefault="006967AF" w:rsidP="00EC4A80">
            <w:pPr>
              <w:jc w:val="center"/>
              <w:rPr>
                <w:rFonts w:ascii="Calibri" w:hAnsi="Calibri"/>
                <w:sz w:val="22"/>
                <w:szCs w:val="22"/>
              </w:rPr>
            </w:pPr>
            <w:r w:rsidRPr="00AB315F">
              <w:rPr>
                <w:rFonts w:ascii="Calibri" w:hAnsi="Calibri"/>
                <w:sz w:val="22"/>
                <w:szCs w:val="22"/>
              </w:rPr>
              <w:t>0,168</w:t>
            </w:r>
          </w:p>
        </w:tc>
        <w:tc>
          <w:tcPr>
            <w:tcW w:w="960" w:type="dxa"/>
            <w:tcBorders>
              <w:top w:val="nil"/>
              <w:left w:val="single" w:sz="4" w:space="0" w:color="auto"/>
              <w:bottom w:val="nil"/>
              <w:right w:val="nil"/>
            </w:tcBorders>
            <w:shd w:val="clear" w:color="000000" w:fill="D9D9D9"/>
            <w:noWrap/>
            <w:vAlign w:val="center"/>
            <w:hideMark/>
          </w:tcPr>
          <w:p w14:paraId="14636629" w14:textId="77777777" w:rsidR="006967AF" w:rsidRPr="00AB315F" w:rsidRDefault="006967AF" w:rsidP="00EC4A80">
            <w:pPr>
              <w:jc w:val="center"/>
              <w:rPr>
                <w:rFonts w:ascii="Calibri" w:hAnsi="Calibri"/>
                <w:sz w:val="22"/>
                <w:szCs w:val="22"/>
              </w:rPr>
            </w:pPr>
            <w:r w:rsidRPr="00AB315F">
              <w:rPr>
                <w:rFonts w:ascii="Calibri" w:hAnsi="Calibri"/>
                <w:sz w:val="22"/>
                <w:szCs w:val="22"/>
              </w:rPr>
              <w:t>-2,19</w:t>
            </w:r>
          </w:p>
        </w:tc>
        <w:tc>
          <w:tcPr>
            <w:tcW w:w="960" w:type="dxa"/>
            <w:tcBorders>
              <w:top w:val="nil"/>
              <w:left w:val="single" w:sz="4" w:space="0" w:color="auto"/>
              <w:bottom w:val="nil"/>
              <w:right w:val="nil"/>
            </w:tcBorders>
            <w:shd w:val="clear" w:color="auto" w:fill="auto"/>
            <w:noWrap/>
            <w:vAlign w:val="center"/>
            <w:hideMark/>
          </w:tcPr>
          <w:p w14:paraId="4452E1E0" w14:textId="77777777" w:rsidR="006967AF" w:rsidRPr="00AB315F" w:rsidRDefault="006967AF" w:rsidP="00EC4A80">
            <w:pPr>
              <w:jc w:val="center"/>
              <w:rPr>
                <w:rFonts w:ascii="Calibri" w:hAnsi="Calibri"/>
                <w:sz w:val="22"/>
                <w:szCs w:val="22"/>
              </w:rPr>
            </w:pPr>
            <w:r w:rsidRPr="00AB315F">
              <w:rPr>
                <w:rFonts w:ascii="Calibri" w:hAnsi="Calibri"/>
                <w:sz w:val="22"/>
                <w:szCs w:val="22"/>
              </w:rPr>
              <w:t>0,029</w:t>
            </w:r>
          </w:p>
        </w:tc>
      </w:tr>
      <w:tr w:rsidR="006967AF" w:rsidRPr="00AB315F" w14:paraId="46EE46B4" w14:textId="77777777" w:rsidTr="001C63EB">
        <w:trPr>
          <w:trHeight w:val="290"/>
        </w:trPr>
        <w:tc>
          <w:tcPr>
            <w:tcW w:w="4700" w:type="dxa"/>
            <w:tcBorders>
              <w:top w:val="single" w:sz="4" w:space="0" w:color="auto"/>
              <w:bottom w:val="nil"/>
              <w:right w:val="nil"/>
            </w:tcBorders>
            <w:shd w:val="clear" w:color="auto" w:fill="auto"/>
            <w:noWrap/>
            <w:vAlign w:val="center"/>
            <w:hideMark/>
          </w:tcPr>
          <w:p w14:paraId="125FBF07" w14:textId="77777777" w:rsidR="006967AF" w:rsidRPr="00AB315F" w:rsidRDefault="006967AF" w:rsidP="00EC4A80">
            <w:pPr>
              <w:jc w:val="center"/>
              <w:rPr>
                <w:rFonts w:ascii="Calibri" w:hAnsi="Calibri"/>
                <w:sz w:val="22"/>
                <w:szCs w:val="22"/>
              </w:rPr>
            </w:pPr>
            <w:r w:rsidRPr="00AB315F">
              <w:rPr>
                <w:rFonts w:ascii="Calibri" w:hAnsi="Calibri"/>
                <w:sz w:val="22"/>
                <w:szCs w:val="22"/>
              </w:rPr>
              <w:t>Situação Econômica do País</w:t>
            </w:r>
          </w:p>
        </w:tc>
        <w:tc>
          <w:tcPr>
            <w:tcW w:w="960" w:type="dxa"/>
            <w:tcBorders>
              <w:top w:val="single" w:sz="4" w:space="0" w:color="auto"/>
              <w:left w:val="single" w:sz="4" w:space="0" w:color="auto"/>
              <w:bottom w:val="nil"/>
              <w:right w:val="nil"/>
            </w:tcBorders>
            <w:shd w:val="clear" w:color="auto" w:fill="auto"/>
            <w:noWrap/>
            <w:vAlign w:val="center"/>
            <w:hideMark/>
          </w:tcPr>
          <w:p w14:paraId="7E302749"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1112" w:type="dxa"/>
            <w:tcBorders>
              <w:top w:val="single" w:sz="4" w:space="0" w:color="auto"/>
              <w:left w:val="single" w:sz="4" w:space="0" w:color="auto"/>
              <w:bottom w:val="nil"/>
              <w:right w:val="nil"/>
            </w:tcBorders>
            <w:shd w:val="clear" w:color="auto" w:fill="auto"/>
            <w:noWrap/>
            <w:vAlign w:val="center"/>
            <w:hideMark/>
          </w:tcPr>
          <w:p w14:paraId="1860211F"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single" w:sz="4" w:space="0" w:color="auto"/>
              <w:left w:val="single" w:sz="4" w:space="0" w:color="auto"/>
              <w:bottom w:val="nil"/>
              <w:right w:val="nil"/>
            </w:tcBorders>
            <w:shd w:val="clear" w:color="auto" w:fill="auto"/>
            <w:noWrap/>
            <w:vAlign w:val="center"/>
            <w:hideMark/>
          </w:tcPr>
          <w:p w14:paraId="3AE350A5"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c>
          <w:tcPr>
            <w:tcW w:w="960" w:type="dxa"/>
            <w:tcBorders>
              <w:top w:val="single" w:sz="4" w:space="0" w:color="auto"/>
              <w:left w:val="single" w:sz="4" w:space="0" w:color="auto"/>
              <w:bottom w:val="nil"/>
              <w:right w:val="nil"/>
            </w:tcBorders>
            <w:shd w:val="clear" w:color="auto" w:fill="auto"/>
            <w:noWrap/>
            <w:vAlign w:val="center"/>
            <w:hideMark/>
          </w:tcPr>
          <w:p w14:paraId="3D998E20" w14:textId="77777777" w:rsidR="006967AF" w:rsidRPr="00AB315F" w:rsidRDefault="006967AF" w:rsidP="00EC4A80">
            <w:pPr>
              <w:jc w:val="center"/>
              <w:rPr>
                <w:rFonts w:ascii="Calibri" w:hAnsi="Calibri"/>
                <w:sz w:val="22"/>
                <w:szCs w:val="22"/>
              </w:rPr>
            </w:pPr>
            <w:r w:rsidRPr="00AB315F">
              <w:rPr>
                <w:rFonts w:ascii="Calibri" w:hAnsi="Calibri"/>
                <w:sz w:val="22"/>
                <w:szCs w:val="22"/>
              </w:rPr>
              <w:t> </w:t>
            </w:r>
          </w:p>
        </w:tc>
      </w:tr>
      <w:tr w:rsidR="006967AF" w:rsidRPr="00AB315F" w14:paraId="00631E0A" w14:textId="77777777" w:rsidTr="001C63EB">
        <w:trPr>
          <w:trHeight w:val="290"/>
        </w:trPr>
        <w:tc>
          <w:tcPr>
            <w:tcW w:w="4700" w:type="dxa"/>
            <w:tcBorders>
              <w:top w:val="nil"/>
              <w:bottom w:val="nil"/>
              <w:right w:val="nil"/>
            </w:tcBorders>
            <w:shd w:val="clear" w:color="auto" w:fill="auto"/>
            <w:vAlign w:val="center"/>
            <w:hideMark/>
          </w:tcPr>
          <w:p w14:paraId="3E1B4281" w14:textId="77777777" w:rsidR="006967AF" w:rsidRPr="00AB315F" w:rsidRDefault="006967AF" w:rsidP="00EC4A80">
            <w:pPr>
              <w:jc w:val="center"/>
              <w:rPr>
                <w:rFonts w:ascii="Calibri" w:hAnsi="Calibri"/>
                <w:sz w:val="20"/>
                <w:szCs w:val="20"/>
              </w:rPr>
            </w:pPr>
            <w:r w:rsidRPr="00AB315F">
              <w:rPr>
                <w:rFonts w:ascii="Calibri" w:hAnsi="Calibri"/>
                <w:sz w:val="20"/>
                <w:szCs w:val="20"/>
              </w:rPr>
              <w:t>Boa</w:t>
            </w:r>
          </w:p>
        </w:tc>
        <w:tc>
          <w:tcPr>
            <w:tcW w:w="960" w:type="dxa"/>
            <w:tcBorders>
              <w:top w:val="nil"/>
              <w:left w:val="single" w:sz="4" w:space="0" w:color="auto"/>
              <w:bottom w:val="nil"/>
              <w:right w:val="nil"/>
            </w:tcBorders>
            <w:shd w:val="clear" w:color="auto" w:fill="auto"/>
            <w:noWrap/>
            <w:vAlign w:val="center"/>
            <w:hideMark/>
          </w:tcPr>
          <w:p w14:paraId="36D323E8" w14:textId="77777777" w:rsidR="006967AF" w:rsidRPr="00AB315F" w:rsidRDefault="006967AF" w:rsidP="00EC4A80">
            <w:pPr>
              <w:jc w:val="center"/>
              <w:rPr>
                <w:rFonts w:ascii="Calibri" w:hAnsi="Calibri"/>
                <w:sz w:val="22"/>
                <w:szCs w:val="22"/>
              </w:rPr>
            </w:pPr>
            <w:r w:rsidRPr="00AB315F">
              <w:rPr>
                <w:rFonts w:ascii="Calibri" w:hAnsi="Calibri"/>
                <w:sz w:val="22"/>
                <w:szCs w:val="22"/>
              </w:rPr>
              <w:t>3,118</w:t>
            </w:r>
          </w:p>
        </w:tc>
        <w:tc>
          <w:tcPr>
            <w:tcW w:w="1112" w:type="dxa"/>
            <w:tcBorders>
              <w:top w:val="nil"/>
              <w:left w:val="single" w:sz="4" w:space="0" w:color="auto"/>
              <w:bottom w:val="nil"/>
              <w:right w:val="nil"/>
            </w:tcBorders>
            <w:shd w:val="clear" w:color="auto" w:fill="auto"/>
            <w:noWrap/>
            <w:vAlign w:val="center"/>
            <w:hideMark/>
          </w:tcPr>
          <w:p w14:paraId="5D155B56" w14:textId="77777777" w:rsidR="006967AF" w:rsidRPr="00AB315F" w:rsidRDefault="006967AF" w:rsidP="00EC4A80">
            <w:pPr>
              <w:jc w:val="center"/>
              <w:rPr>
                <w:rFonts w:ascii="Calibri" w:hAnsi="Calibri"/>
                <w:sz w:val="22"/>
                <w:szCs w:val="22"/>
              </w:rPr>
            </w:pPr>
            <w:r w:rsidRPr="00AB315F">
              <w:rPr>
                <w:rFonts w:ascii="Calibri" w:hAnsi="Calibri"/>
                <w:sz w:val="22"/>
                <w:szCs w:val="22"/>
              </w:rPr>
              <w:t>1,253</w:t>
            </w:r>
          </w:p>
        </w:tc>
        <w:tc>
          <w:tcPr>
            <w:tcW w:w="960" w:type="dxa"/>
            <w:tcBorders>
              <w:top w:val="nil"/>
              <w:left w:val="single" w:sz="4" w:space="0" w:color="auto"/>
              <w:bottom w:val="nil"/>
              <w:right w:val="nil"/>
            </w:tcBorders>
            <w:shd w:val="clear" w:color="000000" w:fill="D9D9D9"/>
            <w:noWrap/>
            <w:vAlign w:val="center"/>
            <w:hideMark/>
          </w:tcPr>
          <w:p w14:paraId="175DED34" w14:textId="77777777" w:rsidR="006967AF" w:rsidRPr="00AB315F" w:rsidRDefault="006967AF" w:rsidP="00EC4A80">
            <w:pPr>
              <w:jc w:val="center"/>
              <w:rPr>
                <w:rFonts w:ascii="Calibri" w:hAnsi="Calibri"/>
                <w:sz w:val="22"/>
                <w:szCs w:val="22"/>
              </w:rPr>
            </w:pPr>
            <w:r w:rsidRPr="00AB315F">
              <w:rPr>
                <w:rFonts w:ascii="Calibri" w:hAnsi="Calibri"/>
                <w:sz w:val="22"/>
                <w:szCs w:val="22"/>
              </w:rPr>
              <w:t>2,83</w:t>
            </w:r>
          </w:p>
        </w:tc>
        <w:tc>
          <w:tcPr>
            <w:tcW w:w="960" w:type="dxa"/>
            <w:tcBorders>
              <w:top w:val="nil"/>
              <w:left w:val="single" w:sz="4" w:space="0" w:color="auto"/>
              <w:bottom w:val="nil"/>
              <w:right w:val="nil"/>
            </w:tcBorders>
            <w:shd w:val="clear" w:color="auto" w:fill="auto"/>
            <w:noWrap/>
            <w:vAlign w:val="center"/>
            <w:hideMark/>
          </w:tcPr>
          <w:p w14:paraId="09619A24" w14:textId="77777777" w:rsidR="006967AF" w:rsidRPr="00AB315F" w:rsidRDefault="006967AF" w:rsidP="00EC4A80">
            <w:pPr>
              <w:jc w:val="center"/>
              <w:rPr>
                <w:rFonts w:ascii="Calibri" w:hAnsi="Calibri"/>
                <w:sz w:val="22"/>
                <w:szCs w:val="22"/>
              </w:rPr>
            </w:pPr>
            <w:r w:rsidRPr="00AB315F">
              <w:rPr>
                <w:rFonts w:ascii="Calibri" w:hAnsi="Calibri"/>
                <w:sz w:val="22"/>
                <w:szCs w:val="22"/>
              </w:rPr>
              <w:t>0,005</w:t>
            </w:r>
          </w:p>
        </w:tc>
      </w:tr>
      <w:tr w:rsidR="006967AF" w:rsidRPr="00AB315F" w14:paraId="4F740F7B" w14:textId="77777777" w:rsidTr="001C63EB">
        <w:trPr>
          <w:trHeight w:val="290"/>
        </w:trPr>
        <w:tc>
          <w:tcPr>
            <w:tcW w:w="4700" w:type="dxa"/>
            <w:tcBorders>
              <w:top w:val="nil"/>
              <w:bottom w:val="nil"/>
              <w:right w:val="nil"/>
            </w:tcBorders>
            <w:shd w:val="clear" w:color="auto" w:fill="auto"/>
            <w:vAlign w:val="center"/>
            <w:hideMark/>
          </w:tcPr>
          <w:p w14:paraId="758419A1" w14:textId="77777777" w:rsidR="006967AF" w:rsidRPr="00AB315F" w:rsidRDefault="006967AF" w:rsidP="00EC4A80">
            <w:pPr>
              <w:jc w:val="center"/>
              <w:rPr>
                <w:rFonts w:ascii="Calibri" w:hAnsi="Calibri"/>
                <w:sz w:val="20"/>
                <w:szCs w:val="20"/>
              </w:rPr>
            </w:pPr>
            <w:r w:rsidRPr="00AB315F">
              <w:rPr>
                <w:rFonts w:ascii="Calibri" w:hAnsi="Calibri"/>
                <w:sz w:val="20"/>
                <w:szCs w:val="20"/>
              </w:rPr>
              <w:t>Nem Boa nem má</w:t>
            </w:r>
          </w:p>
        </w:tc>
        <w:tc>
          <w:tcPr>
            <w:tcW w:w="960" w:type="dxa"/>
            <w:tcBorders>
              <w:top w:val="nil"/>
              <w:left w:val="single" w:sz="4" w:space="0" w:color="auto"/>
              <w:bottom w:val="nil"/>
              <w:right w:val="nil"/>
            </w:tcBorders>
            <w:shd w:val="clear" w:color="auto" w:fill="auto"/>
            <w:noWrap/>
            <w:vAlign w:val="center"/>
            <w:hideMark/>
          </w:tcPr>
          <w:p w14:paraId="67D837F0" w14:textId="77777777" w:rsidR="006967AF" w:rsidRPr="00AB315F" w:rsidRDefault="006967AF" w:rsidP="00EC4A80">
            <w:pPr>
              <w:jc w:val="center"/>
              <w:rPr>
                <w:rFonts w:ascii="Calibri" w:hAnsi="Calibri"/>
                <w:sz w:val="22"/>
                <w:szCs w:val="22"/>
              </w:rPr>
            </w:pPr>
            <w:r w:rsidRPr="00AB315F">
              <w:rPr>
                <w:rFonts w:ascii="Calibri" w:hAnsi="Calibri"/>
                <w:sz w:val="22"/>
                <w:szCs w:val="22"/>
              </w:rPr>
              <w:t>1,801</w:t>
            </w:r>
          </w:p>
        </w:tc>
        <w:tc>
          <w:tcPr>
            <w:tcW w:w="1112" w:type="dxa"/>
            <w:tcBorders>
              <w:top w:val="nil"/>
              <w:left w:val="single" w:sz="4" w:space="0" w:color="auto"/>
              <w:bottom w:val="nil"/>
              <w:right w:val="nil"/>
            </w:tcBorders>
            <w:shd w:val="clear" w:color="auto" w:fill="auto"/>
            <w:noWrap/>
            <w:vAlign w:val="center"/>
            <w:hideMark/>
          </w:tcPr>
          <w:p w14:paraId="6CE6E38D" w14:textId="77777777" w:rsidR="006967AF" w:rsidRPr="00AB315F" w:rsidRDefault="006967AF" w:rsidP="00EC4A80">
            <w:pPr>
              <w:jc w:val="center"/>
              <w:rPr>
                <w:rFonts w:ascii="Calibri" w:hAnsi="Calibri"/>
                <w:sz w:val="22"/>
                <w:szCs w:val="22"/>
              </w:rPr>
            </w:pPr>
            <w:r w:rsidRPr="00AB315F">
              <w:rPr>
                <w:rFonts w:ascii="Calibri" w:hAnsi="Calibri"/>
                <w:sz w:val="22"/>
                <w:szCs w:val="22"/>
              </w:rPr>
              <w:t>0,531</w:t>
            </w:r>
          </w:p>
        </w:tc>
        <w:tc>
          <w:tcPr>
            <w:tcW w:w="960" w:type="dxa"/>
            <w:tcBorders>
              <w:top w:val="nil"/>
              <w:left w:val="single" w:sz="4" w:space="0" w:color="auto"/>
              <w:bottom w:val="nil"/>
              <w:right w:val="nil"/>
            </w:tcBorders>
            <w:shd w:val="clear" w:color="000000" w:fill="D9D9D9"/>
            <w:noWrap/>
            <w:vAlign w:val="center"/>
            <w:hideMark/>
          </w:tcPr>
          <w:p w14:paraId="70B4919B" w14:textId="77777777" w:rsidR="006967AF" w:rsidRPr="00AB315F" w:rsidRDefault="006967AF" w:rsidP="00EC4A80">
            <w:pPr>
              <w:jc w:val="center"/>
              <w:rPr>
                <w:rFonts w:ascii="Calibri" w:hAnsi="Calibri"/>
                <w:sz w:val="22"/>
                <w:szCs w:val="22"/>
              </w:rPr>
            </w:pPr>
            <w:r w:rsidRPr="00AB315F">
              <w:rPr>
                <w:rFonts w:ascii="Calibri" w:hAnsi="Calibri"/>
                <w:sz w:val="22"/>
                <w:szCs w:val="22"/>
              </w:rPr>
              <w:t>2,06</w:t>
            </w:r>
          </w:p>
        </w:tc>
        <w:tc>
          <w:tcPr>
            <w:tcW w:w="960" w:type="dxa"/>
            <w:tcBorders>
              <w:top w:val="nil"/>
              <w:left w:val="single" w:sz="4" w:space="0" w:color="auto"/>
              <w:bottom w:val="nil"/>
              <w:right w:val="nil"/>
            </w:tcBorders>
            <w:shd w:val="clear" w:color="auto" w:fill="auto"/>
            <w:noWrap/>
            <w:vAlign w:val="center"/>
            <w:hideMark/>
          </w:tcPr>
          <w:p w14:paraId="5A42CB09" w14:textId="77777777" w:rsidR="006967AF" w:rsidRPr="00AB315F" w:rsidRDefault="006967AF" w:rsidP="00EC4A80">
            <w:pPr>
              <w:jc w:val="center"/>
              <w:rPr>
                <w:rFonts w:ascii="Calibri" w:hAnsi="Calibri"/>
                <w:sz w:val="22"/>
                <w:szCs w:val="22"/>
              </w:rPr>
            </w:pPr>
            <w:r w:rsidRPr="00AB315F">
              <w:rPr>
                <w:rFonts w:ascii="Calibri" w:hAnsi="Calibri"/>
                <w:sz w:val="22"/>
                <w:szCs w:val="22"/>
              </w:rPr>
              <w:t>0,046</w:t>
            </w:r>
          </w:p>
        </w:tc>
      </w:tr>
      <w:tr w:rsidR="006967AF" w:rsidRPr="00AB315F" w14:paraId="332EA987" w14:textId="77777777" w:rsidTr="001C63EB">
        <w:trPr>
          <w:trHeight w:val="290"/>
        </w:trPr>
        <w:tc>
          <w:tcPr>
            <w:tcW w:w="4700" w:type="dxa"/>
            <w:tcBorders>
              <w:top w:val="nil"/>
              <w:bottom w:val="nil"/>
              <w:right w:val="nil"/>
            </w:tcBorders>
            <w:shd w:val="clear" w:color="auto" w:fill="auto"/>
            <w:vAlign w:val="center"/>
            <w:hideMark/>
          </w:tcPr>
          <w:p w14:paraId="3282BB26" w14:textId="77777777" w:rsidR="006967AF" w:rsidRPr="00AB315F" w:rsidRDefault="006967AF" w:rsidP="00EC4A80">
            <w:pPr>
              <w:jc w:val="center"/>
              <w:rPr>
                <w:rFonts w:ascii="Calibri" w:hAnsi="Calibri"/>
                <w:sz w:val="20"/>
                <w:szCs w:val="20"/>
              </w:rPr>
            </w:pPr>
            <w:r w:rsidRPr="00AB315F">
              <w:rPr>
                <w:rFonts w:ascii="Calibri" w:hAnsi="Calibri"/>
                <w:sz w:val="20"/>
                <w:szCs w:val="20"/>
              </w:rPr>
              <w:t>Má</w:t>
            </w:r>
          </w:p>
        </w:tc>
        <w:tc>
          <w:tcPr>
            <w:tcW w:w="960" w:type="dxa"/>
            <w:tcBorders>
              <w:top w:val="nil"/>
              <w:left w:val="single" w:sz="4" w:space="0" w:color="auto"/>
              <w:bottom w:val="nil"/>
              <w:right w:val="nil"/>
            </w:tcBorders>
            <w:shd w:val="clear" w:color="auto" w:fill="auto"/>
            <w:noWrap/>
            <w:vAlign w:val="center"/>
            <w:hideMark/>
          </w:tcPr>
          <w:p w14:paraId="5C5275FF" w14:textId="77777777" w:rsidR="006967AF" w:rsidRPr="00AB315F" w:rsidRDefault="006967AF" w:rsidP="00EC4A80">
            <w:pPr>
              <w:jc w:val="center"/>
              <w:rPr>
                <w:rFonts w:ascii="Calibri" w:hAnsi="Calibri"/>
                <w:sz w:val="22"/>
                <w:szCs w:val="22"/>
              </w:rPr>
            </w:pPr>
            <w:r w:rsidRPr="00AB315F">
              <w:rPr>
                <w:rFonts w:ascii="Calibri" w:hAnsi="Calibri"/>
                <w:sz w:val="22"/>
                <w:szCs w:val="22"/>
              </w:rPr>
              <w:t>3,338</w:t>
            </w:r>
          </w:p>
        </w:tc>
        <w:tc>
          <w:tcPr>
            <w:tcW w:w="1112" w:type="dxa"/>
            <w:tcBorders>
              <w:top w:val="nil"/>
              <w:left w:val="single" w:sz="4" w:space="0" w:color="auto"/>
              <w:bottom w:val="nil"/>
              <w:right w:val="nil"/>
            </w:tcBorders>
            <w:shd w:val="clear" w:color="auto" w:fill="auto"/>
            <w:noWrap/>
            <w:vAlign w:val="center"/>
            <w:hideMark/>
          </w:tcPr>
          <w:p w14:paraId="6285A5A1" w14:textId="77777777" w:rsidR="006967AF" w:rsidRPr="00AB315F" w:rsidRDefault="006967AF" w:rsidP="00EC4A80">
            <w:pPr>
              <w:jc w:val="center"/>
              <w:rPr>
                <w:rFonts w:ascii="Calibri" w:hAnsi="Calibri"/>
                <w:sz w:val="22"/>
                <w:szCs w:val="22"/>
              </w:rPr>
            </w:pPr>
            <w:r w:rsidRPr="00AB315F">
              <w:rPr>
                <w:rFonts w:ascii="Calibri" w:hAnsi="Calibri"/>
                <w:sz w:val="22"/>
                <w:szCs w:val="22"/>
              </w:rPr>
              <w:t>1,295</w:t>
            </w:r>
          </w:p>
        </w:tc>
        <w:tc>
          <w:tcPr>
            <w:tcW w:w="960" w:type="dxa"/>
            <w:tcBorders>
              <w:top w:val="nil"/>
              <w:left w:val="single" w:sz="4" w:space="0" w:color="auto"/>
              <w:bottom w:val="nil"/>
              <w:right w:val="nil"/>
            </w:tcBorders>
            <w:shd w:val="clear" w:color="000000" w:fill="D9D9D9"/>
            <w:noWrap/>
            <w:vAlign w:val="center"/>
            <w:hideMark/>
          </w:tcPr>
          <w:p w14:paraId="3C300434" w14:textId="77777777" w:rsidR="006967AF" w:rsidRPr="00AB315F" w:rsidRDefault="006967AF" w:rsidP="00EC4A80">
            <w:pPr>
              <w:jc w:val="center"/>
              <w:rPr>
                <w:rFonts w:ascii="Calibri" w:hAnsi="Calibri"/>
                <w:sz w:val="22"/>
                <w:szCs w:val="22"/>
              </w:rPr>
            </w:pPr>
            <w:r w:rsidRPr="00AB315F">
              <w:rPr>
                <w:rFonts w:ascii="Calibri" w:hAnsi="Calibri"/>
                <w:sz w:val="22"/>
                <w:szCs w:val="22"/>
              </w:rPr>
              <w:t>3,11</w:t>
            </w:r>
          </w:p>
        </w:tc>
        <w:tc>
          <w:tcPr>
            <w:tcW w:w="960" w:type="dxa"/>
            <w:tcBorders>
              <w:top w:val="nil"/>
              <w:left w:val="single" w:sz="4" w:space="0" w:color="auto"/>
              <w:bottom w:val="nil"/>
              <w:right w:val="nil"/>
            </w:tcBorders>
            <w:shd w:val="clear" w:color="auto" w:fill="auto"/>
            <w:noWrap/>
            <w:vAlign w:val="center"/>
            <w:hideMark/>
          </w:tcPr>
          <w:p w14:paraId="191E1C41" w14:textId="77777777" w:rsidR="006967AF" w:rsidRPr="00AB315F" w:rsidRDefault="006967AF" w:rsidP="00EC4A80">
            <w:pPr>
              <w:jc w:val="center"/>
              <w:rPr>
                <w:rFonts w:ascii="Calibri" w:hAnsi="Calibri"/>
                <w:sz w:val="22"/>
                <w:szCs w:val="22"/>
              </w:rPr>
            </w:pPr>
            <w:r w:rsidRPr="00AB315F">
              <w:rPr>
                <w:rFonts w:ascii="Calibri" w:hAnsi="Calibri"/>
                <w:sz w:val="22"/>
                <w:szCs w:val="22"/>
              </w:rPr>
              <w:t>0,002</w:t>
            </w:r>
          </w:p>
        </w:tc>
      </w:tr>
      <w:tr w:rsidR="006967AF" w:rsidRPr="00AB315F" w14:paraId="4B6D8900" w14:textId="77777777" w:rsidTr="001C63EB">
        <w:trPr>
          <w:trHeight w:val="290"/>
        </w:trPr>
        <w:tc>
          <w:tcPr>
            <w:tcW w:w="4700" w:type="dxa"/>
            <w:tcBorders>
              <w:top w:val="nil"/>
              <w:bottom w:val="single" w:sz="4" w:space="0" w:color="auto"/>
              <w:right w:val="nil"/>
            </w:tcBorders>
            <w:shd w:val="clear" w:color="auto" w:fill="auto"/>
            <w:vAlign w:val="center"/>
            <w:hideMark/>
          </w:tcPr>
          <w:p w14:paraId="202A7790" w14:textId="77777777" w:rsidR="006967AF" w:rsidRPr="00AB315F" w:rsidRDefault="006967AF" w:rsidP="00EC4A80">
            <w:pPr>
              <w:jc w:val="center"/>
              <w:rPr>
                <w:rFonts w:ascii="Calibri" w:hAnsi="Calibri"/>
                <w:sz w:val="20"/>
                <w:szCs w:val="20"/>
              </w:rPr>
            </w:pPr>
            <w:r w:rsidRPr="00AB315F">
              <w:rPr>
                <w:rFonts w:ascii="Calibri" w:hAnsi="Calibri"/>
                <w:sz w:val="20"/>
                <w:szCs w:val="20"/>
              </w:rPr>
              <w:t>Péssima</w:t>
            </w:r>
          </w:p>
        </w:tc>
        <w:tc>
          <w:tcPr>
            <w:tcW w:w="960" w:type="dxa"/>
            <w:tcBorders>
              <w:top w:val="nil"/>
              <w:left w:val="single" w:sz="4" w:space="0" w:color="auto"/>
              <w:bottom w:val="single" w:sz="4" w:space="0" w:color="auto"/>
              <w:right w:val="nil"/>
            </w:tcBorders>
            <w:shd w:val="clear" w:color="auto" w:fill="auto"/>
            <w:noWrap/>
            <w:vAlign w:val="center"/>
            <w:hideMark/>
          </w:tcPr>
          <w:p w14:paraId="183988C9" w14:textId="77777777" w:rsidR="006967AF" w:rsidRPr="00AB315F" w:rsidRDefault="006967AF" w:rsidP="00EC4A80">
            <w:pPr>
              <w:jc w:val="center"/>
              <w:rPr>
                <w:rFonts w:ascii="Calibri" w:hAnsi="Calibri"/>
                <w:sz w:val="22"/>
                <w:szCs w:val="22"/>
              </w:rPr>
            </w:pPr>
            <w:r w:rsidRPr="00AB315F">
              <w:rPr>
                <w:rFonts w:ascii="Calibri" w:hAnsi="Calibri"/>
                <w:sz w:val="22"/>
                <w:szCs w:val="22"/>
              </w:rPr>
              <w:t>1,260</w:t>
            </w:r>
          </w:p>
        </w:tc>
        <w:tc>
          <w:tcPr>
            <w:tcW w:w="1112" w:type="dxa"/>
            <w:tcBorders>
              <w:top w:val="nil"/>
              <w:left w:val="single" w:sz="4" w:space="0" w:color="auto"/>
              <w:bottom w:val="single" w:sz="4" w:space="0" w:color="auto"/>
              <w:right w:val="nil"/>
            </w:tcBorders>
            <w:shd w:val="clear" w:color="auto" w:fill="auto"/>
            <w:noWrap/>
            <w:vAlign w:val="center"/>
            <w:hideMark/>
          </w:tcPr>
          <w:p w14:paraId="724146B5" w14:textId="77777777" w:rsidR="006967AF" w:rsidRPr="00AB315F" w:rsidRDefault="006967AF" w:rsidP="00EC4A80">
            <w:pPr>
              <w:jc w:val="center"/>
              <w:rPr>
                <w:rFonts w:ascii="Calibri" w:hAnsi="Calibri"/>
                <w:sz w:val="22"/>
                <w:szCs w:val="22"/>
              </w:rPr>
            </w:pPr>
            <w:r w:rsidRPr="00AB315F">
              <w:rPr>
                <w:rFonts w:ascii="Calibri" w:hAnsi="Calibri"/>
                <w:sz w:val="22"/>
                <w:szCs w:val="22"/>
              </w:rPr>
              <w:t>0,853</w:t>
            </w:r>
          </w:p>
        </w:tc>
        <w:tc>
          <w:tcPr>
            <w:tcW w:w="960" w:type="dxa"/>
            <w:tcBorders>
              <w:top w:val="nil"/>
              <w:left w:val="single" w:sz="4" w:space="0" w:color="auto"/>
              <w:bottom w:val="single" w:sz="4" w:space="0" w:color="auto"/>
              <w:right w:val="nil"/>
            </w:tcBorders>
            <w:shd w:val="clear" w:color="auto" w:fill="auto"/>
            <w:noWrap/>
            <w:vAlign w:val="center"/>
            <w:hideMark/>
          </w:tcPr>
          <w:p w14:paraId="4D4276BA" w14:textId="77777777" w:rsidR="006967AF" w:rsidRPr="00AB315F" w:rsidRDefault="006967AF" w:rsidP="00EC4A80">
            <w:pPr>
              <w:jc w:val="center"/>
              <w:rPr>
                <w:rFonts w:ascii="Calibri" w:hAnsi="Calibri"/>
                <w:sz w:val="22"/>
                <w:szCs w:val="22"/>
              </w:rPr>
            </w:pPr>
            <w:r w:rsidRPr="00AB315F">
              <w:rPr>
                <w:rFonts w:ascii="Calibri" w:hAnsi="Calibri"/>
                <w:sz w:val="22"/>
                <w:szCs w:val="22"/>
              </w:rPr>
              <w:t>0,34</w:t>
            </w:r>
          </w:p>
        </w:tc>
        <w:tc>
          <w:tcPr>
            <w:tcW w:w="960" w:type="dxa"/>
            <w:tcBorders>
              <w:top w:val="nil"/>
              <w:left w:val="single" w:sz="4" w:space="0" w:color="auto"/>
              <w:bottom w:val="single" w:sz="4" w:space="0" w:color="auto"/>
              <w:right w:val="nil"/>
            </w:tcBorders>
            <w:shd w:val="clear" w:color="auto" w:fill="auto"/>
            <w:noWrap/>
            <w:vAlign w:val="center"/>
            <w:hideMark/>
          </w:tcPr>
          <w:p w14:paraId="09D1A9D8" w14:textId="77777777" w:rsidR="006967AF" w:rsidRPr="00AB315F" w:rsidRDefault="006967AF" w:rsidP="00EC4A80">
            <w:pPr>
              <w:jc w:val="center"/>
              <w:rPr>
                <w:rFonts w:ascii="Calibri" w:hAnsi="Calibri"/>
                <w:sz w:val="22"/>
                <w:szCs w:val="22"/>
              </w:rPr>
            </w:pPr>
            <w:r w:rsidRPr="00AB315F">
              <w:rPr>
                <w:rFonts w:ascii="Calibri" w:hAnsi="Calibri"/>
                <w:sz w:val="22"/>
                <w:szCs w:val="22"/>
              </w:rPr>
              <w:t>0,732</w:t>
            </w:r>
          </w:p>
        </w:tc>
      </w:tr>
      <w:tr w:rsidR="006967AF" w:rsidRPr="00AB315F" w14:paraId="7C6B2B19"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442DB46B" w14:textId="77777777" w:rsidR="006967AF" w:rsidRPr="00AB315F" w:rsidRDefault="006967AF" w:rsidP="00EC4A80">
            <w:pPr>
              <w:jc w:val="center"/>
              <w:rPr>
                <w:rFonts w:ascii="Calibri" w:hAnsi="Calibri"/>
                <w:sz w:val="22"/>
                <w:szCs w:val="22"/>
              </w:rPr>
            </w:pPr>
            <w:r w:rsidRPr="00AB315F">
              <w:rPr>
                <w:rFonts w:ascii="Calibri" w:hAnsi="Calibri"/>
                <w:sz w:val="22"/>
                <w:szCs w:val="22"/>
              </w:rPr>
              <w:t>Líder Forte</w:t>
            </w:r>
          </w:p>
        </w:tc>
        <w:tc>
          <w:tcPr>
            <w:tcW w:w="960" w:type="dxa"/>
            <w:tcBorders>
              <w:top w:val="nil"/>
              <w:left w:val="single" w:sz="4" w:space="0" w:color="auto"/>
              <w:bottom w:val="single" w:sz="4" w:space="0" w:color="auto"/>
              <w:right w:val="nil"/>
            </w:tcBorders>
            <w:shd w:val="clear" w:color="auto" w:fill="auto"/>
            <w:noWrap/>
            <w:vAlign w:val="center"/>
            <w:hideMark/>
          </w:tcPr>
          <w:p w14:paraId="286F4A89" w14:textId="77777777" w:rsidR="006967AF" w:rsidRPr="00AB315F" w:rsidRDefault="006967AF" w:rsidP="00EC4A80">
            <w:pPr>
              <w:jc w:val="center"/>
              <w:rPr>
                <w:rFonts w:ascii="Calibri" w:hAnsi="Calibri"/>
                <w:sz w:val="22"/>
                <w:szCs w:val="22"/>
              </w:rPr>
            </w:pPr>
            <w:r w:rsidRPr="00AB315F">
              <w:rPr>
                <w:rFonts w:ascii="Calibri" w:hAnsi="Calibri"/>
                <w:sz w:val="22"/>
                <w:szCs w:val="22"/>
              </w:rPr>
              <w:t>0,537</w:t>
            </w:r>
          </w:p>
        </w:tc>
        <w:tc>
          <w:tcPr>
            <w:tcW w:w="1112" w:type="dxa"/>
            <w:tcBorders>
              <w:top w:val="nil"/>
              <w:left w:val="single" w:sz="4" w:space="0" w:color="auto"/>
              <w:bottom w:val="single" w:sz="4" w:space="0" w:color="auto"/>
              <w:right w:val="nil"/>
            </w:tcBorders>
            <w:shd w:val="clear" w:color="auto" w:fill="auto"/>
            <w:noWrap/>
            <w:vAlign w:val="center"/>
            <w:hideMark/>
          </w:tcPr>
          <w:p w14:paraId="508B1F31" w14:textId="77777777" w:rsidR="006967AF" w:rsidRPr="00AB315F" w:rsidRDefault="006967AF" w:rsidP="00EC4A80">
            <w:pPr>
              <w:jc w:val="center"/>
              <w:rPr>
                <w:rFonts w:ascii="Calibri" w:hAnsi="Calibri"/>
                <w:sz w:val="22"/>
                <w:szCs w:val="22"/>
              </w:rPr>
            </w:pPr>
            <w:r w:rsidRPr="00AB315F">
              <w:rPr>
                <w:rFonts w:ascii="Calibri" w:hAnsi="Calibri"/>
                <w:sz w:val="22"/>
                <w:szCs w:val="22"/>
              </w:rPr>
              <w:t>0,136</w:t>
            </w:r>
          </w:p>
        </w:tc>
        <w:tc>
          <w:tcPr>
            <w:tcW w:w="960" w:type="dxa"/>
            <w:tcBorders>
              <w:top w:val="nil"/>
              <w:left w:val="single" w:sz="4" w:space="0" w:color="auto"/>
              <w:bottom w:val="single" w:sz="4" w:space="0" w:color="auto"/>
              <w:right w:val="nil"/>
            </w:tcBorders>
            <w:shd w:val="clear" w:color="000000" w:fill="D9D9D9"/>
            <w:noWrap/>
            <w:vAlign w:val="center"/>
            <w:hideMark/>
          </w:tcPr>
          <w:p w14:paraId="04388833" w14:textId="77777777" w:rsidR="006967AF" w:rsidRPr="00AB315F" w:rsidRDefault="006967AF" w:rsidP="00EC4A80">
            <w:pPr>
              <w:jc w:val="center"/>
              <w:rPr>
                <w:rFonts w:ascii="Calibri" w:hAnsi="Calibri"/>
                <w:sz w:val="22"/>
                <w:szCs w:val="22"/>
              </w:rPr>
            </w:pPr>
            <w:r w:rsidRPr="00AB315F">
              <w:rPr>
                <w:rFonts w:ascii="Calibri" w:hAnsi="Calibri"/>
                <w:sz w:val="22"/>
                <w:szCs w:val="22"/>
              </w:rPr>
              <w:t>-2,45</w:t>
            </w:r>
          </w:p>
        </w:tc>
        <w:tc>
          <w:tcPr>
            <w:tcW w:w="960" w:type="dxa"/>
            <w:tcBorders>
              <w:top w:val="nil"/>
              <w:left w:val="single" w:sz="4" w:space="0" w:color="auto"/>
              <w:bottom w:val="single" w:sz="4" w:space="0" w:color="auto"/>
              <w:right w:val="nil"/>
            </w:tcBorders>
            <w:shd w:val="clear" w:color="auto" w:fill="auto"/>
            <w:noWrap/>
            <w:vAlign w:val="center"/>
            <w:hideMark/>
          </w:tcPr>
          <w:p w14:paraId="07CDC780" w14:textId="77777777" w:rsidR="006967AF" w:rsidRPr="00AB315F" w:rsidRDefault="006967AF" w:rsidP="00EC4A80">
            <w:pPr>
              <w:jc w:val="center"/>
              <w:rPr>
                <w:rFonts w:ascii="Calibri" w:hAnsi="Calibri"/>
                <w:sz w:val="22"/>
                <w:szCs w:val="22"/>
              </w:rPr>
            </w:pPr>
            <w:r w:rsidRPr="00AB315F">
              <w:rPr>
                <w:rFonts w:ascii="Calibri" w:hAnsi="Calibri"/>
                <w:sz w:val="22"/>
                <w:szCs w:val="22"/>
              </w:rPr>
              <w:t>0,014</w:t>
            </w:r>
          </w:p>
        </w:tc>
      </w:tr>
      <w:tr w:rsidR="006967AF" w:rsidRPr="00AB315F" w14:paraId="7E548009"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366167BA" w14:textId="77777777" w:rsidR="006967AF" w:rsidRPr="00AB315F" w:rsidRDefault="006967AF" w:rsidP="00EC4A80">
            <w:pPr>
              <w:jc w:val="center"/>
              <w:rPr>
                <w:rFonts w:ascii="Calibri" w:hAnsi="Calibri"/>
                <w:sz w:val="22"/>
                <w:szCs w:val="22"/>
              </w:rPr>
            </w:pPr>
            <w:r w:rsidRPr="00AB315F">
              <w:rPr>
                <w:rFonts w:ascii="Calibri" w:hAnsi="Calibri"/>
                <w:sz w:val="22"/>
                <w:szCs w:val="22"/>
              </w:rPr>
              <w:t>Utilizou serviços médicos públicos</w:t>
            </w:r>
          </w:p>
        </w:tc>
        <w:tc>
          <w:tcPr>
            <w:tcW w:w="960" w:type="dxa"/>
            <w:tcBorders>
              <w:top w:val="nil"/>
              <w:left w:val="single" w:sz="4" w:space="0" w:color="auto"/>
              <w:bottom w:val="single" w:sz="4" w:space="0" w:color="auto"/>
              <w:right w:val="nil"/>
            </w:tcBorders>
            <w:shd w:val="clear" w:color="auto" w:fill="auto"/>
            <w:noWrap/>
            <w:vAlign w:val="center"/>
            <w:hideMark/>
          </w:tcPr>
          <w:p w14:paraId="51D517F8" w14:textId="77777777" w:rsidR="006967AF" w:rsidRPr="00AB315F" w:rsidRDefault="006967AF" w:rsidP="00EC4A80">
            <w:pPr>
              <w:jc w:val="center"/>
              <w:rPr>
                <w:rFonts w:ascii="Calibri" w:hAnsi="Calibri"/>
                <w:sz w:val="22"/>
                <w:szCs w:val="22"/>
              </w:rPr>
            </w:pPr>
            <w:r w:rsidRPr="00AB315F">
              <w:rPr>
                <w:rFonts w:ascii="Calibri" w:hAnsi="Calibri"/>
                <w:sz w:val="22"/>
                <w:szCs w:val="22"/>
              </w:rPr>
              <w:t>0,852</w:t>
            </w:r>
          </w:p>
        </w:tc>
        <w:tc>
          <w:tcPr>
            <w:tcW w:w="1112" w:type="dxa"/>
            <w:tcBorders>
              <w:top w:val="nil"/>
              <w:left w:val="single" w:sz="4" w:space="0" w:color="auto"/>
              <w:bottom w:val="single" w:sz="4" w:space="0" w:color="auto"/>
              <w:right w:val="nil"/>
            </w:tcBorders>
            <w:shd w:val="clear" w:color="auto" w:fill="auto"/>
            <w:noWrap/>
            <w:vAlign w:val="center"/>
            <w:hideMark/>
          </w:tcPr>
          <w:p w14:paraId="77057748" w14:textId="77777777" w:rsidR="006967AF" w:rsidRPr="00AB315F" w:rsidRDefault="006967AF" w:rsidP="00EC4A80">
            <w:pPr>
              <w:jc w:val="center"/>
              <w:rPr>
                <w:rFonts w:ascii="Calibri" w:hAnsi="Calibri"/>
                <w:sz w:val="22"/>
                <w:szCs w:val="22"/>
              </w:rPr>
            </w:pPr>
            <w:r w:rsidRPr="00AB315F">
              <w:rPr>
                <w:rFonts w:ascii="Calibri" w:hAnsi="Calibri"/>
                <w:sz w:val="22"/>
                <w:szCs w:val="22"/>
              </w:rPr>
              <w:t>0,185</w:t>
            </w:r>
          </w:p>
        </w:tc>
        <w:tc>
          <w:tcPr>
            <w:tcW w:w="960" w:type="dxa"/>
            <w:tcBorders>
              <w:top w:val="nil"/>
              <w:left w:val="single" w:sz="4" w:space="0" w:color="auto"/>
              <w:bottom w:val="single" w:sz="4" w:space="0" w:color="auto"/>
              <w:right w:val="nil"/>
            </w:tcBorders>
            <w:shd w:val="clear" w:color="auto" w:fill="auto"/>
            <w:noWrap/>
            <w:vAlign w:val="center"/>
            <w:hideMark/>
          </w:tcPr>
          <w:p w14:paraId="27BDFE78" w14:textId="77777777" w:rsidR="006967AF" w:rsidRPr="00AB315F" w:rsidRDefault="006967AF" w:rsidP="00EC4A80">
            <w:pPr>
              <w:jc w:val="center"/>
              <w:rPr>
                <w:rFonts w:ascii="Calibri" w:hAnsi="Calibri"/>
                <w:sz w:val="22"/>
                <w:szCs w:val="22"/>
              </w:rPr>
            </w:pPr>
            <w:r w:rsidRPr="00AB315F">
              <w:rPr>
                <w:rFonts w:ascii="Calibri" w:hAnsi="Calibri"/>
                <w:sz w:val="22"/>
                <w:szCs w:val="22"/>
              </w:rPr>
              <w:t>-0,74</w:t>
            </w:r>
          </w:p>
        </w:tc>
        <w:tc>
          <w:tcPr>
            <w:tcW w:w="960" w:type="dxa"/>
            <w:tcBorders>
              <w:top w:val="nil"/>
              <w:left w:val="single" w:sz="4" w:space="0" w:color="auto"/>
              <w:bottom w:val="single" w:sz="4" w:space="0" w:color="auto"/>
              <w:right w:val="nil"/>
            </w:tcBorders>
            <w:shd w:val="clear" w:color="auto" w:fill="auto"/>
            <w:noWrap/>
            <w:vAlign w:val="center"/>
            <w:hideMark/>
          </w:tcPr>
          <w:p w14:paraId="3ED7F811" w14:textId="77777777" w:rsidR="006967AF" w:rsidRPr="00AB315F" w:rsidRDefault="006967AF" w:rsidP="00EC4A80">
            <w:pPr>
              <w:jc w:val="center"/>
              <w:rPr>
                <w:rFonts w:ascii="Calibri" w:hAnsi="Calibri"/>
                <w:sz w:val="22"/>
                <w:szCs w:val="22"/>
              </w:rPr>
            </w:pPr>
            <w:r w:rsidRPr="00AB315F">
              <w:rPr>
                <w:rFonts w:ascii="Calibri" w:hAnsi="Calibri"/>
                <w:sz w:val="22"/>
                <w:szCs w:val="22"/>
              </w:rPr>
              <w:t>0,46</w:t>
            </w:r>
          </w:p>
        </w:tc>
      </w:tr>
      <w:tr w:rsidR="006967AF" w:rsidRPr="00AB315F" w14:paraId="525BB22D" w14:textId="77777777" w:rsidTr="001C63EB">
        <w:trPr>
          <w:trHeight w:val="290"/>
        </w:trPr>
        <w:tc>
          <w:tcPr>
            <w:tcW w:w="4700" w:type="dxa"/>
            <w:tcBorders>
              <w:top w:val="nil"/>
              <w:bottom w:val="single" w:sz="4" w:space="0" w:color="auto"/>
              <w:right w:val="nil"/>
            </w:tcBorders>
            <w:shd w:val="clear" w:color="auto" w:fill="auto"/>
            <w:noWrap/>
            <w:vAlign w:val="center"/>
            <w:hideMark/>
          </w:tcPr>
          <w:p w14:paraId="0AC0CDA3" w14:textId="77777777" w:rsidR="006967AF" w:rsidRPr="00AB315F" w:rsidRDefault="006967AF" w:rsidP="00EC4A80">
            <w:pPr>
              <w:jc w:val="center"/>
              <w:rPr>
                <w:rFonts w:ascii="Calibri" w:hAnsi="Calibri"/>
                <w:sz w:val="22"/>
                <w:szCs w:val="22"/>
              </w:rPr>
            </w:pPr>
            <w:r w:rsidRPr="00AB315F">
              <w:rPr>
                <w:rFonts w:ascii="Calibri" w:hAnsi="Calibri"/>
                <w:sz w:val="22"/>
                <w:szCs w:val="22"/>
              </w:rPr>
              <w:t xml:space="preserve"> Assiste às notícias na televisão todos os dias</w:t>
            </w:r>
          </w:p>
        </w:tc>
        <w:tc>
          <w:tcPr>
            <w:tcW w:w="960" w:type="dxa"/>
            <w:tcBorders>
              <w:top w:val="nil"/>
              <w:left w:val="single" w:sz="4" w:space="0" w:color="auto"/>
              <w:bottom w:val="single" w:sz="4" w:space="0" w:color="auto"/>
              <w:right w:val="nil"/>
            </w:tcBorders>
            <w:shd w:val="clear" w:color="auto" w:fill="auto"/>
            <w:noWrap/>
            <w:vAlign w:val="center"/>
            <w:hideMark/>
          </w:tcPr>
          <w:p w14:paraId="219D9D24" w14:textId="77777777" w:rsidR="006967AF" w:rsidRPr="00AB315F" w:rsidRDefault="006967AF" w:rsidP="00EC4A80">
            <w:pPr>
              <w:jc w:val="center"/>
              <w:rPr>
                <w:rFonts w:ascii="Calibri" w:hAnsi="Calibri"/>
                <w:sz w:val="22"/>
                <w:szCs w:val="22"/>
              </w:rPr>
            </w:pPr>
            <w:r w:rsidRPr="00AB315F">
              <w:rPr>
                <w:rFonts w:ascii="Calibri" w:hAnsi="Calibri"/>
                <w:sz w:val="22"/>
                <w:szCs w:val="22"/>
              </w:rPr>
              <w:t>1,188</w:t>
            </w:r>
          </w:p>
        </w:tc>
        <w:tc>
          <w:tcPr>
            <w:tcW w:w="1112" w:type="dxa"/>
            <w:tcBorders>
              <w:top w:val="nil"/>
              <w:left w:val="single" w:sz="4" w:space="0" w:color="auto"/>
              <w:bottom w:val="single" w:sz="4" w:space="0" w:color="auto"/>
              <w:right w:val="nil"/>
            </w:tcBorders>
            <w:shd w:val="clear" w:color="auto" w:fill="auto"/>
            <w:noWrap/>
            <w:vAlign w:val="center"/>
            <w:hideMark/>
          </w:tcPr>
          <w:p w14:paraId="36A22706" w14:textId="77777777" w:rsidR="006967AF" w:rsidRPr="00AB315F" w:rsidRDefault="006967AF" w:rsidP="00EC4A80">
            <w:pPr>
              <w:jc w:val="center"/>
              <w:rPr>
                <w:rFonts w:ascii="Calibri" w:hAnsi="Calibri"/>
                <w:sz w:val="22"/>
                <w:szCs w:val="22"/>
              </w:rPr>
            </w:pPr>
            <w:r w:rsidRPr="00AB315F">
              <w:rPr>
                <w:rFonts w:ascii="Calibri" w:hAnsi="Calibri"/>
                <w:sz w:val="22"/>
                <w:szCs w:val="22"/>
              </w:rPr>
              <w:t>0,283</w:t>
            </w:r>
          </w:p>
        </w:tc>
        <w:tc>
          <w:tcPr>
            <w:tcW w:w="960" w:type="dxa"/>
            <w:tcBorders>
              <w:top w:val="nil"/>
              <w:left w:val="single" w:sz="4" w:space="0" w:color="auto"/>
              <w:bottom w:val="single" w:sz="4" w:space="0" w:color="auto"/>
              <w:right w:val="nil"/>
            </w:tcBorders>
            <w:shd w:val="clear" w:color="auto" w:fill="auto"/>
            <w:noWrap/>
            <w:vAlign w:val="center"/>
            <w:hideMark/>
          </w:tcPr>
          <w:p w14:paraId="05BFECD2" w14:textId="77777777" w:rsidR="006967AF" w:rsidRPr="00AB315F" w:rsidRDefault="006967AF" w:rsidP="00EC4A80">
            <w:pPr>
              <w:jc w:val="center"/>
              <w:rPr>
                <w:rFonts w:ascii="Calibri" w:hAnsi="Calibri"/>
                <w:sz w:val="22"/>
                <w:szCs w:val="22"/>
              </w:rPr>
            </w:pPr>
            <w:r w:rsidRPr="00AB315F">
              <w:rPr>
                <w:rFonts w:ascii="Calibri" w:hAnsi="Calibri"/>
                <w:sz w:val="22"/>
                <w:szCs w:val="22"/>
              </w:rPr>
              <w:t>0,72</w:t>
            </w:r>
          </w:p>
        </w:tc>
        <w:tc>
          <w:tcPr>
            <w:tcW w:w="960" w:type="dxa"/>
            <w:tcBorders>
              <w:top w:val="nil"/>
              <w:left w:val="single" w:sz="4" w:space="0" w:color="auto"/>
              <w:bottom w:val="single" w:sz="4" w:space="0" w:color="auto"/>
              <w:right w:val="nil"/>
            </w:tcBorders>
            <w:shd w:val="clear" w:color="auto" w:fill="auto"/>
            <w:noWrap/>
            <w:vAlign w:val="center"/>
            <w:hideMark/>
          </w:tcPr>
          <w:p w14:paraId="2EECED63" w14:textId="77777777" w:rsidR="006967AF" w:rsidRPr="00AB315F" w:rsidRDefault="006967AF" w:rsidP="00EC4A80">
            <w:pPr>
              <w:jc w:val="center"/>
              <w:rPr>
                <w:rFonts w:ascii="Calibri" w:hAnsi="Calibri"/>
                <w:sz w:val="22"/>
                <w:szCs w:val="22"/>
              </w:rPr>
            </w:pPr>
            <w:r w:rsidRPr="00AB315F">
              <w:rPr>
                <w:rFonts w:ascii="Calibri" w:hAnsi="Calibri"/>
                <w:sz w:val="22"/>
                <w:szCs w:val="22"/>
              </w:rPr>
              <w:t>0,469</w:t>
            </w:r>
          </w:p>
        </w:tc>
      </w:tr>
      <w:tr w:rsidR="006967AF" w:rsidRPr="00AB315F" w14:paraId="127F3597" w14:textId="77777777" w:rsidTr="001C63EB">
        <w:trPr>
          <w:trHeight w:val="290"/>
        </w:trPr>
        <w:tc>
          <w:tcPr>
            <w:tcW w:w="4700" w:type="dxa"/>
            <w:tcBorders>
              <w:top w:val="nil"/>
              <w:left w:val="nil"/>
              <w:bottom w:val="single" w:sz="4" w:space="0" w:color="auto"/>
              <w:right w:val="nil"/>
            </w:tcBorders>
            <w:shd w:val="clear" w:color="auto" w:fill="auto"/>
            <w:noWrap/>
            <w:vAlign w:val="center"/>
            <w:hideMark/>
          </w:tcPr>
          <w:p w14:paraId="22CF3F91" w14:textId="77777777" w:rsidR="006967AF" w:rsidRPr="00AB315F" w:rsidRDefault="006967AF" w:rsidP="00EC4A80">
            <w:pPr>
              <w:jc w:val="center"/>
              <w:rPr>
                <w:rFonts w:ascii="Calibri" w:hAnsi="Calibri"/>
                <w:sz w:val="22"/>
                <w:szCs w:val="22"/>
              </w:rPr>
            </w:pPr>
            <w:r w:rsidRPr="00AB315F">
              <w:rPr>
                <w:rFonts w:ascii="Calibri" w:hAnsi="Calibri"/>
                <w:sz w:val="22"/>
                <w:szCs w:val="22"/>
              </w:rPr>
              <w:t>Escuta notícias no rádio todos os dias</w:t>
            </w:r>
          </w:p>
        </w:tc>
        <w:tc>
          <w:tcPr>
            <w:tcW w:w="960" w:type="dxa"/>
            <w:tcBorders>
              <w:top w:val="nil"/>
              <w:left w:val="single" w:sz="4" w:space="0" w:color="auto"/>
              <w:bottom w:val="single" w:sz="4" w:space="0" w:color="auto"/>
              <w:right w:val="nil"/>
            </w:tcBorders>
            <w:shd w:val="clear" w:color="auto" w:fill="auto"/>
            <w:noWrap/>
            <w:vAlign w:val="center"/>
            <w:hideMark/>
          </w:tcPr>
          <w:p w14:paraId="03C661A4" w14:textId="77777777" w:rsidR="006967AF" w:rsidRPr="00AB315F" w:rsidRDefault="006967AF" w:rsidP="00EC4A80">
            <w:pPr>
              <w:jc w:val="center"/>
              <w:rPr>
                <w:rFonts w:ascii="Calibri" w:hAnsi="Calibri"/>
                <w:sz w:val="22"/>
                <w:szCs w:val="22"/>
              </w:rPr>
            </w:pPr>
            <w:r w:rsidRPr="00AB315F">
              <w:rPr>
                <w:rFonts w:ascii="Calibri" w:hAnsi="Calibri"/>
                <w:sz w:val="22"/>
                <w:szCs w:val="22"/>
              </w:rPr>
              <w:t>0,764</w:t>
            </w:r>
          </w:p>
        </w:tc>
        <w:tc>
          <w:tcPr>
            <w:tcW w:w="1112" w:type="dxa"/>
            <w:tcBorders>
              <w:top w:val="nil"/>
              <w:left w:val="single" w:sz="4" w:space="0" w:color="auto"/>
              <w:bottom w:val="single" w:sz="4" w:space="0" w:color="auto"/>
              <w:right w:val="nil"/>
            </w:tcBorders>
            <w:shd w:val="clear" w:color="auto" w:fill="auto"/>
            <w:noWrap/>
            <w:vAlign w:val="center"/>
            <w:hideMark/>
          </w:tcPr>
          <w:p w14:paraId="6C9C7A63" w14:textId="77777777" w:rsidR="006967AF" w:rsidRPr="00AB315F" w:rsidRDefault="006967AF" w:rsidP="00EC4A80">
            <w:pPr>
              <w:jc w:val="center"/>
              <w:rPr>
                <w:rFonts w:ascii="Calibri" w:hAnsi="Calibri"/>
                <w:sz w:val="22"/>
                <w:szCs w:val="22"/>
              </w:rPr>
            </w:pPr>
            <w:r w:rsidRPr="00AB315F">
              <w:rPr>
                <w:rFonts w:ascii="Calibri" w:hAnsi="Calibri"/>
                <w:sz w:val="22"/>
                <w:szCs w:val="22"/>
              </w:rPr>
              <w:t>0,158</w:t>
            </w:r>
          </w:p>
        </w:tc>
        <w:tc>
          <w:tcPr>
            <w:tcW w:w="960" w:type="dxa"/>
            <w:tcBorders>
              <w:top w:val="nil"/>
              <w:left w:val="single" w:sz="4" w:space="0" w:color="auto"/>
              <w:bottom w:val="single" w:sz="4" w:space="0" w:color="auto"/>
              <w:right w:val="nil"/>
            </w:tcBorders>
            <w:shd w:val="clear" w:color="auto" w:fill="auto"/>
            <w:noWrap/>
            <w:vAlign w:val="center"/>
            <w:hideMark/>
          </w:tcPr>
          <w:p w14:paraId="4A100F71" w14:textId="77777777" w:rsidR="006967AF" w:rsidRPr="00AB315F" w:rsidRDefault="006967AF" w:rsidP="00EC4A80">
            <w:pPr>
              <w:jc w:val="center"/>
              <w:rPr>
                <w:rFonts w:ascii="Calibri" w:hAnsi="Calibri"/>
                <w:sz w:val="22"/>
                <w:szCs w:val="22"/>
              </w:rPr>
            </w:pPr>
            <w:r w:rsidRPr="00AB315F">
              <w:rPr>
                <w:rFonts w:ascii="Calibri" w:hAnsi="Calibri"/>
                <w:sz w:val="22"/>
                <w:szCs w:val="22"/>
              </w:rPr>
              <w:t>-1,3</w:t>
            </w:r>
          </w:p>
        </w:tc>
        <w:tc>
          <w:tcPr>
            <w:tcW w:w="960" w:type="dxa"/>
            <w:tcBorders>
              <w:top w:val="nil"/>
              <w:left w:val="single" w:sz="4" w:space="0" w:color="auto"/>
              <w:bottom w:val="single" w:sz="4" w:space="0" w:color="auto"/>
              <w:right w:val="nil"/>
            </w:tcBorders>
            <w:shd w:val="clear" w:color="auto" w:fill="auto"/>
            <w:noWrap/>
            <w:vAlign w:val="center"/>
            <w:hideMark/>
          </w:tcPr>
          <w:p w14:paraId="652D360B" w14:textId="77777777" w:rsidR="006967AF" w:rsidRPr="00AB315F" w:rsidRDefault="006967AF" w:rsidP="00EC4A80">
            <w:pPr>
              <w:jc w:val="center"/>
              <w:rPr>
                <w:rFonts w:ascii="Calibri" w:hAnsi="Calibri"/>
                <w:sz w:val="22"/>
                <w:szCs w:val="22"/>
              </w:rPr>
            </w:pPr>
            <w:r w:rsidRPr="00AB315F">
              <w:rPr>
                <w:rFonts w:ascii="Calibri" w:hAnsi="Calibri"/>
                <w:sz w:val="22"/>
                <w:szCs w:val="22"/>
              </w:rPr>
              <w:t>0,194</w:t>
            </w:r>
          </w:p>
        </w:tc>
      </w:tr>
      <w:tr w:rsidR="006967AF" w:rsidRPr="00AB315F" w14:paraId="335AC31C" w14:textId="77777777" w:rsidTr="001C63EB">
        <w:trPr>
          <w:trHeight w:val="290"/>
        </w:trPr>
        <w:tc>
          <w:tcPr>
            <w:tcW w:w="4700" w:type="dxa"/>
            <w:tcBorders>
              <w:top w:val="nil"/>
              <w:left w:val="nil"/>
              <w:bottom w:val="single" w:sz="4" w:space="0" w:color="auto"/>
              <w:right w:val="nil"/>
            </w:tcBorders>
            <w:shd w:val="clear" w:color="auto" w:fill="auto"/>
            <w:noWrap/>
            <w:vAlign w:val="center"/>
            <w:hideMark/>
          </w:tcPr>
          <w:p w14:paraId="3537A36B" w14:textId="77777777" w:rsidR="006967AF" w:rsidRPr="00AB315F" w:rsidRDefault="006967AF" w:rsidP="00EC4A80">
            <w:pPr>
              <w:jc w:val="center"/>
              <w:rPr>
                <w:rFonts w:ascii="Calibri" w:hAnsi="Calibri"/>
                <w:sz w:val="22"/>
                <w:szCs w:val="22"/>
              </w:rPr>
            </w:pPr>
            <w:r w:rsidRPr="00AB315F">
              <w:rPr>
                <w:rFonts w:ascii="Calibri" w:hAnsi="Calibri"/>
                <w:sz w:val="22"/>
                <w:szCs w:val="22"/>
              </w:rPr>
              <w:t>Lê as notícias nos jornais todos os dias</w:t>
            </w:r>
          </w:p>
        </w:tc>
        <w:tc>
          <w:tcPr>
            <w:tcW w:w="960" w:type="dxa"/>
            <w:tcBorders>
              <w:top w:val="nil"/>
              <w:left w:val="single" w:sz="4" w:space="0" w:color="auto"/>
              <w:bottom w:val="single" w:sz="4" w:space="0" w:color="auto"/>
              <w:right w:val="nil"/>
            </w:tcBorders>
            <w:shd w:val="clear" w:color="auto" w:fill="auto"/>
            <w:noWrap/>
            <w:vAlign w:val="center"/>
            <w:hideMark/>
          </w:tcPr>
          <w:p w14:paraId="3285173D" w14:textId="77777777" w:rsidR="006967AF" w:rsidRPr="00AB315F" w:rsidRDefault="006967AF" w:rsidP="00EC4A80">
            <w:pPr>
              <w:jc w:val="center"/>
              <w:rPr>
                <w:rFonts w:ascii="Calibri" w:hAnsi="Calibri"/>
                <w:sz w:val="22"/>
                <w:szCs w:val="22"/>
              </w:rPr>
            </w:pPr>
            <w:r w:rsidRPr="00AB315F">
              <w:rPr>
                <w:rFonts w:ascii="Calibri" w:hAnsi="Calibri"/>
                <w:sz w:val="22"/>
                <w:szCs w:val="22"/>
              </w:rPr>
              <w:t>2,150</w:t>
            </w:r>
          </w:p>
        </w:tc>
        <w:tc>
          <w:tcPr>
            <w:tcW w:w="1112" w:type="dxa"/>
            <w:tcBorders>
              <w:top w:val="nil"/>
              <w:left w:val="single" w:sz="4" w:space="0" w:color="auto"/>
              <w:bottom w:val="single" w:sz="4" w:space="0" w:color="auto"/>
              <w:right w:val="nil"/>
            </w:tcBorders>
            <w:shd w:val="clear" w:color="auto" w:fill="auto"/>
            <w:noWrap/>
            <w:vAlign w:val="center"/>
            <w:hideMark/>
          </w:tcPr>
          <w:p w14:paraId="36D9510F" w14:textId="77777777" w:rsidR="006967AF" w:rsidRPr="00AB315F" w:rsidRDefault="006967AF" w:rsidP="00EC4A80">
            <w:pPr>
              <w:jc w:val="center"/>
              <w:rPr>
                <w:rFonts w:ascii="Calibri" w:hAnsi="Calibri"/>
                <w:sz w:val="22"/>
                <w:szCs w:val="22"/>
              </w:rPr>
            </w:pPr>
            <w:r w:rsidRPr="00AB315F">
              <w:rPr>
                <w:rFonts w:ascii="Calibri" w:hAnsi="Calibri"/>
                <w:sz w:val="22"/>
                <w:szCs w:val="22"/>
              </w:rPr>
              <w:t>0,758</w:t>
            </w:r>
          </w:p>
        </w:tc>
        <w:tc>
          <w:tcPr>
            <w:tcW w:w="960" w:type="dxa"/>
            <w:tcBorders>
              <w:top w:val="nil"/>
              <w:left w:val="single" w:sz="4" w:space="0" w:color="auto"/>
              <w:bottom w:val="single" w:sz="4" w:space="0" w:color="auto"/>
              <w:right w:val="nil"/>
            </w:tcBorders>
            <w:shd w:val="clear" w:color="000000" w:fill="D9D9D9"/>
            <w:noWrap/>
            <w:vAlign w:val="center"/>
            <w:hideMark/>
          </w:tcPr>
          <w:p w14:paraId="4A077461" w14:textId="77777777" w:rsidR="006967AF" w:rsidRPr="00AB315F" w:rsidRDefault="006967AF" w:rsidP="00EC4A80">
            <w:pPr>
              <w:jc w:val="center"/>
              <w:rPr>
                <w:rFonts w:ascii="Calibri" w:hAnsi="Calibri"/>
                <w:sz w:val="22"/>
                <w:szCs w:val="22"/>
              </w:rPr>
            </w:pPr>
            <w:r w:rsidRPr="00AB315F">
              <w:rPr>
                <w:rFonts w:ascii="Calibri" w:hAnsi="Calibri"/>
                <w:sz w:val="22"/>
                <w:szCs w:val="22"/>
              </w:rPr>
              <w:t>2,17</w:t>
            </w:r>
          </w:p>
        </w:tc>
        <w:tc>
          <w:tcPr>
            <w:tcW w:w="960" w:type="dxa"/>
            <w:tcBorders>
              <w:top w:val="nil"/>
              <w:left w:val="single" w:sz="4" w:space="0" w:color="auto"/>
              <w:bottom w:val="single" w:sz="4" w:space="0" w:color="auto"/>
              <w:right w:val="nil"/>
            </w:tcBorders>
            <w:shd w:val="clear" w:color="auto" w:fill="auto"/>
            <w:noWrap/>
            <w:vAlign w:val="center"/>
            <w:hideMark/>
          </w:tcPr>
          <w:p w14:paraId="1B089577" w14:textId="77777777" w:rsidR="006967AF" w:rsidRPr="00AB315F" w:rsidRDefault="006967AF" w:rsidP="00EC4A80">
            <w:pPr>
              <w:jc w:val="center"/>
              <w:rPr>
                <w:rFonts w:ascii="Calibri" w:hAnsi="Calibri"/>
                <w:sz w:val="22"/>
                <w:szCs w:val="22"/>
              </w:rPr>
            </w:pPr>
            <w:r w:rsidRPr="00AB315F">
              <w:rPr>
                <w:rFonts w:ascii="Calibri" w:hAnsi="Calibri"/>
                <w:sz w:val="22"/>
                <w:szCs w:val="22"/>
              </w:rPr>
              <w:t>0,03</w:t>
            </w:r>
          </w:p>
        </w:tc>
      </w:tr>
      <w:tr w:rsidR="006967AF" w:rsidRPr="00AB315F" w14:paraId="3D141F48" w14:textId="77777777" w:rsidTr="001C63EB">
        <w:trPr>
          <w:trHeight w:val="290"/>
        </w:trPr>
        <w:tc>
          <w:tcPr>
            <w:tcW w:w="4700" w:type="dxa"/>
            <w:tcBorders>
              <w:top w:val="nil"/>
              <w:left w:val="nil"/>
              <w:bottom w:val="single" w:sz="4" w:space="0" w:color="auto"/>
              <w:right w:val="nil"/>
            </w:tcBorders>
            <w:shd w:val="clear" w:color="auto" w:fill="auto"/>
            <w:noWrap/>
            <w:vAlign w:val="center"/>
            <w:hideMark/>
          </w:tcPr>
          <w:p w14:paraId="3BFBCA96" w14:textId="77777777" w:rsidR="006967AF" w:rsidRPr="00AB315F" w:rsidRDefault="006967AF" w:rsidP="00EC4A80">
            <w:pPr>
              <w:jc w:val="center"/>
              <w:rPr>
                <w:rFonts w:ascii="Calibri" w:hAnsi="Calibri"/>
                <w:sz w:val="22"/>
                <w:szCs w:val="22"/>
              </w:rPr>
            </w:pPr>
            <w:r w:rsidRPr="00AB315F">
              <w:rPr>
                <w:rFonts w:ascii="Calibri" w:hAnsi="Calibri"/>
                <w:sz w:val="22"/>
                <w:szCs w:val="22"/>
              </w:rPr>
              <w:t xml:space="preserve"> Lê ou escuta as notícias via internet todos os dias</w:t>
            </w:r>
          </w:p>
        </w:tc>
        <w:tc>
          <w:tcPr>
            <w:tcW w:w="960" w:type="dxa"/>
            <w:tcBorders>
              <w:top w:val="nil"/>
              <w:left w:val="single" w:sz="4" w:space="0" w:color="auto"/>
              <w:bottom w:val="single" w:sz="4" w:space="0" w:color="auto"/>
              <w:right w:val="nil"/>
            </w:tcBorders>
            <w:shd w:val="clear" w:color="auto" w:fill="auto"/>
            <w:noWrap/>
            <w:vAlign w:val="center"/>
            <w:hideMark/>
          </w:tcPr>
          <w:p w14:paraId="4597A5EC" w14:textId="77777777" w:rsidR="006967AF" w:rsidRPr="00AB315F" w:rsidRDefault="006967AF" w:rsidP="00EC4A80">
            <w:pPr>
              <w:jc w:val="center"/>
              <w:rPr>
                <w:rFonts w:ascii="Calibri" w:hAnsi="Calibri"/>
                <w:sz w:val="22"/>
                <w:szCs w:val="22"/>
              </w:rPr>
            </w:pPr>
            <w:r w:rsidRPr="00AB315F">
              <w:rPr>
                <w:rFonts w:ascii="Calibri" w:hAnsi="Calibri"/>
                <w:sz w:val="22"/>
                <w:szCs w:val="22"/>
              </w:rPr>
              <w:t>1,187</w:t>
            </w:r>
          </w:p>
        </w:tc>
        <w:tc>
          <w:tcPr>
            <w:tcW w:w="1112" w:type="dxa"/>
            <w:tcBorders>
              <w:top w:val="nil"/>
              <w:left w:val="single" w:sz="4" w:space="0" w:color="auto"/>
              <w:bottom w:val="single" w:sz="4" w:space="0" w:color="auto"/>
              <w:right w:val="nil"/>
            </w:tcBorders>
            <w:shd w:val="clear" w:color="auto" w:fill="auto"/>
            <w:noWrap/>
            <w:vAlign w:val="center"/>
            <w:hideMark/>
          </w:tcPr>
          <w:p w14:paraId="65C528DF" w14:textId="77777777" w:rsidR="006967AF" w:rsidRPr="00AB315F" w:rsidRDefault="006967AF" w:rsidP="00EC4A80">
            <w:pPr>
              <w:jc w:val="center"/>
              <w:rPr>
                <w:rFonts w:ascii="Calibri" w:hAnsi="Calibri"/>
                <w:sz w:val="22"/>
                <w:szCs w:val="22"/>
              </w:rPr>
            </w:pPr>
            <w:r w:rsidRPr="00AB315F">
              <w:rPr>
                <w:rFonts w:ascii="Calibri" w:hAnsi="Calibri"/>
                <w:sz w:val="22"/>
                <w:szCs w:val="22"/>
              </w:rPr>
              <w:t>0,374</w:t>
            </w:r>
          </w:p>
        </w:tc>
        <w:tc>
          <w:tcPr>
            <w:tcW w:w="960" w:type="dxa"/>
            <w:tcBorders>
              <w:top w:val="nil"/>
              <w:left w:val="single" w:sz="4" w:space="0" w:color="auto"/>
              <w:bottom w:val="single" w:sz="4" w:space="0" w:color="auto"/>
              <w:right w:val="nil"/>
            </w:tcBorders>
            <w:shd w:val="clear" w:color="auto" w:fill="auto"/>
            <w:noWrap/>
            <w:vAlign w:val="center"/>
            <w:hideMark/>
          </w:tcPr>
          <w:p w14:paraId="57BDE08E" w14:textId="77777777" w:rsidR="006967AF" w:rsidRPr="00AB315F" w:rsidRDefault="006967AF" w:rsidP="00EC4A80">
            <w:pPr>
              <w:jc w:val="center"/>
              <w:rPr>
                <w:rFonts w:ascii="Calibri" w:hAnsi="Calibri"/>
                <w:sz w:val="22"/>
                <w:szCs w:val="22"/>
              </w:rPr>
            </w:pPr>
            <w:r w:rsidRPr="00AB315F">
              <w:rPr>
                <w:rFonts w:ascii="Calibri" w:hAnsi="Calibri"/>
                <w:sz w:val="22"/>
                <w:szCs w:val="22"/>
              </w:rPr>
              <w:t>0,54</w:t>
            </w:r>
          </w:p>
        </w:tc>
        <w:tc>
          <w:tcPr>
            <w:tcW w:w="960" w:type="dxa"/>
            <w:tcBorders>
              <w:top w:val="nil"/>
              <w:left w:val="single" w:sz="4" w:space="0" w:color="auto"/>
              <w:bottom w:val="single" w:sz="4" w:space="0" w:color="auto"/>
              <w:right w:val="nil"/>
            </w:tcBorders>
            <w:shd w:val="clear" w:color="auto" w:fill="auto"/>
            <w:noWrap/>
            <w:vAlign w:val="center"/>
            <w:hideMark/>
          </w:tcPr>
          <w:p w14:paraId="2A5C96DB" w14:textId="77777777" w:rsidR="006967AF" w:rsidRPr="00AB315F" w:rsidRDefault="006967AF" w:rsidP="00EC4A80">
            <w:pPr>
              <w:jc w:val="center"/>
              <w:rPr>
                <w:rFonts w:ascii="Calibri" w:hAnsi="Calibri"/>
                <w:sz w:val="22"/>
                <w:szCs w:val="22"/>
              </w:rPr>
            </w:pPr>
            <w:r w:rsidRPr="00AB315F">
              <w:rPr>
                <w:rFonts w:ascii="Calibri" w:hAnsi="Calibri"/>
                <w:sz w:val="22"/>
                <w:szCs w:val="22"/>
              </w:rPr>
              <w:t>0,586</w:t>
            </w:r>
          </w:p>
        </w:tc>
      </w:tr>
    </w:tbl>
    <w:p w14:paraId="28842157" w14:textId="77777777" w:rsidR="006967AF" w:rsidRDefault="006967AF" w:rsidP="006967AF">
      <w:pPr>
        <w:ind w:firstLine="708"/>
        <w:rPr>
          <w:rFonts w:asciiTheme="minorHAnsi" w:hAnsiTheme="minorHAnsi"/>
          <w:lang w:val="en-US"/>
        </w:rPr>
      </w:pPr>
    </w:p>
    <w:p w14:paraId="610E1A18" w14:textId="77777777" w:rsidR="00341831" w:rsidRDefault="00341831" w:rsidP="006967AF">
      <w:pPr>
        <w:ind w:firstLine="708"/>
        <w:rPr>
          <w:rFonts w:asciiTheme="minorHAnsi" w:hAnsiTheme="minorHAnsi"/>
          <w:lang w:val="en-US"/>
        </w:rPr>
      </w:pPr>
    </w:p>
    <w:sectPr w:rsidR="00341831" w:rsidSect="00CC116A">
      <w:footerReference w:type="default" r:id="rId26"/>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71A237" w14:textId="77777777" w:rsidR="005D065B" w:rsidRDefault="005D065B" w:rsidP="006B3CA5">
      <w:r>
        <w:separator/>
      </w:r>
    </w:p>
  </w:endnote>
  <w:endnote w:type="continuationSeparator" w:id="0">
    <w:p w14:paraId="3A61FC52" w14:textId="77777777" w:rsidR="005D065B" w:rsidRDefault="005D065B" w:rsidP="006B3C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Neue-Bold">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Minion-Regular">
    <w:panose1 w:val="00000000000000000000"/>
    <w:charset w:val="00"/>
    <w:family w:val="roman"/>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EFF" w:usb1="C0007843" w:usb2="00000009" w:usb3="00000000" w:csb0="000001FF" w:csb1="00000000"/>
  </w:font>
  <w:font w:name="Helvetica-Oblique">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System">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8685908"/>
      <w:docPartObj>
        <w:docPartGallery w:val="Page Numbers (Bottom of Page)"/>
        <w:docPartUnique/>
      </w:docPartObj>
    </w:sdtPr>
    <w:sdtContent>
      <w:p w14:paraId="23B0263E" w14:textId="029CBB22" w:rsidR="005D065B" w:rsidRDefault="005D065B">
        <w:pPr>
          <w:pStyle w:val="Rodap"/>
          <w:jc w:val="right"/>
        </w:pPr>
        <w:r>
          <w:fldChar w:fldCharType="begin"/>
        </w:r>
        <w:r>
          <w:instrText>PAGE   \* MERGEFORMAT</w:instrText>
        </w:r>
        <w:r>
          <w:fldChar w:fldCharType="separate"/>
        </w:r>
        <w:r w:rsidR="00AC1E07">
          <w:rPr>
            <w:noProof/>
          </w:rPr>
          <w:t>3</w:t>
        </w:r>
        <w:r>
          <w:fldChar w:fldCharType="end"/>
        </w:r>
      </w:p>
    </w:sdtContent>
  </w:sdt>
  <w:p w14:paraId="509F619B" w14:textId="77777777" w:rsidR="005D065B" w:rsidRDefault="005D065B">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245970" w14:textId="77777777" w:rsidR="005D065B" w:rsidRDefault="005D065B" w:rsidP="006B3CA5">
      <w:r>
        <w:separator/>
      </w:r>
    </w:p>
  </w:footnote>
  <w:footnote w:type="continuationSeparator" w:id="0">
    <w:p w14:paraId="5D23C5DA" w14:textId="77777777" w:rsidR="005D065B" w:rsidRDefault="005D065B" w:rsidP="006B3CA5">
      <w:r>
        <w:continuationSeparator/>
      </w:r>
    </w:p>
  </w:footnote>
  <w:footnote w:id="1">
    <w:p w14:paraId="06A9EE06" w14:textId="77777777" w:rsidR="005D065B" w:rsidRPr="00E26CF0" w:rsidRDefault="005D065B" w:rsidP="00D50181">
      <w:pPr>
        <w:rPr>
          <w:rFonts w:asciiTheme="minorHAnsi" w:hAnsiTheme="minorHAnsi"/>
          <w:sz w:val="18"/>
          <w:szCs w:val="18"/>
        </w:rPr>
      </w:pPr>
      <w:r>
        <w:rPr>
          <w:rStyle w:val="Refdenotaderodap"/>
        </w:rPr>
        <w:footnoteRef/>
      </w:r>
      <w:r w:rsidRPr="00E26CF0">
        <w:rPr>
          <w:rFonts w:asciiTheme="minorHAnsi" w:hAnsiTheme="minorHAnsi"/>
          <w:sz w:val="18"/>
          <w:szCs w:val="18"/>
        </w:rPr>
        <w:t>Experimentos nesta área tem demonstrado bom desempenho em descrever e explicar trajetórias causais (</w:t>
      </w:r>
      <w:r w:rsidRPr="00E26CF0">
        <w:rPr>
          <w:rFonts w:asciiTheme="minorHAnsi" w:hAnsiTheme="minorHAnsi" w:cs="Arial"/>
          <w:sz w:val="18"/>
          <w:szCs w:val="18"/>
        </w:rPr>
        <w:t xml:space="preserve">Armantier  Boly, 2008; </w:t>
      </w:r>
      <w:r w:rsidRPr="00E26CF0">
        <w:rPr>
          <w:rFonts w:asciiTheme="minorHAnsi" w:hAnsiTheme="minorHAnsi"/>
          <w:sz w:val="18"/>
          <w:szCs w:val="18"/>
        </w:rPr>
        <w:t>Frank and Schulze, 2000; and Abbink, Irlenbusch, and Renner, 2002). Mas grande parte da literatura sustenta inferências a partir de dados coletados em surveys.</w:t>
      </w:r>
    </w:p>
  </w:footnote>
  <w:footnote w:id="2">
    <w:p w14:paraId="401D05C4" w14:textId="77777777" w:rsidR="005D065B" w:rsidRDefault="005D065B" w:rsidP="00D50181">
      <w:pPr>
        <w:pStyle w:val="Textodenotaderodap"/>
        <w:jc w:val="both"/>
      </w:pPr>
      <w:r>
        <w:rPr>
          <w:rStyle w:val="Refdenotaderodap"/>
        </w:rPr>
        <w:footnoteRef/>
      </w:r>
      <w:r>
        <w:t xml:space="preserve"> Ou variável latente é um conceito que pode ser definido em termos teóricos mas não pode ser diretamente medido, logo, utiliza-se indicadores observáveis para medir o constructo de forma indireta (Hair et al, 2005). </w:t>
      </w:r>
    </w:p>
  </w:footnote>
  <w:footnote w:id="3">
    <w:p w14:paraId="347302C6" w14:textId="77777777" w:rsidR="005D065B" w:rsidRDefault="005D065B" w:rsidP="00D50181">
      <w:pPr>
        <w:pStyle w:val="Textodenotaderodap"/>
        <w:jc w:val="both"/>
      </w:pPr>
      <w:r>
        <w:rPr>
          <w:rStyle w:val="Refdenotaderodap"/>
        </w:rPr>
        <w:footnoteRef/>
      </w:r>
      <w:r>
        <w:t xml:space="preserve"> Define-se como indicador reflexivo a partir dos quatro critérios de Jarvis et al (2003): direção de causalidade, intercambialidade dos indicadores observáveis, covariação entre os indicadores, rede nomológica dos indicadores. </w:t>
      </w:r>
    </w:p>
  </w:footnote>
  <w:footnote w:id="4">
    <w:p w14:paraId="5F186F1D" w14:textId="77777777" w:rsidR="005D065B" w:rsidRDefault="005D065B" w:rsidP="00D50181">
      <w:pPr>
        <w:pStyle w:val="Textodenotaderodap"/>
        <w:jc w:val="both"/>
      </w:pPr>
      <w:r>
        <w:rPr>
          <w:rStyle w:val="Refdenotaderodap"/>
        </w:rPr>
        <w:footnoteRef/>
      </w:r>
      <w:r>
        <w:t xml:space="preserve"> </w:t>
      </w:r>
      <w:r w:rsidRPr="00AE5110">
        <w:rPr>
          <w:rFonts w:asciiTheme="minorHAnsi" w:hAnsiTheme="minorHAnsi"/>
        </w:rPr>
        <w:t>Todos os possíveis problemas citados que envolvem a abordagem do tema da aceitação da corrupção, não são questões de validade externa, ou seja, relacionada à inferência causal, antes, são problemas referentes à mensuração e operacionalização do conceito de aceitação.</w:t>
      </w:r>
    </w:p>
  </w:footnote>
  <w:footnote w:id="5">
    <w:p w14:paraId="34DE6BD0" w14:textId="77777777" w:rsidR="005D065B" w:rsidRDefault="005D065B" w:rsidP="001F2BF2">
      <w:pPr>
        <w:pStyle w:val="Textodenotaderodap"/>
      </w:pPr>
      <w:r w:rsidRPr="001B6647">
        <w:rPr>
          <w:rStyle w:val="Refdenotaderodap"/>
          <w:rFonts w:asciiTheme="minorHAnsi" w:hAnsiTheme="minorHAnsi"/>
          <w:sz w:val="18"/>
        </w:rPr>
        <w:footnoteRef/>
      </w:r>
      <w:r w:rsidRPr="001B6647">
        <w:rPr>
          <w:rFonts w:asciiTheme="minorHAnsi" w:hAnsiTheme="minorHAnsi"/>
          <w:sz w:val="18"/>
        </w:rPr>
        <w:t xml:space="preserve"> Esta questão é ainda mais forte em surveys do tipo cross-section. Surveys longitudinais podem ajudar a distinguir a direção causal, mas nem sempre é possível.</w:t>
      </w:r>
    </w:p>
  </w:footnote>
  <w:footnote w:id="6">
    <w:p w14:paraId="53DAE6CC" w14:textId="77777777" w:rsidR="005D065B" w:rsidRDefault="005D065B" w:rsidP="001F2BF2">
      <w:pPr>
        <w:pStyle w:val="Textodenotaderodap"/>
      </w:pPr>
      <w:r>
        <w:rPr>
          <w:rStyle w:val="Refdenotaderodap"/>
        </w:rPr>
        <w:footnoteRef/>
      </w:r>
      <w:r>
        <w:t xml:space="preserve"> Um efeito conhecido é o de “atenuação”, quando erros aleatórios reduzem a magnitude das correlações entre variáveis. </w:t>
      </w:r>
    </w:p>
  </w:footnote>
  <w:footnote w:id="7">
    <w:p w14:paraId="0FD510F4" w14:textId="77777777" w:rsidR="005D065B" w:rsidRDefault="005D065B" w:rsidP="001F2BF2">
      <w:pPr>
        <w:jc w:val="both"/>
      </w:pPr>
      <w:r w:rsidRPr="001B6647">
        <w:rPr>
          <w:rStyle w:val="Refdenotaderodap"/>
          <w:sz w:val="20"/>
        </w:rPr>
        <w:footnoteRef/>
      </w:r>
      <w:r>
        <w:t xml:space="preserve"> </w:t>
      </w:r>
      <w:r w:rsidRPr="001B6647">
        <w:rPr>
          <w:rFonts w:asciiTheme="minorHAnsi" w:hAnsiTheme="minorHAnsi"/>
          <w:sz w:val="18"/>
        </w:rPr>
        <w:t xml:space="preserve">Outros problemas inerentes à coleta de dados por surveys, foram apresentados e demonstrados por Bertranda e Mullainathan (2000). Por exemplo, os autores  discorrem sobre como simples manipulações nos questionários podem evidenciar vários problemas inerentes à aplicação de surveys. </w:t>
      </w:r>
    </w:p>
  </w:footnote>
  <w:footnote w:id="8">
    <w:p w14:paraId="66A0B1AD" w14:textId="77777777" w:rsidR="005D065B" w:rsidRPr="00922079" w:rsidRDefault="005D065B" w:rsidP="00922079">
      <w:pPr>
        <w:ind w:firstLine="708"/>
        <w:jc w:val="both"/>
        <w:rPr>
          <w:rFonts w:asciiTheme="minorHAnsi" w:hAnsiTheme="minorHAnsi"/>
          <w:sz w:val="20"/>
          <w:szCs w:val="20"/>
        </w:rPr>
      </w:pPr>
      <w:r w:rsidRPr="00922079">
        <w:rPr>
          <w:rStyle w:val="Refdenotaderodap"/>
          <w:rFonts w:asciiTheme="minorHAnsi" w:hAnsiTheme="minorHAnsi"/>
          <w:sz w:val="20"/>
          <w:szCs w:val="20"/>
        </w:rPr>
        <w:footnoteRef/>
      </w:r>
      <w:r w:rsidRPr="00922079">
        <w:rPr>
          <w:rFonts w:asciiTheme="minorHAnsi" w:hAnsiTheme="minorHAnsi"/>
          <w:sz w:val="20"/>
          <w:szCs w:val="20"/>
        </w:rPr>
        <w:t xml:space="preserve"> Resultados das pesquisas de Presser e Stinson (1998) sugerem que norte-americanos, em pesquisas com questionários auto aplicados, tendem a declarar frequência à cultos religiosos três vezes menores do que em pesquisas com entrevistadores.   </w:t>
      </w:r>
    </w:p>
    <w:p w14:paraId="4A0E7185" w14:textId="710D7599" w:rsidR="005D065B" w:rsidRDefault="005D065B">
      <w:pPr>
        <w:pStyle w:val="Textodenotaderodap"/>
      </w:pPr>
    </w:p>
  </w:footnote>
  <w:footnote w:id="9">
    <w:p w14:paraId="7A533019" w14:textId="77777777" w:rsidR="005D065B" w:rsidRDefault="005D065B" w:rsidP="001F2BF2">
      <w:pPr>
        <w:pStyle w:val="Textodenotaderodap"/>
      </w:pPr>
      <w:r>
        <w:rPr>
          <w:rStyle w:val="Refdenotaderodap"/>
        </w:rPr>
        <w:footnoteRef/>
      </w:r>
      <w:r>
        <w:t xml:space="preserve"> </w:t>
      </w:r>
      <w:r w:rsidRPr="00AB315F">
        <w:rPr>
          <w:rFonts w:asciiTheme="minorHAnsi" w:hAnsiTheme="minorHAnsi"/>
          <w:lang w:val="pt-PT"/>
        </w:rPr>
        <w:t>Neste caso, rodiziar a leitura dos itens de resposta pode amenizar as chances de “não-atitude”.</w:t>
      </w:r>
    </w:p>
  </w:footnote>
  <w:footnote w:id="10">
    <w:p w14:paraId="0AEADF2F" w14:textId="77777777" w:rsidR="005D065B" w:rsidRDefault="005D065B" w:rsidP="00D71807">
      <w:pPr>
        <w:pStyle w:val="Textodenotaderodap"/>
      </w:pPr>
      <w:r>
        <w:rPr>
          <w:rStyle w:val="Refdenotaderodap"/>
        </w:rPr>
        <w:footnoteRef/>
      </w:r>
      <w:r>
        <w:t xml:space="preserve"> Também referido como “consciência nacional”, “humor nacional” “Zeitgesit” ou “espírito da época” (Kingdon 1984; Lippmann 1922; Noelle-Neumann 1995; Stimson 1991)</w:t>
      </w:r>
    </w:p>
  </w:footnote>
  <w:footnote w:id="11">
    <w:p w14:paraId="2F7AB718" w14:textId="77777777" w:rsidR="005D065B" w:rsidRPr="00535A9B" w:rsidRDefault="005D065B" w:rsidP="00535A9B">
      <w:pPr>
        <w:spacing w:line="276" w:lineRule="auto"/>
        <w:jc w:val="both"/>
        <w:rPr>
          <w:rFonts w:asciiTheme="minorHAnsi" w:hAnsiTheme="minorHAnsi"/>
          <w:sz w:val="20"/>
          <w:szCs w:val="20"/>
        </w:rPr>
      </w:pPr>
      <w:r w:rsidRPr="00535A9B">
        <w:rPr>
          <w:rStyle w:val="Refdenotaderodap"/>
          <w:rFonts w:asciiTheme="minorHAnsi" w:hAnsiTheme="minorHAnsi"/>
          <w:sz w:val="20"/>
          <w:szCs w:val="20"/>
        </w:rPr>
        <w:footnoteRef/>
      </w:r>
      <w:r w:rsidRPr="00535A9B">
        <w:rPr>
          <w:rFonts w:asciiTheme="minorHAnsi" w:hAnsiTheme="minorHAnsi"/>
          <w:sz w:val="20"/>
          <w:szCs w:val="20"/>
        </w:rPr>
        <w:t xml:space="preserve"> O autor define elite política como o conjunto de pessoas que dedica todo o seu tempo para tratar de aspectos a respeito do debate político e público. São exemplos de integrantes da elite política os funcionários públicos de altos escalões, jornalistas e atividades de organizações da sociedade civil. </w:t>
      </w:r>
    </w:p>
    <w:p w14:paraId="6C6B0CAA" w14:textId="47976C4F" w:rsidR="005D065B" w:rsidRDefault="005D065B">
      <w:pPr>
        <w:pStyle w:val="Textodenotaderodap"/>
      </w:pPr>
    </w:p>
  </w:footnote>
  <w:footnote w:id="12">
    <w:p w14:paraId="6857E57C" w14:textId="61B697F2" w:rsidR="005D065B" w:rsidRDefault="005D065B">
      <w:pPr>
        <w:pStyle w:val="Textodenotaderodap"/>
      </w:pPr>
      <w:r>
        <w:rPr>
          <w:rStyle w:val="Refdenotaderodap"/>
        </w:rPr>
        <w:footnoteRef/>
      </w:r>
      <w:r>
        <w:t xml:space="preserve"> </w:t>
      </w:r>
      <w:r w:rsidRPr="00AC063C">
        <w:rPr>
          <w:rFonts w:asciiTheme="minorHAnsi" w:hAnsiTheme="minorHAnsi"/>
          <w:sz w:val="18"/>
        </w:rPr>
        <w:t>Ao lado da vertente culturalista, a perspectiva econômica também é mobilizada para explicar relações de causa e efeitos da aceitação da corrupção.</w:t>
      </w:r>
      <w:r w:rsidRPr="00AC063C">
        <w:rPr>
          <w:sz w:val="18"/>
        </w:rPr>
        <w:t xml:space="preserve"> </w:t>
      </w:r>
    </w:p>
  </w:footnote>
  <w:footnote w:id="13">
    <w:p w14:paraId="683C2C3E" w14:textId="4F956167" w:rsidR="005D065B" w:rsidRPr="00390658" w:rsidRDefault="005D065B">
      <w:pPr>
        <w:pStyle w:val="Textodenotaderodap"/>
        <w:rPr>
          <w:sz w:val="16"/>
          <w:szCs w:val="16"/>
        </w:rPr>
      </w:pPr>
      <w:r>
        <w:rPr>
          <w:rStyle w:val="Refdenotaderodap"/>
        </w:rPr>
        <w:footnoteRef/>
      </w:r>
      <w:r>
        <w:t xml:space="preserve"> </w:t>
      </w:r>
      <w:r>
        <w:rPr>
          <w:sz w:val="16"/>
        </w:rPr>
        <w:t xml:space="preserve">Mesmo que a literatura não se posicione assim, poderíamos dizer que considerar tais atos como corruptos a nível do cotidiano é condizente com a definição proposta por Heidenheimer (1970) quanto a corrupção atrelada à ideia de “bem público”. Neste caso </w:t>
      </w:r>
      <w:r w:rsidRPr="00390658">
        <w:rPr>
          <w:rFonts w:eastAsia="SimSun"/>
          <w:iCs/>
          <w:sz w:val="16"/>
          <w:szCs w:val="16"/>
        </w:rPr>
        <w:t>uma prática é considerada como corrupta quando o interesse comum, pensando como algo que tem existência e pode ser identificado, é violado em função da preocupação com ganhos particulares</w:t>
      </w:r>
    </w:p>
  </w:footnote>
  <w:footnote w:id="14">
    <w:p w14:paraId="62D38C80" w14:textId="77777777" w:rsidR="005D065B" w:rsidRPr="00E22285" w:rsidRDefault="005D065B" w:rsidP="005A7075">
      <w:pPr>
        <w:pStyle w:val="Textodenotaderodap"/>
      </w:pPr>
      <w:r>
        <w:rPr>
          <w:rStyle w:val="Refdenotaderodap"/>
        </w:rPr>
        <w:footnoteRef/>
      </w:r>
      <w:r w:rsidRPr="00C1356D">
        <w:t xml:space="preserve"> V</w:t>
      </w:r>
      <w:r>
        <w:t>alidade de mensuração</w:t>
      </w:r>
      <w:r w:rsidRPr="00C1356D">
        <w:t xml:space="preserve"> é distinta da validade de inferências causais, como foi problematizado por Cook e Campbell (1979) e definida como</w:t>
      </w:r>
      <w:r>
        <w:t xml:space="preserve"> validade interna e externa das inferências de causa e efeito. </w:t>
      </w:r>
    </w:p>
  </w:footnote>
  <w:footnote w:id="15">
    <w:p w14:paraId="68C20335" w14:textId="77777777" w:rsidR="005D065B" w:rsidRDefault="005D065B" w:rsidP="005A7075">
      <w:pPr>
        <w:pStyle w:val="Textodenotaderodap"/>
      </w:pPr>
      <w:r>
        <w:rPr>
          <w:rStyle w:val="Refdenotaderodap"/>
        </w:rPr>
        <w:footnoteRef/>
      </w:r>
      <w:r>
        <w:t xml:space="preserve"> Quando indicadores possuem boa correlação entre si, modelos de equação estrutural podem ser úteis para estimar o grau em que estas altas correlações são derivadas de um viés sistemático compartilhado.</w:t>
      </w:r>
    </w:p>
  </w:footnote>
  <w:footnote w:id="16">
    <w:p w14:paraId="2219492A" w14:textId="77777777" w:rsidR="005D065B" w:rsidRDefault="005D065B" w:rsidP="001554C3">
      <w:pPr>
        <w:pStyle w:val="Textodenotaderodap"/>
      </w:pPr>
      <w:r>
        <w:rPr>
          <w:rStyle w:val="Refdenotaderodap"/>
        </w:rPr>
        <w:footnoteRef/>
      </w:r>
      <w:r>
        <w:t xml:space="preserve"> Resultado da análise de variância rejeita a hipótese nula de que as médias populacionais da aceitação da corrupção são todas iguais para as categorias de idade.</w:t>
      </w:r>
    </w:p>
  </w:footnote>
  <w:footnote w:id="17">
    <w:p w14:paraId="7C79CCE0" w14:textId="77777777" w:rsidR="005D065B" w:rsidRPr="00FB5C49" w:rsidRDefault="005D065B" w:rsidP="00B11466">
      <w:pPr>
        <w:pStyle w:val="Textodenotaderodap"/>
        <w:jc w:val="both"/>
        <w:rPr>
          <w:sz w:val="16"/>
        </w:rPr>
      </w:pPr>
      <w:r>
        <w:rPr>
          <w:rStyle w:val="Refdenotaderodap"/>
        </w:rPr>
        <w:footnoteRef/>
      </w:r>
      <w:r>
        <w:t xml:space="preserve"> Validação de conteúdo - explorada adiante – é um tipo de validação que está associada à sistematização do conceito, basicamente </w:t>
      </w:r>
      <w:r w:rsidRPr="00FB5C49">
        <w:rPr>
          <w:szCs w:val="24"/>
        </w:rPr>
        <w:t>questiona se o indicador capta o conteúdo sistemático do conceito, se pode ser replicável a perguntas futuras, se existem elementos chaves omitidos no indicador e se existem elementos inapropriados incluídos ao indicador</w:t>
      </w:r>
    </w:p>
    <w:p w14:paraId="67B599A5" w14:textId="77777777" w:rsidR="005D065B" w:rsidRDefault="005D065B" w:rsidP="00B11466">
      <w:pPr>
        <w:pStyle w:val="Textodenotaderodap"/>
      </w:pPr>
    </w:p>
  </w:footnote>
  <w:footnote w:id="18">
    <w:p w14:paraId="3CD43AEA" w14:textId="77777777" w:rsidR="005D065B" w:rsidRDefault="005D065B" w:rsidP="00AE7131">
      <w:r>
        <w:rPr>
          <w:rStyle w:val="Refdenotaderodap"/>
        </w:rPr>
        <w:footnoteRef/>
      </w:r>
      <w:r>
        <w:t xml:space="preserve"> </w:t>
      </w:r>
      <w:r w:rsidRPr="00AC327D">
        <w:rPr>
          <w:sz w:val="18"/>
        </w:rPr>
        <w:t xml:space="preserve">No caso do estudo: EUA, Canadá e Austrália - atitudes que poderiam ser enquadradas legalmente como crimes de corrupção, não foram considerados atos corruptos por grande parte da população.  Os autores aplicaram questionários indagavam aos entrevistados sua avaliação sobre determinado ato ser uma prática corrupta ou não. Foram encontradas claras diferenças entre aquilo que norte-americanos, canadenses e australianos avaliam como sendo corrupto. As diferenças entre contextos são tão claras quanto a distância que existe entre a norma (lei) e a possível conduta dos entrevistados. A metodologia dos trabalhos de Peters e Welchs fora replicada nas três décadas seguintes, além confirmar as diferenças entre </w:t>
      </w:r>
      <w:r>
        <w:rPr>
          <w:sz w:val="18"/>
        </w:rPr>
        <w:t>c</w:t>
      </w:r>
      <w:r w:rsidRPr="00AC327D">
        <w:rPr>
          <w:sz w:val="18"/>
        </w:rPr>
        <w:t>ontextos os trabalhos procedentes ainda verificaram variações ao longo do tempo.</w:t>
      </w:r>
    </w:p>
    <w:p w14:paraId="34E4F308" w14:textId="77777777" w:rsidR="005D065B" w:rsidRDefault="005D065B" w:rsidP="00AE7131">
      <w:pPr>
        <w:pStyle w:val="Textodenotaderodap"/>
      </w:pPr>
    </w:p>
  </w:footnote>
  <w:footnote w:id="19">
    <w:p w14:paraId="6ACB55E8" w14:textId="65471190" w:rsidR="005D065B" w:rsidRDefault="005D065B">
      <w:pPr>
        <w:pStyle w:val="Textodenotaderodap"/>
      </w:pPr>
      <w:r>
        <w:rPr>
          <w:rStyle w:val="Refdenotaderodap"/>
        </w:rPr>
        <w:footnoteRef/>
      </w:r>
      <w:r>
        <w:t xml:space="preserve"> Utiliza-se a matriz de </w:t>
      </w:r>
      <w:r w:rsidRPr="00AB315F">
        <w:rPr>
          <w:rFonts w:asciiTheme="minorHAnsi" w:hAnsiTheme="minorHAnsi"/>
        </w:rPr>
        <w:t xml:space="preserve">correlações </w:t>
      </w:r>
      <w:r w:rsidRPr="00AB315F">
        <w:rPr>
          <w:rStyle w:val="hps"/>
          <w:rFonts w:asciiTheme="minorHAnsi" w:hAnsiTheme="minorHAnsi"/>
          <w:lang w:val="pt-PT"/>
        </w:rPr>
        <w:t>policóricas</w:t>
      </w:r>
      <w:r>
        <w:rPr>
          <w:rStyle w:val="hps"/>
          <w:rFonts w:asciiTheme="minorHAnsi" w:hAnsiTheme="minorHAnsi"/>
          <w:lang w:val="pt-PT"/>
        </w:rPr>
        <w:t xml:space="preserve"> para estimação da AFE.</w:t>
      </w:r>
    </w:p>
  </w:footnote>
  <w:footnote w:id="20">
    <w:p w14:paraId="392ADD87" w14:textId="434D79C2" w:rsidR="005D065B" w:rsidRPr="002F318F" w:rsidRDefault="005D065B">
      <w:pPr>
        <w:pStyle w:val="Textodenotaderodap"/>
      </w:pPr>
      <w:r>
        <w:rPr>
          <w:rStyle w:val="Refdenotaderodap"/>
        </w:rPr>
        <w:footnoteRef/>
      </w:r>
      <w:r>
        <w:t xml:space="preserve"> Considerando </w:t>
      </w:r>
      <w:r>
        <w:rPr>
          <w:i/>
        </w:rPr>
        <w:t xml:space="preserve">eigenvalues </w:t>
      </w:r>
      <w:r>
        <w:t>iguais ou maiores que 1</w:t>
      </w:r>
    </w:p>
  </w:footnote>
  <w:footnote w:id="21">
    <w:p w14:paraId="71201BAE" w14:textId="3D4ED08B" w:rsidR="005D065B" w:rsidRDefault="005D065B">
      <w:pPr>
        <w:pStyle w:val="Textodenotaderodap"/>
      </w:pPr>
      <w:r>
        <w:rPr>
          <w:rStyle w:val="Refdenotaderodap"/>
        </w:rPr>
        <w:footnoteRef/>
      </w:r>
      <w:r>
        <w:t xml:space="preserve"> O valor aceitável para AVE é de 0,5 (50%)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54D76"/>
    <w:multiLevelType w:val="hybridMultilevel"/>
    <w:tmpl w:val="EBCA26C4"/>
    <w:lvl w:ilvl="0" w:tplc="C30E9756">
      <w:start w:val="1"/>
      <w:numFmt w:val="bullet"/>
      <w:lvlText w:val="•"/>
      <w:lvlJc w:val="left"/>
      <w:pPr>
        <w:tabs>
          <w:tab w:val="num" w:pos="720"/>
        </w:tabs>
        <w:ind w:left="720" w:hanging="360"/>
      </w:pPr>
      <w:rPr>
        <w:rFonts w:ascii="Arial" w:hAnsi="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2AC36C7"/>
    <w:multiLevelType w:val="hybridMultilevel"/>
    <w:tmpl w:val="7C565708"/>
    <w:lvl w:ilvl="0" w:tplc="21BA2504">
      <w:start w:val="1"/>
      <w:numFmt w:val="decimal"/>
      <w:lvlText w:val="P%1."/>
      <w:lvlJc w:val="left"/>
      <w:pPr>
        <w:ind w:left="644" w:hanging="360"/>
      </w:pPr>
      <w:rPr>
        <w:rFonts w:ascii="Arial" w:hAnsi="Arial" w:hint="default"/>
        <w:b/>
        <w:i w:val="0"/>
        <w:sz w:val="18"/>
        <w:szCs w:val="18"/>
      </w:rPr>
    </w:lvl>
    <w:lvl w:ilvl="1" w:tplc="04160019" w:tentative="1">
      <w:start w:val="1"/>
      <w:numFmt w:val="lowerLetter"/>
      <w:lvlText w:val="%2."/>
      <w:lvlJc w:val="left"/>
      <w:pPr>
        <w:ind w:left="1389" w:hanging="360"/>
      </w:pPr>
    </w:lvl>
    <w:lvl w:ilvl="2" w:tplc="0416001B" w:tentative="1">
      <w:start w:val="1"/>
      <w:numFmt w:val="lowerRoman"/>
      <w:lvlText w:val="%3."/>
      <w:lvlJc w:val="right"/>
      <w:pPr>
        <w:ind w:left="2109" w:hanging="180"/>
      </w:pPr>
    </w:lvl>
    <w:lvl w:ilvl="3" w:tplc="0416000F" w:tentative="1">
      <w:start w:val="1"/>
      <w:numFmt w:val="decimal"/>
      <w:lvlText w:val="%4."/>
      <w:lvlJc w:val="left"/>
      <w:pPr>
        <w:ind w:left="2829" w:hanging="360"/>
      </w:pPr>
    </w:lvl>
    <w:lvl w:ilvl="4" w:tplc="04160019" w:tentative="1">
      <w:start w:val="1"/>
      <w:numFmt w:val="lowerLetter"/>
      <w:lvlText w:val="%5."/>
      <w:lvlJc w:val="left"/>
      <w:pPr>
        <w:ind w:left="3549" w:hanging="360"/>
      </w:pPr>
    </w:lvl>
    <w:lvl w:ilvl="5" w:tplc="0416001B" w:tentative="1">
      <w:start w:val="1"/>
      <w:numFmt w:val="lowerRoman"/>
      <w:lvlText w:val="%6."/>
      <w:lvlJc w:val="right"/>
      <w:pPr>
        <w:ind w:left="4269" w:hanging="180"/>
      </w:pPr>
    </w:lvl>
    <w:lvl w:ilvl="6" w:tplc="0416000F" w:tentative="1">
      <w:start w:val="1"/>
      <w:numFmt w:val="decimal"/>
      <w:lvlText w:val="%7."/>
      <w:lvlJc w:val="left"/>
      <w:pPr>
        <w:ind w:left="4989" w:hanging="360"/>
      </w:pPr>
    </w:lvl>
    <w:lvl w:ilvl="7" w:tplc="04160019" w:tentative="1">
      <w:start w:val="1"/>
      <w:numFmt w:val="lowerLetter"/>
      <w:lvlText w:val="%8."/>
      <w:lvlJc w:val="left"/>
      <w:pPr>
        <w:ind w:left="5709" w:hanging="360"/>
      </w:pPr>
    </w:lvl>
    <w:lvl w:ilvl="8" w:tplc="0416001B" w:tentative="1">
      <w:start w:val="1"/>
      <w:numFmt w:val="lowerRoman"/>
      <w:lvlText w:val="%9."/>
      <w:lvlJc w:val="right"/>
      <w:pPr>
        <w:ind w:left="6429" w:hanging="180"/>
      </w:pPr>
    </w:lvl>
  </w:abstractNum>
  <w:abstractNum w:abstractNumId="2" w15:restartNumberingAfterBreak="0">
    <w:nsid w:val="040A35B4"/>
    <w:multiLevelType w:val="hybridMultilevel"/>
    <w:tmpl w:val="5758445C"/>
    <w:lvl w:ilvl="0" w:tplc="0AEECB4A">
      <w:start w:val="1"/>
      <w:numFmt w:val="decimal"/>
      <w:lvlText w:val="%1-"/>
      <w:lvlJc w:val="left"/>
      <w:pPr>
        <w:ind w:left="720" w:hanging="36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7D5316C"/>
    <w:multiLevelType w:val="multilevel"/>
    <w:tmpl w:val="45D8C4A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3502AC5"/>
    <w:multiLevelType w:val="multilevel"/>
    <w:tmpl w:val="1F6CCD90"/>
    <w:lvl w:ilvl="0">
      <w:start w:val="1"/>
      <w:numFmt w:val="decimal"/>
      <w:lvlText w:val="%1."/>
      <w:lvlJc w:val="left"/>
      <w:pPr>
        <w:ind w:left="410" w:hanging="4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7EB4201"/>
    <w:multiLevelType w:val="hybridMultilevel"/>
    <w:tmpl w:val="F8E634A6"/>
    <w:lvl w:ilvl="0" w:tplc="06F423D4">
      <w:start w:val="400"/>
      <w:numFmt w:val="bullet"/>
      <w:lvlText w:val="-"/>
      <w:lvlJc w:val="left"/>
      <w:pPr>
        <w:ind w:left="720" w:hanging="360"/>
      </w:pPr>
      <w:rPr>
        <w:rFonts w:ascii="Arial" w:eastAsia="Times New Roman" w:hAnsi="Aria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17F67312"/>
    <w:multiLevelType w:val="hybridMultilevel"/>
    <w:tmpl w:val="B7A81F3E"/>
    <w:lvl w:ilvl="0" w:tplc="AE78B65E">
      <w:start w:val="1"/>
      <w:numFmt w:val="decimal"/>
      <w:lvlText w:val="%1-"/>
      <w:lvlJc w:val="left"/>
      <w:pPr>
        <w:ind w:left="1068" w:hanging="360"/>
      </w:pPr>
      <w:rPr>
        <w:rFonts w:cs="HelveticaNeue-Bold"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7" w15:restartNumberingAfterBreak="0">
    <w:nsid w:val="1C8F54B2"/>
    <w:multiLevelType w:val="hybridMultilevel"/>
    <w:tmpl w:val="6DBC67E8"/>
    <w:lvl w:ilvl="0" w:tplc="75A0ED20">
      <w:start w:val="1"/>
      <w:numFmt w:val="decimal"/>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8" w15:restartNumberingAfterBreak="0">
    <w:nsid w:val="1CF76EA7"/>
    <w:multiLevelType w:val="hybridMultilevel"/>
    <w:tmpl w:val="DA62792C"/>
    <w:lvl w:ilvl="0" w:tplc="58A8A5D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1D296001"/>
    <w:multiLevelType w:val="multilevel"/>
    <w:tmpl w:val="C4E2BC2E"/>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D3E7DE2"/>
    <w:multiLevelType w:val="hybridMultilevel"/>
    <w:tmpl w:val="76AE7E58"/>
    <w:lvl w:ilvl="0" w:tplc="D07E298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24505C03"/>
    <w:multiLevelType w:val="hybridMultilevel"/>
    <w:tmpl w:val="8448451A"/>
    <w:lvl w:ilvl="0" w:tplc="D4DED43C">
      <w:numFmt w:val="bullet"/>
      <w:lvlText w:val=""/>
      <w:lvlJc w:val="left"/>
      <w:pPr>
        <w:ind w:left="1068" w:hanging="360"/>
      </w:pPr>
      <w:rPr>
        <w:rFonts w:ascii="Symbol" w:eastAsiaTheme="minorHAnsi" w:hAnsi="Symbol" w:cs="Times New Roman"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12" w15:restartNumberingAfterBreak="0">
    <w:nsid w:val="24631A44"/>
    <w:multiLevelType w:val="hybridMultilevel"/>
    <w:tmpl w:val="E2B2788A"/>
    <w:lvl w:ilvl="0" w:tplc="C30E9756">
      <w:start w:val="1"/>
      <w:numFmt w:val="bullet"/>
      <w:lvlText w:val="•"/>
      <w:lvlJc w:val="left"/>
      <w:pPr>
        <w:tabs>
          <w:tab w:val="num" w:pos="720"/>
        </w:tabs>
        <w:ind w:left="720" w:hanging="360"/>
      </w:pPr>
      <w:rPr>
        <w:rFonts w:ascii="Arial" w:hAnsi="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286B48DD"/>
    <w:multiLevelType w:val="hybridMultilevel"/>
    <w:tmpl w:val="B3CAFE1C"/>
    <w:lvl w:ilvl="0" w:tplc="6ED4503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33B02B12"/>
    <w:multiLevelType w:val="hybridMultilevel"/>
    <w:tmpl w:val="268E94E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346120E7"/>
    <w:multiLevelType w:val="hybridMultilevel"/>
    <w:tmpl w:val="B2AA9220"/>
    <w:lvl w:ilvl="0" w:tplc="6F9C198A">
      <w:start w:val="1"/>
      <w:numFmt w:val="decimal"/>
      <w:lvlText w:val="%1-"/>
      <w:lvlJc w:val="left"/>
      <w:pPr>
        <w:ind w:left="720" w:hanging="360"/>
      </w:pPr>
      <w:rPr>
        <w:rFonts w:asciiTheme="minorHAnsi" w:eastAsiaTheme="minorHAnsi" w:hAnsiTheme="minorHAnsi" w:cs="HelveticaNeue-Bold"/>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3C862217"/>
    <w:multiLevelType w:val="hybridMultilevel"/>
    <w:tmpl w:val="0DE8F71E"/>
    <w:lvl w:ilvl="0" w:tplc="276A8DD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3E034C01"/>
    <w:multiLevelType w:val="hybridMultilevel"/>
    <w:tmpl w:val="C21679B0"/>
    <w:lvl w:ilvl="0" w:tplc="C8D8C164">
      <w:numFmt w:val="bullet"/>
      <w:lvlText w:val=""/>
      <w:lvlJc w:val="left"/>
      <w:pPr>
        <w:ind w:left="720" w:hanging="360"/>
      </w:pPr>
      <w:rPr>
        <w:rFonts w:ascii="Symbol" w:eastAsiaTheme="minorHAnsi" w:hAnsi="Symbol" w:cstheme="minorBid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459951EB"/>
    <w:multiLevelType w:val="hybridMultilevel"/>
    <w:tmpl w:val="05527522"/>
    <w:lvl w:ilvl="0" w:tplc="B15A5832">
      <w:start w:val="1"/>
      <w:numFmt w:val="decimal"/>
      <w:lvlText w:val="%1-"/>
      <w:lvlJc w:val="left"/>
      <w:pPr>
        <w:ind w:left="720" w:hanging="360"/>
      </w:pPr>
      <w:rPr>
        <w:rFonts w:hint="default"/>
        <w:i/>
        <w:u w:val="single"/>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7084EE5"/>
    <w:multiLevelType w:val="hybridMultilevel"/>
    <w:tmpl w:val="E6223D3E"/>
    <w:lvl w:ilvl="0" w:tplc="37C4C472">
      <w:start w:val="1"/>
      <w:numFmt w:val="decimal"/>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20" w15:restartNumberingAfterBreak="0">
    <w:nsid w:val="4E44569B"/>
    <w:multiLevelType w:val="hybridMultilevel"/>
    <w:tmpl w:val="EBACB05A"/>
    <w:lvl w:ilvl="0" w:tplc="10E6CD2E">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5C5905B4"/>
    <w:multiLevelType w:val="hybridMultilevel"/>
    <w:tmpl w:val="026C28C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15:restartNumberingAfterBreak="0">
    <w:nsid w:val="5D49727B"/>
    <w:multiLevelType w:val="hybridMultilevel"/>
    <w:tmpl w:val="9208B5D4"/>
    <w:lvl w:ilvl="0" w:tplc="FF502B7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642E0B3C"/>
    <w:multiLevelType w:val="hybridMultilevel"/>
    <w:tmpl w:val="2FE4C0B8"/>
    <w:lvl w:ilvl="0" w:tplc="683C1DD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650C3E2D"/>
    <w:multiLevelType w:val="hybridMultilevel"/>
    <w:tmpl w:val="052E1A06"/>
    <w:lvl w:ilvl="0" w:tplc="DF0097D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652E552C"/>
    <w:multiLevelType w:val="multilevel"/>
    <w:tmpl w:val="86B69BDE"/>
    <w:lvl w:ilvl="0">
      <w:start w:val="2"/>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65901911"/>
    <w:multiLevelType w:val="hybridMultilevel"/>
    <w:tmpl w:val="68B20670"/>
    <w:lvl w:ilvl="0" w:tplc="5F4EC49E">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15:restartNumberingAfterBreak="0">
    <w:nsid w:val="67B017BF"/>
    <w:multiLevelType w:val="hybridMultilevel"/>
    <w:tmpl w:val="66F4160E"/>
    <w:lvl w:ilvl="0" w:tplc="E9C27928">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6E2A0152"/>
    <w:multiLevelType w:val="hybridMultilevel"/>
    <w:tmpl w:val="56485B8C"/>
    <w:lvl w:ilvl="0" w:tplc="3AA2E14A">
      <w:start w:val="1"/>
      <w:numFmt w:val="decimal"/>
      <w:lvlText w:val="%1-"/>
      <w:lvlJc w:val="left"/>
      <w:pPr>
        <w:ind w:left="720" w:hanging="360"/>
      </w:pPr>
      <w:rPr>
        <w:rFonts w:hint="default"/>
        <w:i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6E626944"/>
    <w:multiLevelType w:val="hybridMultilevel"/>
    <w:tmpl w:val="B3182956"/>
    <w:lvl w:ilvl="0" w:tplc="1B40F08C">
      <w:start w:val="1"/>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0" w15:restartNumberingAfterBreak="0">
    <w:nsid w:val="74F826AF"/>
    <w:multiLevelType w:val="hybridMultilevel"/>
    <w:tmpl w:val="DE4A3F9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15:restartNumberingAfterBreak="0">
    <w:nsid w:val="7835637C"/>
    <w:multiLevelType w:val="hybridMultilevel"/>
    <w:tmpl w:val="B1849822"/>
    <w:lvl w:ilvl="0" w:tplc="C30E9756">
      <w:start w:val="1"/>
      <w:numFmt w:val="bullet"/>
      <w:lvlText w:val="•"/>
      <w:lvlJc w:val="left"/>
      <w:pPr>
        <w:tabs>
          <w:tab w:val="num" w:pos="720"/>
        </w:tabs>
        <w:ind w:left="720" w:hanging="360"/>
      </w:pPr>
      <w:rPr>
        <w:rFonts w:ascii="Arial" w:hAnsi="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2" w15:restartNumberingAfterBreak="0">
    <w:nsid w:val="7A3A6405"/>
    <w:multiLevelType w:val="hybridMultilevel"/>
    <w:tmpl w:val="9A1CB7C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1"/>
  </w:num>
  <w:num w:numId="2">
    <w:abstractNumId w:val="30"/>
  </w:num>
  <w:num w:numId="3">
    <w:abstractNumId w:val="28"/>
  </w:num>
  <w:num w:numId="4">
    <w:abstractNumId w:val="29"/>
  </w:num>
  <w:num w:numId="5">
    <w:abstractNumId w:val="10"/>
  </w:num>
  <w:num w:numId="6">
    <w:abstractNumId w:val="20"/>
  </w:num>
  <w:num w:numId="7">
    <w:abstractNumId w:val="22"/>
  </w:num>
  <w:num w:numId="8">
    <w:abstractNumId w:val="2"/>
  </w:num>
  <w:num w:numId="9">
    <w:abstractNumId w:val="26"/>
  </w:num>
  <w:num w:numId="10">
    <w:abstractNumId w:val="16"/>
  </w:num>
  <w:num w:numId="11">
    <w:abstractNumId w:val="15"/>
  </w:num>
  <w:num w:numId="12">
    <w:abstractNumId w:val="24"/>
  </w:num>
  <w:num w:numId="13">
    <w:abstractNumId w:val="13"/>
  </w:num>
  <w:num w:numId="14">
    <w:abstractNumId w:val="5"/>
  </w:num>
  <w:num w:numId="15">
    <w:abstractNumId w:val="8"/>
  </w:num>
  <w:num w:numId="16">
    <w:abstractNumId w:val="17"/>
  </w:num>
  <w:num w:numId="17">
    <w:abstractNumId w:val="6"/>
  </w:num>
  <w:num w:numId="18">
    <w:abstractNumId w:val="23"/>
  </w:num>
  <w:num w:numId="19">
    <w:abstractNumId w:val="7"/>
  </w:num>
  <w:num w:numId="20">
    <w:abstractNumId w:val="1"/>
  </w:num>
  <w:num w:numId="21">
    <w:abstractNumId w:val="31"/>
  </w:num>
  <w:num w:numId="22">
    <w:abstractNumId w:val="21"/>
  </w:num>
  <w:num w:numId="23">
    <w:abstractNumId w:val="12"/>
  </w:num>
  <w:num w:numId="24">
    <w:abstractNumId w:val="0"/>
  </w:num>
  <w:num w:numId="25">
    <w:abstractNumId w:val="18"/>
  </w:num>
  <w:num w:numId="26">
    <w:abstractNumId w:val="19"/>
  </w:num>
  <w:num w:numId="27">
    <w:abstractNumId w:val="14"/>
  </w:num>
  <w:num w:numId="28">
    <w:abstractNumId w:val="27"/>
  </w:num>
  <w:num w:numId="29">
    <w:abstractNumId w:val="32"/>
  </w:num>
  <w:num w:numId="30">
    <w:abstractNumId w:val="3"/>
  </w:num>
  <w:num w:numId="31">
    <w:abstractNumId w:val="4"/>
  </w:num>
  <w:num w:numId="32">
    <w:abstractNumId w:val="25"/>
  </w:num>
  <w:num w:numId="3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8A6"/>
    <w:rsid w:val="00003AD9"/>
    <w:rsid w:val="00004112"/>
    <w:rsid w:val="000073A3"/>
    <w:rsid w:val="00011547"/>
    <w:rsid w:val="00020996"/>
    <w:rsid w:val="00021DE4"/>
    <w:rsid w:val="000225AB"/>
    <w:rsid w:val="00023A04"/>
    <w:rsid w:val="00025B5D"/>
    <w:rsid w:val="000273C6"/>
    <w:rsid w:val="00030121"/>
    <w:rsid w:val="00030E8B"/>
    <w:rsid w:val="00037FCB"/>
    <w:rsid w:val="00040263"/>
    <w:rsid w:val="0004192D"/>
    <w:rsid w:val="00050F16"/>
    <w:rsid w:val="0005370B"/>
    <w:rsid w:val="000547C8"/>
    <w:rsid w:val="00057965"/>
    <w:rsid w:val="00057987"/>
    <w:rsid w:val="000616D7"/>
    <w:rsid w:val="0007137B"/>
    <w:rsid w:val="00076311"/>
    <w:rsid w:val="000800F6"/>
    <w:rsid w:val="00081BB3"/>
    <w:rsid w:val="000824BD"/>
    <w:rsid w:val="00083E8D"/>
    <w:rsid w:val="000871B0"/>
    <w:rsid w:val="00090FC9"/>
    <w:rsid w:val="000955D2"/>
    <w:rsid w:val="000958C2"/>
    <w:rsid w:val="000A12B6"/>
    <w:rsid w:val="000A21A7"/>
    <w:rsid w:val="000A4D64"/>
    <w:rsid w:val="000A75A8"/>
    <w:rsid w:val="000B6602"/>
    <w:rsid w:val="000B7EE7"/>
    <w:rsid w:val="000C0C4C"/>
    <w:rsid w:val="000C1AED"/>
    <w:rsid w:val="000C2DB2"/>
    <w:rsid w:val="000C5D42"/>
    <w:rsid w:val="000D6CB4"/>
    <w:rsid w:val="000E5DC6"/>
    <w:rsid w:val="000F1190"/>
    <w:rsid w:val="000F3B46"/>
    <w:rsid w:val="000F4080"/>
    <w:rsid w:val="000F4519"/>
    <w:rsid w:val="000F485C"/>
    <w:rsid w:val="00101A4D"/>
    <w:rsid w:val="00102B58"/>
    <w:rsid w:val="001035DE"/>
    <w:rsid w:val="00105F35"/>
    <w:rsid w:val="0010740F"/>
    <w:rsid w:val="00113799"/>
    <w:rsid w:val="00115DB3"/>
    <w:rsid w:val="001177F6"/>
    <w:rsid w:val="001350A8"/>
    <w:rsid w:val="00140052"/>
    <w:rsid w:val="001416F3"/>
    <w:rsid w:val="00142975"/>
    <w:rsid w:val="001554C3"/>
    <w:rsid w:val="001604B0"/>
    <w:rsid w:val="0016332B"/>
    <w:rsid w:val="0016772D"/>
    <w:rsid w:val="00170A04"/>
    <w:rsid w:val="001734FD"/>
    <w:rsid w:val="00174480"/>
    <w:rsid w:val="001752FA"/>
    <w:rsid w:val="001754B9"/>
    <w:rsid w:val="00176998"/>
    <w:rsid w:val="00184EA2"/>
    <w:rsid w:val="00187BF4"/>
    <w:rsid w:val="00191A73"/>
    <w:rsid w:val="001A2193"/>
    <w:rsid w:val="001A3BDC"/>
    <w:rsid w:val="001A554A"/>
    <w:rsid w:val="001A5860"/>
    <w:rsid w:val="001A5FCA"/>
    <w:rsid w:val="001B6647"/>
    <w:rsid w:val="001C0D2D"/>
    <w:rsid w:val="001C58F3"/>
    <w:rsid w:val="001C63EB"/>
    <w:rsid w:val="001C732B"/>
    <w:rsid w:val="001D09A5"/>
    <w:rsid w:val="001D4AF1"/>
    <w:rsid w:val="001D7232"/>
    <w:rsid w:val="001E022B"/>
    <w:rsid w:val="001E2BA8"/>
    <w:rsid w:val="001E48FE"/>
    <w:rsid w:val="001E6999"/>
    <w:rsid w:val="001E7A99"/>
    <w:rsid w:val="001F0F8C"/>
    <w:rsid w:val="001F15F7"/>
    <w:rsid w:val="001F22A9"/>
    <w:rsid w:val="001F2BF2"/>
    <w:rsid w:val="001F2ED8"/>
    <w:rsid w:val="001F3BC2"/>
    <w:rsid w:val="001F3C55"/>
    <w:rsid w:val="001F4D86"/>
    <w:rsid w:val="001F5377"/>
    <w:rsid w:val="001F5FD3"/>
    <w:rsid w:val="001F728A"/>
    <w:rsid w:val="00200480"/>
    <w:rsid w:val="00205942"/>
    <w:rsid w:val="00205DAD"/>
    <w:rsid w:val="002070B3"/>
    <w:rsid w:val="00210364"/>
    <w:rsid w:val="00210837"/>
    <w:rsid w:val="00211E63"/>
    <w:rsid w:val="00223B1A"/>
    <w:rsid w:val="00224017"/>
    <w:rsid w:val="00231C17"/>
    <w:rsid w:val="002324AB"/>
    <w:rsid w:val="0023683B"/>
    <w:rsid w:val="00237605"/>
    <w:rsid w:val="0024169A"/>
    <w:rsid w:val="002434B5"/>
    <w:rsid w:val="00244CE7"/>
    <w:rsid w:val="00244D6E"/>
    <w:rsid w:val="002550DF"/>
    <w:rsid w:val="00256B15"/>
    <w:rsid w:val="00256EAA"/>
    <w:rsid w:val="00260214"/>
    <w:rsid w:val="002613D8"/>
    <w:rsid w:val="002619B4"/>
    <w:rsid w:val="00262624"/>
    <w:rsid w:val="00263F09"/>
    <w:rsid w:val="00265572"/>
    <w:rsid w:val="0026623E"/>
    <w:rsid w:val="00267816"/>
    <w:rsid w:val="00274F85"/>
    <w:rsid w:val="0027792A"/>
    <w:rsid w:val="00280A43"/>
    <w:rsid w:val="00283060"/>
    <w:rsid w:val="0028480E"/>
    <w:rsid w:val="00292598"/>
    <w:rsid w:val="00294959"/>
    <w:rsid w:val="00294988"/>
    <w:rsid w:val="002961CD"/>
    <w:rsid w:val="002A0295"/>
    <w:rsid w:val="002A4533"/>
    <w:rsid w:val="002A4805"/>
    <w:rsid w:val="002A5209"/>
    <w:rsid w:val="002A6ADC"/>
    <w:rsid w:val="002B4382"/>
    <w:rsid w:val="002B5A45"/>
    <w:rsid w:val="002C6009"/>
    <w:rsid w:val="002C6B1F"/>
    <w:rsid w:val="002D126A"/>
    <w:rsid w:val="002D3617"/>
    <w:rsid w:val="002E11B7"/>
    <w:rsid w:val="002E4956"/>
    <w:rsid w:val="002E555E"/>
    <w:rsid w:val="002E7049"/>
    <w:rsid w:val="002F0113"/>
    <w:rsid w:val="002F1508"/>
    <w:rsid w:val="002F318F"/>
    <w:rsid w:val="002F500A"/>
    <w:rsid w:val="002F795F"/>
    <w:rsid w:val="00301AE7"/>
    <w:rsid w:val="00304444"/>
    <w:rsid w:val="00304C7D"/>
    <w:rsid w:val="00305D87"/>
    <w:rsid w:val="00310C88"/>
    <w:rsid w:val="00312468"/>
    <w:rsid w:val="00313689"/>
    <w:rsid w:val="00315843"/>
    <w:rsid w:val="003176AB"/>
    <w:rsid w:val="00322377"/>
    <w:rsid w:val="0032384C"/>
    <w:rsid w:val="00323DBF"/>
    <w:rsid w:val="003252AC"/>
    <w:rsid w:val="00334A0E"/>
    <w:rsid w:val="00341831"/>
    <w:rsid w:val="003424FF"/>
    <w:rsid w:val="0034387F"/>
    <w:rsid w:val="00344FCC"/>
    <w:rsid w:val="00346F87"/>
    <w:rsid w:val="00350075"/>
    <w:rsid w:val="00355C61"/>
    <w:rsid w:val="003562E7"/>
    <w:rsid w:val="003606CD"/>
    <w:rsid w:val="00364595"/>
    <w:rsid w:val="00364652"/>
    <w:rsid w:val="003677FA"/>
    <w:rsid w:val="003722AA"/>
    <w:rsid w:val="00375E54"/>
    <w:rsid w:val="003765C5"/>
    <w:rsid w:val="0038395B"/>
    <w:rsid w:val="003849F1"/>
    <w:rsid w:val="00386609"/>
    <w:rsid w:val="00390658"/>
    <w:rsid w:val="00392066"/>
    <w:rsid w:val="003A2F95"/>
    <w:rsid w:val="003A5ADC"/>
    <w:rsid w:val="003A6A37"/>
    <w:rsid w:val="003B748F"/>
    <w:rsid w:val="003B7C03"/>
    <w:rsid w:val="003C0491"/>
    <w:rsid w:val="003C4387"/>
    <w:rsid w:val="003D03DA"/>
    <w:rsid w:val="003D2555"/>
    <w:rsid w:val="003E2ACF"/>
    <w:rsid w:val="003F1F14"/>
    <w:rsid w:val="003F2727"/>
    <w:rsid w:val="003F4C16"/>
    <w:rsid w:val="003F4D18"/>
    <w:rsid w:val="003F57D8"/>
    <w:rsid w:val="003F714B"/>
    <w:rsid w:val="00401A89"/>
    <w:rsid w:val="00401DA2"/>
    <w:rsid w:val="00403CD2"/>
    <w:rsid w:val="00404AF9"/>
    <w:rsid w:val="00405C32"/>
    <w:rsid w:val="00410A46"/>
    <w:rsid w:val="0041147C"/>
    <w:rsid w:val="00411FC9"/>
    <w:rsid w:val="00414EE7"/>
    <w:rsid w:val="0041776A"/>
    <w:rsid w:val="0042093D"/>
    <w:rsid w:val="00423674"/>
    <w:rsid w:val="00427757"/>
    <w:rsid w:val="00427963"/>
    <w:rsid w:val="00427D29"/>
    <w:rsid w:val="004320AC"/>
    <w:rsid w:val="004374F8"/>
    <w:rsid w:val="0044189A"/>
    <w:rsid w:val="00441953"/>
    <w:rsid w:val="00442898"/>
    <w:rsid w:val="004445FE"/>
    <w:rsid w:val="004458EC"/>
    <w:rsid w:val="00446A4F"/>
    <w:rsid w:val="00455AE7"/>
    <w:rsid w:val="00457C4D"/>
    <w:rsid w:val="004601D5"/>
    <w:rsid w:val="004603F2"/>
    <w:rsid w:val="00464D6A"/>
    <w:rsid w:val="00465973"/>
    <w:rsid w:val="004678A4"/>
    <w:rsid w:val="0047170B"/>
    <w:rsid w:val="00474F0E"/>
    <w:rsid w:val="004817CD"/>
    <w:rsid w:val="00482540"/>
    <w:rsid w:val="004846BA"/>
    <w:rsid w:val="0048760E"/>
    <w:rsid w:val="00491A71"/>
    <w:rsid w:val="00492E59"/>
    <w:rsid w:val="00493601"/>
    <w:rsid w:val="00493993"/>
    <w:rsid w:val="00494EA3"/>
    <w:rsid w:val="00495478"/>
    <w:rsid w:val="004A099E"/>
    <w:rsid w:val="004A35B8"/>
    <w:rsid w:val="004A44C1"/>
    <w:rsid w:val="004A4EB2"/>
    <w:rsid w:val="004B53E0"/>
    <w:rsid w:val="004B5F9B"/>
    <w:rsid w:val="004C5551"/>
    <w:rsid w:val="004D127A"/>
    <w:rsid w:val="004D411C"/>
    <w:rsid w:val="004D44C6"/>
    <w:rsid w:val="004D5999"/>
    <w:rsid w:val="004D5DD4"/>
    <w:rsid w:val="004D6FF4"/>
    <w:rsid w:val="004E749E"/>
    <w:rsid w:val="004F0032"/>
    <w:rsid w:val="004F0A19"/>
    <w:rsid w:val="004F2956"/>
    <w:rsid w:val="004F7A4A"/>
    <w:rsid w:val="00501B49"/>
    <w:rsid w:val="00506D24"/>
    <w:rsid w:val="00510212"/>
    <w:rsid w:val="00512062"/>
    <w:rsid w:val="005124D0"/>
    <w:rsid w:val="00514FE7"/>
    <w:rsid w:val="0051584A"/>
    <w:rsid w:val="00517EF4"/>
    <w:rsid w:val="00520FC5"/>
    <w:rsid w:val="005308FF"/>
    <w:rsid w:val="00535208"/>
    <w:rsid w:val="00535A9B"/>
    <w:rsid w:val="00535F19"/>
    <w:rsid w:val="00536938"/>
    <w:rsid w:val="00537168"/>
    <w:rsid w:val="0053741A"/>
    <w:rsid w:val="00540955"/>
    <w:rsid w:val="00544756"/>
    <w:rsid w:val="00544C66"/>
    <w:rsid w:val="00551402"/>
    <w:rsid w:val="005537BD"/>
    <w:rsid w:val="005572FF"/>
    <w:rsid w:val="00563F23"/>
    <w:rsid w:val="005733EE"/>
    <w:rsid w:val="00574FF8"/>
    <w:rsid w:val="005753E7"/>
    <w:rsid w:val="005758A1"/>
    <w:rsid w:val="00576A01"/>
    <w:rsid w:val="00580600"/>
    <w:rsid w:val="00580CC9"/>
    <w:rsid w:val="00584F56"/>
    <w:rsid w:val="005901E1"/>
    <w:rsid w:val="00592A17"/>
    <w:rsid w:val="0059338A"/>
    <w:rsid w:val="0059748B"/>
    <w:rsid w:val="005976DD"/>
    <w:rsid w:val="005979D1"/>
    <w:rsid w:val="005A249C"/>
    <w:rsid w:val="005A7075"/>
    <w:rsid w:val="005A741B"/>
    <w:rsid w:val="005A77B0"/>
    <w:rsid w:val="005B099E"/>
    <w:rsid w:val="005B1AA1"/>
    <w:rsid w:val="005B40B4"/>
    <w:rsid w:val="005B6E27"/>
    <w:rsid w:val="005C01FA"/>
    <w:rsid w:val="005C18CA"/>
    <w:rsid w:val="005C5CA5"/>
    <w:rsid w:val="005C787D"/>
    <w:rsid w:val="005D065B"/>
    <w:rsid w:val="005D2808"/>
    <w:rsid w:val="005D3FF9"/>
    <w:rsid w:val="005D5DC8"/>
    <w:rsid w:val="005D7F6B"/>
    <w:rsid w:val="005E1938"/>
    <w:rsid w:val="005E586A"/>
    <w:rsid w:val="005F17D0"/>
    <w:rsid w:val="005F2A70"/>
    <w:rsid w:val="005F62C0"/>
    <w:rsid w:val="005F661C"/>
    <w:rsid w:val="006112DF"/>
    <w:rsid w:val="00611D14"/>
    <w:rsid w:val="00612ABF"/>
    <w:rsid w:val="006130BE"/>
    <w:rsid w:val="0062162D"/>
    <w:rsid w:val="00621DBC"/>
    <w:rsid w:val="00623D63"/>
    <w:rsid w:val="00624EC6"/>
    <w:rsid w:val="006263D8"/>
    <w:rsid w:val="00627ACA"/>
    <w:rsid w:val="00631B80"/>
    <w:rsid w:val="00635985"/>
    <w:rsid w:val="00641BD6"/>
    <w:rsid w:val="00641FD7"/>
    <w:rsid w:val="0064216D"/>
    <w:rsid w:val="00645A8E"/>
    <w:rsid w:val="00650907"/>
    <w:rsid w:val="00656889"/>
    <w:rsid w:val="00657486"/>
    <w:rsid w:val="00661B12"/>
    <w:rsid w:val="00670046"/>
    <w:rsid w:val="00671062"/>
    <w:rsid w:val="00674140"/>
    <w:rsid w:val="00674FFD"/>
    <w:rsid w:val="006753AE"/>
    <w:rsid w:val="00683A7B"/>
    <w:rsid w:val="0068546D"/>
    <w:rsid w:val="00686A3D"/>
    <w:rsid w:val="00687551"/>
    <w:rsid w:val="006918E0"/>
    <w:rsid w:val="0069390E"/>
    <w:rsid w:val="00693A12"/>
    <w:rsid w:val="006967AF"/>
    <w:rsid w:val="006968E2"/>
    <w:rsid w:val="006A5DCF"/>
    <w:rsid w:val="006A6DFC"/>
    <w:rsid w:val="006B073D"/>
    <w:rsid w:val="006B3CA5"/>
    <w:rsid w:val="006B45A6"/>
    <w:rsid w:val="006B5A76"/>
    <w:rsid w:val="006B7EED"/>
    <w:rsid w:val="006C2AAD"/>
    <w:rsid w:val="006C4C15"/>
    <w:rsid w:val="006C5A1E"/>
    <w:rsid w:val="006D06C8"/>
    <w:rsid w:val="006D0AF5"/>
    <w:rsid w:val="006D15D2"/>
    <w:rsid w:val="006D231D"/>
    <w:rsid w:val="006D262D"/>
    <w:rsid w:val="006D44D2"/>
    <w:rsid w:val="006D60EC"/>
    <w:rsid w:val="006E6F4C"/>
    <w:rsid w:val="006F0F8C"/>
    <w:rsid w:val="00700CE4"/>
    <w:rsid w:val="007045BA"/>
    <w:rsid w:val="00706500"/>
    <w:rsid w:val="00712AD9"/>
    <w:rsid w:val="007200E1"/>
    <w:rsid w:val="00720713"/>
    <w:rsid w:val="00720C8A"/>
    <w:rsid w:val="0072120D"/>
    <w:rsid w:val="00721D6B"/>
    <w:rsid w:val="0073433F"/>
    <w:rsid w:val="0073630D"/>
    <w:rsid w:val="007434EA"/>
    <w:rsid w:val="007455EA"/>
    <w:rsid w:val="00756D74"/>
    <w:rsid w:val="00757C99"/>
    <w:rsid w:val="00760C7D"/>
    <w:rsid w:val="00762A81"/>
    <w:rsid w:val="007635F7"/>
    <w:rsid w:val="007637A2"/>
    <w:rsid w:val="00763A27"/>
    <w:rsid w:val="00766A2C"/>
    <w:rsid w:val="00770CFF"/>
    <w:rsid w:val="007714F8"/>
    <w:rsid w:val="007722C1"/>
    <w:rsid w:val="00775852"/>
    <w:rsid w:val="00777952"/>
    <w:rsid w:val="00783069"/>
    <w:rsid w:val="00783928"/>
    <w:rsid w:val="00784C6F"/>
    <w:rsid w:val="0078500E"/>
    <w:rsid w:val="00790E5E"/>
    <w:rsid w:val="00792E32"/>
    <w:rsid w:val="007936EC"/>
    <w:rsid w:val="007938A0"/>
    <w:rsid w:val="00794128"/>
    <w:rsid w:val="007942AC"/>
    <w:rsid w:val="00794EBA"/>
    <w:rsid w:val="007978B1"/>
    <w:rsid w:val="00797FA4"/>
    <w:rsid w:val="007A14BF"/>
    <w:rsid w:val="007A5459"/>
    <w:rsid w:val="007B30BD"/>
    <w:rsid w:val="007B4206"/>
    <w:rsid w:val="007C2A0F"/>
    <w:rsid w:val="007C4A28"/>
    <w:rsid w:val="007C4CC2"/>
    <w:rsid w:val="007C7B02"/>
    <w:rsid w:val="007D35D4"/>
    <w:rsid w:val="007D4210"/>
    <w:rsid w:val="007D6F3A"/>
    <w:rsid w:val="007E0FDA"/>
    <w:rsid w:val="007E27C5"/>
    <w:rsid w:val="007E2E37"/>
    <w:rsid w:val="007E2E40"/>
    <w:rsid w:val="007E6723"/>
    <w:rsid w:val="007E7159"/>
    <w:rsid w:val="007E73CD"/>
    <w:rsid w:val="007F03ED"/>
    <w:rsid w:val="007F14CF"/>
    <w:rsid w:val="007F17AE"/>
    <w:rsid w:val="007F2C6A"/>
    <w:rsid w:val="00801F33"/>
    <w:rsid w:val="00802E53"/>
    <w:rsid w:val="00803EB7"/>
    <w:rsid w:val="00810B63"/>
    <w:rsid w:val="00812211"/>
    <w:rsid w:val="0081317A"/>
    <w:rsid w:val="008203E6"/>
    <w:rsid w:val="00820881"/>
    <w:rsid w:val="0082185E"/>
    <w:rsid w:val="00826F46"/>
    <w:rsid w:val="00827F52"/>
    <w:rsid w:val="008310A0"/>
    <w:rsid w:val="0084070F"/>
    <w:rsid w:val="00840B6E"/>
    <w:rsid w:val="008410B7"/>
    <w:rsid w:val="008458C4"/>
    <w:rsid w:val="00847B4C"/>
    <w:rsid w:val="0085021D"/>
    <w:rsid w:val="00850AA4"/>
    <w:rsid w:val="00853514"/>
    <w:rsid w:val="00854DFE"/>
    <w:rsid w:val="00857F05"/>
    <w:rsid w:val="0086066D"/>
    <w:rsid w:val="0087160C"/>
    <w:rsid w:val="00873C2F"/>
    <w:rsid w:val="0087472E"/>
    <w:rsid w:val="00875C7F"/>
    <w:rsid w:val="00882E14"/>
    <w:rsid w:val="008873C1"/>
    <w:rsid w:val="00890AFA"/>
    <w:rsid w:val="0089118B"/>
    <w:rsid w:val="00892879"/>
    <w:rsid w:val="008947A7"/>
    <w:rsid w:val="00896855"/>
    <w:rsid w:val="00896916"/>
    <w:rsid w:val="00897E88"/>
    <w:rsid w:val="008A0E87"/>
    <w:rsid w:val="008A19DA"/>
    <w:rsid w:val="008A3997"/>
    <w:rsid w:val="008A4CC5"/>
    <w:rsid w:val="008A63AA"/>
    <w:rsid w:val="008A65B9"/>
    <w:rsid w:val="008B0E54"/>
    <w:rsid w:val="008B4E59"/>
    <w:rsid w:val="008C0C68"/>
    <w:rsid w:val="008C26BC"/>
    <w:rsid w:val="008C6581"/>
    <w:rsid w:val="008D18A0"/>
    <w:rsid w:val="008D3B8B"/>
    <w:rsid w:val="008E1499"/>
    <w:rsid w:val="008E2041"/>
    <w:rsid w:val="008F1C04"/>
    <w:rsid w:val="008F5AA9"/>
    <w:rsid w:val="008F613D"/>
    <w:rsid w:val="00905614"/>
    <w:rsid w:val="00905F11"/>
    <w:rsid w:val="0090667D"/>
    <w:rsid w:val="00906DF2"/>
    <w:rsid w:val="0091109F"/>
    <w:rsid w:val="00911A08"/>
    <w:rsid w:val="0091243E"/>
    <w:rsid w:val="0091282C"/>
    <w:rsid w:val="0091472B"/>
    <w:rsid w:val="0091525F"/>
    <w:rsid w:val="0091556E"/>
    <w:rsid w:val="0091735C"/>
    <w:rsid w:val="00922079"/>
    <w:rsid w:val="009271A4"/>
    <w:rsid w:val="00927451"/>
    <w:rsid w:val="009277D2"/>
    <w:rsid w:val="009302A0"/>
    <w:rsid w:val="00931157"/>
    <w:rsid w:val="009318BA"/>
    <w:rsid w:val="00934160"/>
    <w:rsid w:val="009357D4"/>
    <w:rsid w:val="0094228B"/>
    <w:rsid w:val="00947E8A"/>
    <w:rsid w:val="009507BC"/>
    <w:rsid w:val="0095235A"/>
    <w:rsid w:val="00960775"/>
    <w:rsid w:val="0096353B"/>
    <w:rsid w:val="00971A63"/>
    <w:rsid w:val="00972765"/>
    <w:rsid w:val="00972D62"/>
    <w:rsid w:val="00980840"/>
    <w:rsid w:val="00990B09"/>
    <w:rsid w:val="009977DD"/>
    <w:rsid w:val="00997D56"/>
    <w:rsid w:val="009A0553"/>
    <w:rsid w:val="009A15B7"/>
    <w:rsid w:val="009B1707"/>
    <w:rsid w:val="009B1AA8"/>
    <w:rsid w:val="009B63FF"/>
    <w:rsid w:val="009B7E3F"/>
    <w:rsid w:val="009C056C"/>
    <w:rsid w:val="009C21E5"/>
    <w:rsid w:val="009C4DC1"/>
    <w:rsid w:val="009C6D93"/>
    <w:rsid w:val="009C7A38"/>
    <w:rsid w:val="009D1E8D"/>
    <w:rsid w:val="009D5E43"/>
    <w:rsid w:val="009D6D77"/>
    <w:rsid w:val="009E34DB"/>
    <w:rsid w:val="009E3FF0"/>
    <w:rsid w:val="009E48AB"/>
    <w:rsid w:val="009E5478"/>
    <w:rsid w:val="009E668C"/>
    <w:rsid w:val="009E6A51"/>
    <w:rsid w:val="009F1E29"/>
    <w:rsid w:val="009F6954"/>
    <w:rsid w:val="00A01858"/>
    <w:rsid w:val="00A03BF3"/>
    <w:rsid w:val="00A05DD8"/>
    <w:rsid w:val="00A06FCE"/>
    <w:rsid w:val="00A1696F"/>
    <w:rsid w:val="00A17609"/>
    <w:rsid w:val="00A2135D"/>
    <w:rsid w:val="00A249F9"/>
    <w:rsid w:val="00A260DC"/>
    <w:rsid w:val="00A2791F"/>
    <w:rsid w:val="00A3075E"/>
    <w:rsid w:val="00A33DA0"/>
    <w:rsid w:val="00A344E9"/>
    <w:rsid w:val="00A41021"/>
    <w:rsid w:val="00A42E2A"/>
    <w:rsid w:val="00A467D3"/>
    <w:rsid w:val="00A511A4"/>
    <w:rsid w:val="00A523B6"/>
    <w:rsid w:val="00A5542E"/>
    <w:rsid w:val="00A628B0"/>
    <w:rsid w:val="00A66C17"/>
    <w:rsid w:val="00A76095"/>
    <w:rsid w:val="00A81AF6"/>
    <w:rsid w:val="00A82B43"/>
    <w:rsid w:val="00A86733"/>
    <w:rsid w:val="00A87658"/>
    <w:rsid w:val="00A878DC"/>
    <w:rsid w:val="00A90331"/>
    <w:rsid w:val="00A94476"/>
    <w:rsid w:val="00A974A8"/>
    <w:rsid w:val="00A978A6"/>
    <w:rsid w:val="00AA03CC"/>
    <w:rsid w:val="00AA0D0D"/>
    <w:rsid w:val="00AA1B66"/>
    <w:rsid w:val="00AA24BE"/>
    <w:rsid w:val="00AA6453"/>
    <w:rsid w:val="00AA6B9B"/>
    <w:rsid w:val="00AB06D1"/>
    <w:rsid w:val="00AB1E1C"/>
    <w:rsid w:val="00AB315F"/>
    <w:rsid w:val="00AB3AEE"/>
    <w:rsid w:val="00AB64F8"/>
    <w:rsid w:val="00AB6582"/>
    <w:rsid w:val="00AC063C"/>
    <w:rsid w:val="00AC1E07"/>
    <w:rsid w:val="00AC327D"/>
    <w:rsid w:val="00AC7592"/>
    <w:rsid w:val="00AC7EA5"/>
    <w:rsid w:val="00AD1779"/>
    <w:rsid w:val="00AD1814"/>
    <w:rsid w:val="00AD48D5"/>
    <w:rsid w:val="00AD67F6"/>
    <w:rsid w:val="00AD6B24"/>
    <w:rsid w:val="00AD7543"/>
    <w:rsid w:val="00AE3CD8"/>
    <w:rsid w:val="00AE5110"/>
    <w:rsid w:val="00AE634B"/>
    <w:rsid w:val="00AE6561"/>
    <w:rsid w:val="00AE7131"/>
    <w:rsid w:val="00AF064C"/>
    <w:rsid w:val="00AF0C67"/>
    <w:rsid w:val="00B04A46"/>
    <w:rsid w:val="00B05415"/>
    <w:rsid w:val="00B06340"/>
    <w:rsid w:val="00B11466"/>
    <w:rsid w:val="00B13EFA"/>
    <w:rsid w:val="00B3027A"/>
    <w:rsid w:val="00B34F86"/>
    <w:rsid w:val="00B35BE0"/>
    <w:rsid w:val="00B40B36"/>
    <w:rsid w:val="00B41C55"/>
    <w:rsid w:val="00B42A7E"/>
    <w:rsid w:val="00B50A0B"/>
    <w:rsid w:val="00B5678E"/>
    <w:rsid w:val="00B65FF4"/>
    <w:rsid w:val="00B67270"/>
    <w:rsid w:val="00B67F89"/>
    <w:rsid w:val="00B717EC"/>
    <w:rsid w:val="00B72A80"/>
    <w:rsid w:val="00B763B2"/>
    <w:rsid w:val="00B77A44"/>
    <w:rsid w:val="00B819ED"/>
    <w:rsid w:val="00B8361C"/>
    <w:rsid w:val="00B863FE"/>
    <w:rsid w:val="00B94440"/>
    <w:rsid w:val="00B94916"/>
    <w:rsid w:val="00BA309B"/>
    <w:rsid w:val="00BA6CDA"/>
    <w:rsid w:val="00BB4CA2"/>
    <w:rsid w:val="00BB655D"/>
    <w:rsid w:val="00BB6650"/>
    <w:rsid w:val="00BC19A1"/>
    <w:rsid w:val="00BC37A8"/>
    <w:rsid w:val="00BD08EE"/>
    <w:rsid w:val="00BE3320"/>
    <w:rsid w:val="00BE356D"/>
    <w:rsid w:val="00BE4462"/>
    <w:rsid w:val="00BE6433"/>
    <w:rsid w:val="00BE6DDA"/>
    <w:rsid w:val="00BF1316"/>
    <w:rsid w:val="00BF1F32"/>
    <w:rsid w:val="00BF40F7"/>
    <w:rsid w:val="00BF4602"/>
    <w:rsid w:val="00C00974"/>
    <w:rsid w:val="00C032AB"/>
    <w:rsid w:val="00C047C5"/>
    <w:rsid w:val="00C065F0"/>
    <w:rsid w:val="00C07920"/>
    <w:rsid w:val="00C10C59"/>
    <w:rsid w:val="00C1356D"/>
    <w:rsid w:val="00C16E8E"/>
    <w:rsid w:val="00C22F8C"/>
    <w:rsid w:val="00C2438D"/>
    <w:rsid w:val="00C26320"/>
    <w:rsid w:val="00C271AE"/>
    <w:rsid w:val="00C31B6A"/>
    <w:rsid w:val="00C32A88"/>
    <w:rsid w:val="00C37104"/>
    <w:rsid w:val="00C41468"/>
    <w:rsid w:val="00C44994"/>
    <w:rsid w:val="00C467D1"/>
    <w:rsid w:val="00C4731C"/>
    <w:rsid w:val="00C51A0E"/>
    <w:rsid w:val="00C56A67"/>
    <w:rsid w:val="00C57A12"/>
    <w:rsid w:val="00C63FF3"/>
    <w:rsid w:val="00C64AB3"/>
    <w:rsid w:val="00C65DCB"/>
    <w:rsid w:val="00C672C5"/>
    <w:rsid w:val="00C71A34"/>
    <w:rsid w:val="00C75CCC"/>
    <w:rsid w:val="00C777EE"/>
    <w:rsid w:val="00C803D0"/>
    <w:rsid w:val="00C83C56"/>
    <w:rsid w:val="00C8454D"/>
    <w:rsid w:val="00C87042"/>
    <w:rsid w:val="00C90761"/>
    <w:rsid w:val="00C92B83"/>
    <w:rsid w:val="00CA33A2"/>
    <w:rsid w:val="00CA404C"/>
    <w:rsid w:val="00CA519E"/>
    <w:rsid w:val="00CB1429"/>
    <w:rsid w:val="00CB1E84"/>
    <w:rsid w:val="00CB20AF"/>
    <w:rsid w:val="00CB2C7A"/>
    <w:rsid w:val="00CB6BCD"/>
    <w:rsid w:val="00CC0ACE"/>
    <w:rsid w:val="00CC116A"/>
    <w:rsid w:val="00CC2AEE"/>
    <w:rsid w:val="00CC2E01"/>
    <w:rsid w:val="00CC47A8"/>
    <w:rsid w:val="00CC50A6"/>
    <w:rsid w:val="00CC5300"/>
    <w:rsid w:val="00CD0B0D"/>
    <w:rsid w:val="00CD1838"/>
    <w:rsid w:val="00CD2E60"/>
    <w:rsid w:val="00CE0B06"/>
    <w:rsid w:val="00CE434E"/>
    <w:rsid w:val="00CE4DCC"/>
    <w:rsid w:val="00CE5214"/>
    <w:rsid w:val="00CE5297"/>
    <w:rsid w:val="00CE5A45"/>
    <w:rsid w:val="00CE721F"/>
    <w:rsid w:val="00CF1B00"/>
    <w:rsid w:val="00CF29D2"/>
    <w:rsid w:val="00CF5E3A"/>
    <w:rsid w:val="00D035EA"/>
    <w:rsid w:val="00D05E9E"/>
    <w:rsid w:val="00D07B15"/>
    <w:rsid w:val="00D1041F"/>
    <w:rsid w:val="00D11D21"/>
    <w:rsid w:val="00D12156"/>
    <w:rsid w:val="00D23A80"/>
    <w:rsid w:val="00D23B30"/>
    <w:rsid w:val="00D24FEA"/>
    <w:rsid w:val="00D30800"/>
    <w:rsid w:val="00D313D5"/>
    <w:rsid w:val="00D3308D"/>
    <w:rsid w:val="00D356F8"/>
    <w:rsid w:val="00D448CD"/>
    <w:rsid w:val="00D47BF8"/>
    <w:rsid w:val="00D50181"/>
    <w:rsid w:val="00D50212"/>
    <w:rsid w:val="00D62673"/>
    <w:rsid w:val="00D6409A"/>
    <w:rsid w:val="00D651B1"/>
    <w:rsid w:val="00D67063"/>
    <w:rsid w:val="00D67DAF"/>
    <w:rsid w:val="00D71807"/>
    <w:rsid w:val="00D72933"/>
    <w:rsid w:val="00D7312A"/>
    <w:rsid w:val="00D74BF9"/>
    <w:rsid w:val="00D74FE9"/>
    <w:rsid w:val="00D810AB"/>
    <w:rsid w:val="00D8608A"/>
    <w:rsid w:val="00D86170"/>
    <w:rsid w:val="00D87BC5"/>
    <w:rsid w:val="00D9050A"/>
    <w:rsid w:val="00D91C37"/>
    <w:rsid w:val="00DA40CB"/>
    <w:rsid w:val="00DA6A07"/>
    <w:rsid w:val="00DB4E85"/>
    <w:rsid w:val="00DB54B6"/>
    <w:rsid w:val="00DB6F16"/>
    <w:rsid w:val="00DB7C70"/>
    <w:rsid w:val="00DC5E9B"/>
    <w:rsid w:val="00DC6CC6"/>
    <w:rsid w:val="00DD0760"/>
    <w:rsid w:val="00DD650D"/>
    <w:rsid w:val="00DD7B90"/>
    <w:rsid w:val="00DE187B"/>
    <w:rsid w:val="00DE189C"/>
    <w:rsid w:val="00DE1B7B"/>
    <w:rsid w:val="00DE2E48"/>
    <w:rsid w:val="00DE5848"/>
    <w:rsid w:val="00DE63F5"/>
    <w:rsid w:val="00DE75DB"/>
    <w:rsid w:val="00DF028C"/>
    <w:rsid w:val="00DF384A"/>
    <w:rsid w:val="00DF5977"/>
    <w:rsid w:val="00E036FE"/>
    <w:rsid w:val="00E13CC9"/>
    <w:rsid w:val="00E156E8"/>
    <w:rsid w:val="00E15C4B"/>
    <w:rsid w:val="00E162C8"/>
    <w:rsid w:val="00E165F2"/>
    <w:rsid w:val="00E1722E"/>
    <w:rsid w:val="00E20CCC"/>
    <w:rsid w:val="00E22285"/>
    <w:rsid w:val="00E2540A"/>
    <w:rsid w:val="00E26CF0"/>
    <w:rsid w:val="00E3139B"/>
    <w:rsid w:val="00E32BFB"/>
    <w:rsid w:val="00E32C2D"/>
    <w:rsid w:val="00E32D94"/>
    <w:rsid w:val="00E338EC"/>
    <w:rsid w:val="00E34F2B"/>
    <w:rsid w:val="00E41396"/>
    <w:rsid w:val="00E44CC3"/>
    <w:rsid w:val="00E46AC8"/>
    <w:rsid w:val="00E55BC3"/>
    <w:rsid w:val="00E5771C"/>
    <w:rsid w:val="00E63A48"/>
    <w:rsid w:val="00E64498"/>
    <w:rsid w:val="00E664F2"/>
    <w:rsid w:val="00E668B1"/>
    <w:rsid w:val="00E67E20"/>
    <w:rsid w:val="00E71E18"/>
    <w:rsid w:val="00E749B4"/>
    <w:rsid w:val="00E81B2E"/>
    <w:rsid w:val="00E81D53"/>
    <w:rsid w:val="00E859C9"/>
    <w:rsid w:val="00E86859"/>
    <w:rsid w:val="00E8717C"/>
    <w:rsid w:val="00E877E4"/>
    <w:rsid w:val="00E87F40"/>
    <w:rsid w:val="00E904CF"/>
    <w:rsid w:val="00E91878"/>
    <w:rsid w:val="00E91C3C"/>
    <w:rsid w:val="00E978EE"/>
    <w:rsid w:val="00EA3D32"/>
    <w:rsid w:val="00EA41AB"/>
    <w:rsid w:val="00EB0207"/>
    <w:rsid w:val="00EB1486"/>
    <w:rsid w:val="00EB14EC"/>
    <w:rsid w:val="00EB2F5D"/>
    <w:rsid w:val="00EB75A6"/>
    <w:rsid w:val="00EB7872"/>
    <w:rsid w:val="00EC05B4"/>
    <w:rsid w:val="00EC4A80"/>
    <w:rsid w:val="00EC7865"/>
    <w:rsid w:val="00ED1AC4"/>
    <w:rsid w:val="00ED2DAB"/>
    <w:rsid w:val="00ED3630"/>
    <w:rsid w:val="00ED6546"/>
    <w:rsid w:val="00EE1BDE"/>
    <w:rsid w:val="00EE21DA"/>
    <w:rsid w:val="00EE2C1E"/>
    <w:rsid w:val="00EE3ABB"/>
    <w:rsid w:val="00EE447A"/>
    <w:rsid w:val="00EF1FDC"/>
    <w:rsid w:val="00EF41E1"/>
    <w:rsid w:val="00EF44A8"/>
    <w:rsid w:val="00EF4C84"/>
    <w:rsid w:val="00F003FE"/>
    <w:rsid w:val="00F02F9F"/>
    <w:rsid w:val="00F044BC"/>
    <w:rsid w:val="00F1576C"/>
    <w:rsid w:val="00F2087C"/>
    <w:rsid w:val="00F22548"/>
    <w:rsid w:val="00F244A1"/>
    <w:rsid w:val="00F247D2"/>
    <w:rsid w:val="00F26793"/>
    <w:rsid w:val="00F31B04"/>
    <w:rsid w:val="00F34A43"/>
    <w:rsid w:val="00F35D09"/>
    <w:rsid w:val="00F36968"/>
    <w:rsid w:val="00F40A38"/>
    <w:rsid w:val="00F42076"/>
    <w:rsid w:val="00F439E9"/>
    <w:rsid w:val="00F47DF3"/>
    <w:rsid w:val="00F47E00"/>
    <w:rsid w:val="00F52452"/>
    <w:rsid w:val="00F55784"/>
    <w:rsid w:val="00F56E4A"/>
    <w:rsid w:val="00F61AEB"/>
    <w:rsid w:val="00F6249F"/>
    <w:rsid w:val="00F650AB"/>
    <w:rsid w:val="00F76BE6"/>
    <w:rsid w:val="00F85DD0"/>
    <w:rsid w:val="00F903E8"/>
    <w:rsid w:val="00F90D28"/>
    <w:rsid w:val="00F953FF"/>
    <w:rsid w:val="00FA0EBC"/>
    <w:rsid w:val="00FA4BFF"/>
    <w:rsid w:val="00FB4ABE"/>
    <w:rsid w:val="00FB4F9F"/>
    <w:rsid w:val="00FB5C49"/>
    <w:rsid w:val="00FB6FB2"/>
    <w:rsid w:val="00FC1669"/>
    <w:rsid w:val="00FC37B4"/>
    <w:rsid w:val="00FD4E99"/>
    <w:rsid w:val="00FD55AE"/>
    <w:rsid w:val="00FD58EE"/>
    <w:rsid w:val="00FE068B"/>
    <w:rsid w:val="00FE1D5F"/>
    <w:rsid w:val="00FE2940"/>
    <w:rsid w:val="00FE5D3B"/>
    <w:rsid w:val="00FE626D"/>
    <w:rsid w:val="00FF0C1D"/>
    <w:rsid w:val="00FF4D9F"/>
    <w:rsid w:val="00FF4DA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D2D517"/>
  <w15:chartTrackingRefBased/>
  <w15:docId w15:val="{62DF22A0-A803-4A81-ABEE-BE141EF6A4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5110"/>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uiPriority w:val="9"/>
    <w:qFormat/>
    <w:rsid w:val="005537B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har"/>
    <w:uiPriority w:val="9"/>
    <w:unhideWhenUsed/>
    <w:qFormat/>
    <w:rsid w:val="00EE21D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har"/>
    <w:uiPriority w:val="9"/>
    <w:unhideWhenUsed/>
    <w:qFormat/>
    <w:rsid w:val="00EE21DA"/>
    <w:pPr>
      <w:keepNext/>
      <w:keepLines/>
      <w:spacing w:before="40"/>
      <w:outlineLvl w:val="2"/>
    </w:pPr>
    <w:rPr>
      <w:rFonts w:asciiTheme="majorHAnsi" w:eastAsiaTheme="majorEastAsia" w:hAnsiTheme="majorHAnsi" w:cstheme="majorBidi"/>
      <w:color w:val="1F4D78"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6B3CA5"/>
    <w:pPr>
      <w:spacing w:after="200" w:line="276" w:lineRule="auto"/>
      <w:ind w:left="720"/>
      <w:contextualSpacing/>
    </w:pPr>
  </w:style>
  <w:style w:type="paragraph" w:styleId="Textodenotaderodap">
    <w:name w:val="footnote text"/>
    <w:basedOn w:val="Normal"/>
    <w:link w:val="TextodenotaderodapChar"/>
    <w:uiPriority w:val="99"/>
    <w:semiHidden/>
    <w:unhideWhenUsed/>
    <w:rsid w:val="006B3CA5"/>
    <w:rPr>
      <w:sz w:val="20"/>
      <w:szCs w:val="20"/>
    </w:rPr>
  </w:style>
  <w:style w:type="character" w:customStyle="1" w:styleId="TextodenotaderodapChar">
    <w:name w:val="Texto de nota de rodapé Char"/>
    <w:basedOn w:val="Fontepargpadro"/>
    <w:link w:val="Textodenotaderodap"/>
    <w:uiPriority w:val="99"/>
    <w:semiHidden/>
    <w:rsid w:val="006B3CA5"/>
    <w:rPr>
      <w:sz w:val="20"/>
      <w:szCs w:val="20"/>
    </w:rPr>
  </w:style>
  <w:style w:type="character" w:styleId="Refdenotaderodap">
    <w:name w:val="footnote reference"/>
    <w:basedOn w:val="Fontepargpadro"/>
    <w:uiPriority w:val="99"/>
    <w:semiHidden/>
    <w:unhideWhenUsed/>
    <w:rsid w:val="006B3CA5"/>
    <w:rPr>
      <w:vertAlign w:val="superscript"/>
    </w:rPr>
  </w:style>
  <w:style w:type="table" w:styleId="Tabelacomgrade">
    <w:name w:val="Table Grid"/>
    <w:basedOn w:val="Tabelanormal"/>
    <w:uiPriority w:val="39"/>
    <w:rsid w:val="008F1C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alo">
    <w:name w:val="Balloon Text"/>
    <w:basedOn w:val="Normal"/>
    <w:link w:val="TextodebaloChar"/>
    <w:uiPriority w:val="99"/>
    <w:semiHidden/>
    <w:unhideWhenUsed/>
    <w:rsid w:val="008F1C04"/>
    <w:rPr>
      <w:rFonts w:ascii="Segoe UI" w:hAnsi="Segoe UI" w:cs="Segoe UI"/>
      <w:sz w:val="18"/>
      <w:szCs w:val="18"/>
    </w:rPr>
  </w:style>
  <w:style w:type="character" w:customStyle="1" w:styleId="TextodebaloChar">
    <w:name w:val="Texto de balão Char"/>
    <w:basedOn w:val="Fontepargpadro"/>
    <w:link w:val="Textodebalo"/>
    <w:uiPriority w:val="99"/>
    <w:semiHidden/>
    <w:rsid w:val="008F1C04"/>
    <w:rPr>
      <w:rFonts w:ascii="Segoe UI" w:hAnsi="Segoe UI" w:cs="Segoe UI"/>
      <w:sz w:val="18"/>
      <w:szCs w:val="18"/>
    </w:rPr>
  </w:style>
  <w:style w:type="character" w:customStyle="1" w:styleId="hps">
    <w:name w:val="hps"/>
    <w:basedOn w:val="Fontepargpadro"/>
    <w:rsid w:val="0087472E"/>
  </w:style>
  <w:style w:type="character" w:styleId="Refdecomentrio">
    <w:name w:val="annotation reference"/>
    <w:basedOn w:val="Fontepargpadro"/>
    <w:uiPriority w:val="99"/>
    <w:semiHidden/>
    <w:unhideWhenUsed/>
    <w:rsid w:val="00A511A4"/>
    <w:rPr>
      <w:sz w:val="16"/>
      <w:szCs w:val="16"/>
    </w:rPr>
  </w:style>
  <w:style w:type="paragraph" w:styleId="Textodecomentrio">
    <w:name w:val="annotation text"/>
    <w:basedOn w:val="Normal"/>
    <w:link w:val="TextodecomentrioChar"/>
    <w:uiPriority w:val="99"/>
    <w:semiHidden/>
    <w:unhideWhenUsed/>
    <w:rsid w:val="00A511A4"/>
    <w:pPr>
      <w:spacing w:after="200"/>
    </w:pPr>
    <w:rPr>
      <w:sz w:val="20"/>
      <w:szCs w:val="20"/>
    </w:rPr>
  </w:style>
  <w:style w:type="character" w:customStyle="1" w:styleId="TextodecomentrioChar">
    <w:name w:val="Texto de comentário Char"/>
    <w:basedOn w:val="Fontepargpadro"/>
    <w:link w:val="Textodecomentrio"/>
    <w:uiPriority w:val="99"/>
    <w:semiHidden/>
    <w:rsid w:val="00A511A4"/>
    <w:rPr>
      <w:sz w:val="20"/>
      <w:szCs w:val="20"/>
    </w:rPr>
  </w:style>
  <w:style w:type="paragraph" w:styleId="Assuntodocomentrio">
    <w:name w:val="annotation subject"/>
    <w:basedOn w:val="Textodecomentrio"/>
    <w:next w:val="Textodecomentrio"/>
    <w:link w:val="AssuntodocomentrioChar"/>
    <w:uiPriority w:val="99"/>
    <w:semiHidden/>
    <w:unhideWhenUsed/>
    <w:rsid w:val="00882E14"/>
    <w:pPr>
      <w:spacing w:after="160"/>
    </w:pPr>
    <w:rPr>
      <w:b/>
      <w:bCs/>
    </w:rPr>
  </w:style>
  <w:style w:type="character" w:customStyle="1" w:styleId="AssuntodocomentrioChar">
    <w:name w:val="Assunto do comentário Char"/>
    <w:basedOn w:val="TextodecomentrioChar"/>
    <w:link w:val="Assuntodocomentrio"/>
    <w:uiPriority w:val="99"/>
    <w:semiHidden/>
    <w:rsid w:val="00882E14"/>
    <w:rPr>
      <w:b/>
      <w:bCs/>
      <w:sz w:val="20"/>
      <w:szCs w:val="20"/>
    </w:rPr>
  </w:style>
  <w:style w:type="paragraph" w:styleId="Cabealho">
    <w:name w:val="header"/>
    <w:basedOn w:val="Normal"/>
    <w:link w:val="CabealhoChar"/>
    <w:uiPriority w:val="99"/>
    <w:unhideWhenUsed/>
    <w:rsid w:val="00A523B6"/>
    <w:pPr>
      <w:tabs>
        <w:tab w:val="center" w:pos="4252"/>
        <w:tab w:val="right" w:pos="8504"/>
      </w:tabs>
    </w:pPr>
  </w:style>
  <w:style w:type="character" w:customStyle="1" w:styleId="CabealhoChar">
    <w:name w:val="Cabeçalho Char"/>
    <w:basedOn w:val="Fontepargpadro"/>
    <w:link w:val="Cabealho"/>
    <w:uiPriority w:val="99"/>
    <w:rsid w:val="00A523B6"/>
  </w:style>
  <w:style w:type="paragraph" w:styleId="Rodap">
    <w:name w:val="footer"/>
    <w:basedOn w:val="Normal"/>
    <w:link w:val="RodapChar"/>
    <w:uiPriority w:val="99"/>
    <w:unhideWhenUsed/>
    <w:rsid w:val="00A523B6"/>
    <w:pPr>
      <w:tabs>
        <w:tab w:val="center" w:pos="4252"/>
        <w:tab w:val="right" w:pos="8504"/>
      </w:tabs>
    </w:pPr>
  </w:style>
  <w:style w:type="character" w:customStyle="1" w:styleId="RodapChar">
    <w:name w:val="Rodapé Char"/>
    <w:basedOn w:val="Fontepargpadro"/>
    <w:link w:val="Rodap"/>
    <w:uiPriority w:val="99"/>
    <w:rsid w:val="00A523B6"/>
  </w:style>
  <w:style w:type="character" w:customStyle="1" w:styleId="highlight">
    <w:name w:val="highlight"/>
    <w:basedOn w:val="Fontepargpadro"/>
    <w:rsid w:val="00410A46"/>
  </w:style>
  <w:style w:type="paragraph" w:styleId="NormalWeb">
    <w:name w:val="Normal (Web)"/>
    <w:basedOn w:val="Normal"/>
    <w:uiPriority w:val="99"/>
    <w:unhideWhenUsed/>
    <w:rsid w:val="00641FD7"/>
    <w:pPr>
      <w:spacing w:before="100" w:beforeAutospacing="1" w:after="100" w:afterAutospacing="1"/>
    </w:pPr>
  </w:style>
  <w:style w:type="character" w:customStyle="1" w:styleId="mathjaximage">
    <w:name w:val="mathjaximage"/>
    <w:basedOn w:val="Fontepargpadro"/>
    <w:rsid w:val="008F613D"/>
  </w:style>
  <w:style w:type="character" w:customStyle="1" w:styleId="5yl5">
    <w:name w:val="_5yl5"/>
    <w:basedOn w:val="Fontepargpadro"/>
    <w:rsid w:val="007C4CC2"/>
  </w:style>
  <w:style w:type="character" w:styleId="Hyperlink">
    <w:name w:val="Hyperlink"/>
    <w:basedOn w:val="Fontepargpadro"/>
    <w:uiPriority w:val="99"/>
    <w:unhideWhenUsed/>
    <w:rsid w:val="006B5A76"/>
    <w:rPr>
      <w:color w:val="0563C1" w:themeColor="hyperlink"/>
      <w:u w:val="single"/>
    </w:rPr>
  </w:style>
  <w:style w:type="character" w:customStyle="1" w:styleId="Ttulo1Char">
    <w:name w:val="Título 1 Char"/>
    <w:basedOn w:val="Fontepargpadro"/>
    <w:link w:val="Ttulo1"/>
    <w:uiPriority w:val="9"/>
    <w:rsid w:val="005537BD"/>
    <w:rPr>
      <w:rFonts w:asciiTheme="majorHAnsi" w:eastAsiaTheme="majorEastAsia" w:hAnsiTheme="majorHAnsi" w:cstheme="majorBidi"/>
      <w:color w:val="2E74B5" w:themeColor="accent1" w:themeShade="BF"/>
      <w:sz w:val="32"/>
      <w:szCs w:val="32"/>
      <w:lang w:eastAsia="pt-BR"/>
    </w:rPr>
  </w:style>
  <w:style w:type="character" w:customStyle="1" w:styleId="Ttulo2Char">
    <w:name w:val="Título 2 Char"/>
    <w:basedOn w:val="Fontepargpadro"/>
    <w:link w:val="Ttulo2"/>
    <w:uiPriority w:val="9"/>
    <w:rsid w:val="00EE21DA"/>
    <w:rPr>
      <w:rFonts w:asciiTheme="majorHAnsi" w:eastAsiaTheme="majorEastAsia" w:hAnsiTheme="majorHAnsi" w:cstheme="majorBidi"/>
      <w:color w:val="2E74B5" w:themeColor="accent1" w:themeShade="BF"/>
      <w:sz w:val="26"/>
      <w:szCs w:val="26"/>
      <w:lang w:eastAsia="pt-BR"/>
    </w:rPr>
  </w:style>
  <w:style w:type="character" w:customStyle="1" w:styleId="Ttulo3Char">
    <w:name w:val="Título 3 Char"/>
    <w:basedOn w:val="Fontepargpadro"/>
    <w:link w:val="Ttulo3"/>
    <w:uiPriority w:val="9"/>
    <w:rsid w:val="00EE21DA"/>
    <w:rPr>
      <w:rFonts w:asciiTheme="majorHAnsi" w:eastAsiaTheme="majorEastAsia" w:hAnsiTheme="majorHAnsi" w:cstheme="majorBidi"/>
      <w:color w:val="1F4D78" w:themeColor="accent1" w:themeShade="7F"/>
      <w:sz w:val="24"/>
      <w:szCs w:val="24"/>
      <w:lang w:eastAsia="pt-BR"/>
    </w:rPr>
  </w:style>
  <w:style w:type="paragraph" w:styleId="CabealhodoSumrio">
    <w:name w:val="TOC Heading"/>
    <w:basedOn w:val="Ttulo1"/>
    <w:next w:val="Normal"/>
    <w:uiPriority w:val="39"/>
    <w:unhideWhenUsed/>
    <w:qFormat/>
    <w:rsid w:val="00CB1429"/>
    <w:pPr>
      <w:spacing w:line="259" w:lineRule="auto"/>
      <w:outlineLvl w:val="9"/>
    </w:pPr>
  </w:style>
  <w:style w:type="paragraph" w:styleId="Sumrio1">
    <w:name w:val="toc 1"/>
    <w:basedOn w:val="Normal"/>
    <w:next w:val="Normal"/>
    <w:autoRedefine/>
    <w:uiPriority w:val="39"/>
    <w:unhideWhenUsed/>
    <w:rsid w:val="00CB1429"/>
    <w:pPr>
      <w:spacing w:after="100"/>
    </w:pPr>
  </w:style>
  <w:style w:type="paragraph" w:styleId="Sumrio2">
    <w:name w:val="toc 2"/>
    <w:basedOn w:val="Normal"/>
    <w:next w:val="Normal"/>
    <w:autoRedefine/>
    <w:uiPriority w:val="39"/>
    <w:unhideWhenUsed/>
    <w:rsid w:val="00CB1429"/>
    <w:pPr>
      <w:spacing w:after="100"/>
      <w:ind w:left="240"/>
    </w:pPr>
  </w:style>
  <w:style w:type="paragraph" w:styleId="Subttulo">
    <w:name w:val="Subtitle"/>
    <w:basedOn w:val="Normal"/>
    <w:next w:val="Normal"/>
    <w:link w:val="SubttuloChar"/>
    <w:uiPriority w:val="11"/>
    <w:qFormat/>
    <w:rsid w:val="005A707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tuloChar">
    <w:name w:val="Subtítulo Char"/>
    <w:basedOn w:val="Fontepargpadro"/>
    <w:link w:val="Subttulo"/>
    <w:uiPriority w:val="11"/>
    <w:rsid w:val="005A7075"/>
    <w:rPr>
      <w:rFonts w:eastAsiaTheme="minorEastAsia"/>
      <w:color w:val="5A5A5A" w:themeColor="text1" w:themeTint="A5"/>
      <w:spacing w:val="15"/>
      <w:lang w:eastAsia="pt-BR"/>
    </w:rPr>
  </w:style>
  <w:style w:type="paragraph" w:styleId="Ttulo">
    <w:name w:val="Title"/>
    <w:basedOn w:val="Normal"/>
    <w:next w:val="Normal"/>
    <w:link w:val="TtuloChar"/>
    <w:uiPriority w:val="10"/>
    <w:qFormat/>
    <w:rsid w:val="005C5CA5"/>
    <w:pPr>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5C5CA5"/>
    <w:rPr>
      <w:rFonts w:asciiTheme="majorHAnsi" w:eastAsiaTheme="majorEastAsia" w:hAnsiTheme="majorHAnsi" w:cstheme="majorBidi"/>
      <w:spacing w:val="-10"/>
      <w:kern w:val="28"/>
      <w:sz w:val="56"/>
      <w:szCs w:val="56"/>
      <w:lang w:eastAsia="pt-BR"/>
    </w:rPr>
  </w:style>
  <w:style w:type="paragraph" w:styleId="Sumrio3">
    <w:name w:val="toc 3"/>
    <w:basedOn w:val="Normal"/>
    <w:next w:val="Normal"/>
    <w:autoRedefine/>
    <w:uiPriority w:val="39"/>
    <w:unhideWhenUsed/>
    <w:rsid w:val="006C2AAD"/>
    <w:pPr>
      <w:spacing w:after="100"/>
      <w:ind w:left="480"/>
    </w:pPr>
  </w:style>
  <w:style w:type="character" w:styleId="nfase">
    <w:name w:val="Emphasis"/>
    <w:basedOn w:val="Fontepargpadro"/>
    <w:uiPriority w:val="20"/>
    <w:qFormat/>
    <w:rsid w:val="00D23A80"/>
    <w:rPr>
      <w:i/>
      <w:iCs/>
    </w:rPr>
  </w:style>
  <w:style w:type="paragraph" w:styleId="Corpodetexto2">
    <w:name w:val="Body Text 2"/>
    <w:basedOn w:val="Normal"/>
    <w:link w:val="Corpodetexto2Char"/>
    <w:uiPriority w:val="99"/>
    <w:unhideWhenUsed/>
    <w:rsid w:val="00D23A80"/>
    <w:pPr>
      <w:spacing w:after="120" w:line="480" w:lineRule="auto"/>
    </w:pPr>
    <w:rPr>
      <w:rFonts w:asciiTheme="minorHAnsi" w:eastAsiaTheme="minorHAnsi" w:hAnsiTheme="minorHAnsi" w:cstheme="minorBidi"/>
      <w:sz w:val="22"/>
      <w:szCs w:val="22"/>
      <w:lang w:eastAsia="en-US"/>
    </w:rPr>
  </w:style>
  <w:style w:type="character" w:customStyle="1" w:styleId="Corpodetexto2Char">
    <w:name w:val="Corpo de texto 2 Char"/>
    <w:basedOn w:val="Fontepargpadro"/>
    <w:link w:val="Corpodetexto2"/>
    <w:uiPriority w:val="99"/>
    <w:rsid w:val="00D23A80"/>
  </w:style>
  <w:style w:type="character" w:customStyle="1" w:styleId="apple-converted-space">
    <w:name w:val="apple-converted-space"/>
    <w:basedOn w:val="Fontepargpadro"/>
    <w:rsid w:val="00D23A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84499">
      <w:bodyDiv w:val="1"/>
      <w:marLeft w:val="0"/>
      <w:marRight w:val="0"/>
      <w:marTop w:val="0"/>
      <w:marBottom w:val="0"/>
      <w:divBdr>
        <w:top w:val="none" w:sz="0" w:space="0" w:color="auto"/>
        <w:left w:val="none" w:sz="0" w:space="0" w:color="auto"/>
        <w:bottom w:val="none" w:sz="0" w:space="0" w:color="auto"/>
        <w:right w:val="none" w:sz="0" w:space="0" w:color="auto"/>
      </w:divBdr>
      <w:divsChild>
        <w:div w:id="393041725">
          <w:marLeft w:val="0"/>
          <w:marRight w:val="0"/>
          <w:marTop w:val="0"/>
          <w:marBottom w:val="0"/>
          <w:divBdr>
            <w:top w:val="none" w:sz="0" w:space="0" w:color="auto"/>
            <w:left w:val="none" w:sz="0" w:space="0" w:color="auto"/>
            <w:bottom w:val="none" w:sz="0" w:space="0" w:color="auto"/>
            <w:right w:val="none" w:sz="0" w:space="0" w:color="auto"/>
          </w:divBdr>
        </w:div>
        <w:div w:id="434062668">
          <w:marLeft w:val="0"/>
          <w:marRight w:val="0"/>
          <w:marTop w:val="0"/>
          <w:marBottom w:val="0"/>
          <w:divBdr>
            <w:top w:val="none" w:sz="0" w:space="0" w:color="auto"/>
            <w:left w:val="none" w:sz="0" w:space="0" w:color="auto"/>
            <w:bottom w:val="none" w:sz="0" w:space="0" w:color="auto"/>
            <w:right w:val="none" w:sz="0" w:space="0" w:color="auto"/>
          </w:divBdr>
        </w:div>
        <w:div w:id="1218975606">
          <w:marLeft w:val="0"/>
          <w:marRight w:val="0"/>
          <w:marTop w:val="0"/>
          <w:marBottom w:val="0"/>
          <w:divBdr>
            <w:top w:val="none" w:sz="0" w:space="0" w:color="auto"/>
            <w:left w:val="none" w:sz="0" w:space="0" w:color="auto"/>
            <w:bottom w:val="none" w:sz="0" w:space="0" w:color="auto"/>
            <w:right w:val="none" w:sz="0" w:space="0" w:color="auto"/>
          </w:divBdr>
        </w:div>
        <w:div w:id="1473401468">
          <w:marLeft w:val="0"/>
          <w:marRight w:val="0"/>
          <w:marTop w:val="0"/>
          <w:marBottom w:val="0"/>
          <w:divBdr>
            <w:top w:val="none" w:sz="0" w:space="0" w:color="auto"/>
            <w:left w:val="none" w:sz="0" w:space="0" w:color="auto"/>
            <w:bottom w:val="none" w:sz="0" w:space="0" w:color="auto"/>
            <w:right w:val="none" w:sz="0" w:space="0" w:color="auto"/>
          </w:divBdr>
        </w:div>
      </w:divsChild>
    </w:div>
    <w:div w:id="28579260">
      <w:bodyDiv w:val="1"/>
      <w:marLeft w:val="0"/>
      <w:marRight w:val="0"/>
      <w:marTop w:val="0"/>
      <w:marBottom w:val="0"/>
      <w:divBdr>
        <w:top w:val="none" w:sz="0" w:space="0" w:color="auto"/>
        <w:left w:val="none" w:sz="0" w:space="0" w:color="auto"/>
        <w:bottom w:val="none" w:sz="0" w:space="0" w:color="auto"/>
        <w:right w:val="none" w:sz="0" w:space="0" w:color="auto"/>
      </w:divBdr>
      <w:divsChild>
        <w:div w:id="44722062">
          <w:marLeft w:val="0"/>
          <w:marRight w:val="0"/>
          <w:marTop w:val="0"/>
          <w:marBottom w:val="0"/>
          <w:divBdr>
            <w:top w:val="none" w:sz="0" w:space="0" w:color="auto"/>
            <w:left w:val="none" w:sz="0" w:space="0" w:color="auto"/>
            <w:bottom w:val="none" w:sz="0" w:space="0" w:color="auto"/>
            <w:right w:val="none" w:sz="0" w:space="0" w:color="auto"/>
          </w:divBdr>
        </w:div>
        <w:div w:id="321782954">
          <w:marLeft w:val="0"/>
          <w:marRight w:val="0"/>
          <w:marTop w:val="0"/>
          <w:marBottom w:val="0"/>
          <w:divBdr>
            <w:top w:val="none" w:sz="0" w:space="0" w:color="auto"/>
            <w:left w:val="none" w:sz="0" w:space="0" w:color="auto"/>
            <w:bottom w:val="none" w:sz="0" w:space="0" w:color="auto"/>
            <w:right w:val="none" w:sz="0" w:space="0" w:color="auto"/>
          </w:divBdr>
        </w:div>
        <w:div w:id="600573070">
          <w:marLeft w:val="0"/>
          <w:marRight w:val="0"/>
          <w:marTop w:val="0"/>
          <w:marBottom w:val="0"/>
          <w:divBdr>
            <w:top w:val="none" w:sz="0" w:space="0" w:color="auto"/>
            <w:left w:val="none" w:sz="0" w:space="0" w:color="auto"/>
            <w:bottom w:val="none" w:sz="0" w:space="0" w:color="auto"/>
            <w:right w:val="none" w:sz="0" w:space="0" w:color="auto"/>
          </w:divBdr>
        </w:div>
        <w:div w:id="724111188">
          <w:marLeft w:val="0"/>
          <w:marRight w:val="0"/>
          <w:marTop w:val="0"/>
          <w:marBottom w:val="0"/>
          <w:divBdr>
            <w:top w:val="none" w:sz="0" w:space="0" w:color="auto"/>
            <w:left w:val="none" w:sz="0" w:space="0" w:color="auto"/>
            <w:bottom w:val="none" w:sz="0" w:space="0" w:color="auto"/>
            <w:right w:val="none" w:sz="0" w:space="0" w:color="auto"/>
          </w:divBdr>
        </w:div>
        <w:div w:id="1058817562">
          <w:marLeft w:val="0"/>
          <w:marRight w:val="0"/>
          <w:marTop w:val="0"/>
          <w:marBottom w:val="0"/>
          <w:divBdr>
            <w:top w:val="none" w:sz="0" w:space="0" w:color="auto"/>
            <w:left w:val="none" w:sz="0" w:space="0" w:color="auto"/>
            <w:bottom w:val="none" w:sz="0" w:space="0" w:color="auto"/>
            <w:right w:val="none" w:sz="0" w:space="0" w:color="auto"/>
          </w:divBdr>
        </w:div>
        <w:div w:id="1245332938">
          <w:marLeft w:val="0"/>
          <w:marRight w:val="0"/>
          <w:marTop w:val="0"/>
          <w:marBottom w:val="0"/>
          <w:divBdr>
            <w:top w:val="none" w:sz="0" w:space="0" w:color="auto"/>
            <w:left w:val="none" w:sz="0" w:space="0" w:color="auto"/>
            <w:bottom w:val="none" w:sz="0" w:space="0" w:color="auto"/>
            <w:right w:val="none" w:sz="0" w:space="0" w:color="auto"/>
          </w:divBdr>
        </w:div>
        <w:div w:id="1263221990">
          <w:marLeft w:val="0"/>
          <w:marRight w:val="0"/>
          <w:marTop w:val="0"/>
          <w:marBottom w:val="0"/>
          <w:divBdr>
            <w:top w:val="none" w:sz="0" w:space="0" w:color="auto"/>
            <w:left w:val="none" w:sz="0" w:space="0" w:color="auto"/>
            <w:bottom w:val="none" w:sz="0" w:space="0" w:color="auto"/>
            <w:right w:val="none" w:sz="0" w:space="0" w:color="auto"/>
          </w:divBdr>
        </w:div>
        <w:div w:id="1288001537">
          <w:marLeft w:val="0"/>
          <w:marRight w:val="0"/>
          <w:marTop w:val="0"/>
          <w:marBottom w:val="0"/>
          <w:divBdr>
            <w:top w:val="none" w:sz="0" w:space="0" w:color="auto"/>
            <w:left w:val="none" w:sz="0" w:space="0" w:color="auto"/>
            <w:bottom w:val="none" w:sz="0" w:space="0" w:color="auto"/>
            <w:right w:val="none" w:sz="0" w:space="0" w:color="auto"/>
          </w:divBdr>
        </w:div>
        <w:div w:id="1537498217">
          <w:marLeft w:val="0"/>
          <w:marRight w:val="0"/>
          <w:marTop w:val="0"/>
          <w:marBottom w:val="0"/>
          <w:divBdr>
            <w:top w:val="none" w:sz="0" w:space="0" w:color="auto"/>
            <w:left w:val="none" w:sz="0" w:space="0" w:color="auto"/>
            <w:bottom w:val="none" w:sz="0" w:space="0" w:color="auto"/>
            <w:right w:val="none" w:sz="0" w:space="0" w:color="auto"/>
          </w:divBdr>
        </w:div>
        <w:div w:id="1570071354">
          <w:marLeft w:val="0"/>
          <w:marRight w:val="0"/>
          <w:marTop w:val="0"/>
          <w:marBottom w:val="0"/>
          <w:divBdr>
            <w:top w:val="none" w:sz="0" w:space="0" w:color="auto"/>
            <w:left w:val="none" w:sz="0" w:space="0" w:color="auto"/>
            <w:bottom w:val="none" w:sz="0" w:space="0" w:color="auto"/>
            <w:right w:val="none" w:sz="0" w:space="0" w:color="auto"/>
          </w:divBdr>
        </w:div>
        <w:div w:id="1613391474">
          <w:marLeft w:val="0"/>
          <w:marRight w:val="0"/>
          <w:marTop w:val="0"/>
          <w:marBottom w:val="0"/>
          <w:divBdr>
            <w:top w:val="none" w:sz="0" w:space="0" w:color="auto"/>
            <w:left w:val="none" w:sz="0" w:space="0" w:color="auto"/>
            <w:bottom w:val="none" w:sz="0" w:space="0" w:color="auto"/>
            <w:right w:val="none" w:sz="0" w:space="0" w:color="auto"/>
          </w:divBdr>
        </w:div>
        <w:div w:id="1774131997">
          <w:marLeft w:val="0"/>
          <w:marRight w:val="0"/>
          <w:marTop w:val="0"/>
          <w:marBottom w:val="0"/>
          <w:divBdr>
            <w:top w:val="none" w:sz="0" w:space="0" w:color="auto"/>
            <w:left w:val="none" w:sz="0" w:space="0" w:color="auto"/>
            <w:bottom w:val="none" w:sz="0" w:space="0" w:color="auto"/>
            <w:right w:val="none" w:sz="0" w:space="0" w:color="auto"/>
          </w:divBdr>
        </w:div>
        <w:div w:id="1991669385">
          <w:marLeft w:val="0"/>
          <w:marRight w:val="0"/>
          <w:marTop w:val="0"/>
          <w:marBottom w:val="0"/>
          <w:divBdr>
            <w:top w:val="none" w:sz="0" w:space="0" w:color="auto"/>
            <w:left w:val="none" w:sz="0" w:space="0" w:color="auto"/>
            <w:bottom w:val="none" w:sz="0" w:space="0" w:color="auto"/>
            <w:right w:val="none" w:sz="0" w:space="0" w:color="auto"/>
          </w:divBdr>
        </w:div>
        <w:div w:id="2086562523">
          <w:marLeft w:val="0"/>
          <w:marRight w:val="0"/>
          <w:marTop w:val="0"/>
          <w:marBottom w:val="0"/>
          <w:divBdr>
            <w:top w:val="none" w:sz="0" w:space="0" w:color="auto"/>
            <w:left w:val="none" w:sz="0" w:space="0" w:color="auto"/>
            <w:bottom w:val="none" w:sz="0" w:space="0" w:color="auto"/>
            <w:right w:val="none" w:sz="0" w:space="0" w:color="auto"/>
          </w:divBdr>
        </w:div>
      </w:divsChild>
    </w:div>
    <w:div w:id="48505476">
      <w:bodyDiv w:val="1"/>
      <w:marLeft w:val="0"/>
      <w:marRight w:val="0"/>
      <w:marTop w:val="0"/>
      <w:marBottom w:val="0"/>
      <w:divBdr>
        <w:top w:val="none" w:sz="0" w:space="0" w:color="auto"/>
        <w:left w:val="none" w:sz="0" w:space="0" w:color="auto"/>
        <w:bottom w:val="none" w:sz="0" w:space="0" w:color="auto"/>
        <w:right w:val="none" w:sz="0" w:space="0" w:color="auto"/>
      </w:divBdr>
      <w:divsChild>
        <w:div w:id="902376464">
          <w:marLeft w:val="0"/>
          <w:marRight w:val="0"/>
          <w:marTop w:val="0"/>
          <w:marBottom w:val="0"/>
          <w:divBdr>
            <w:top w:val="none" w:sz="0" w:space="0" w:color="auto"/>
            <w:left w:val="none" w:sz="0" w:space="0" w:color="auto"/>
            <w:bottom w:val="none" w:sz="0" w:space="0" w:color="auto"/>
            <w:right w:val="none" w:sz="0" w:space="0" w:color="auto"/>
          </w:divBdr>
        </w:div>
        <w:div w:id="1338970131">
          <w:marLeft w:val="0"/>
          <w:marRight w:val="0"/>
          <w:marTop w:val="0"/>
          <w:marBottom w:val="0"/>
          <w:divBdr>
            <w:top w:val="none" w:sz="0" w:space="0" w:color="auto"/>
            <w:left w:val="none" w:sz="0" w:space="0" w:color="auto"/>
            <w:bottom w:val="none" w:sz="0" w:space="0" w:color="auto"/>
            <w:right w:val="none" w:sz="0" w:space="0" w:color="auto"/>
          </w:divBdr>
        </w:div>
        <w:div w:id="1913805490">
          <w:marLeft w:val="0"/>
          <w:marRight w:val="0"/>
          <w:marTop w:val="0"/>
          <w:marBottom w:val="0"/>
          <w:divBdr>
            <w:top w:val="none" w:sz="0" w:space="0" w:color="auto"/>
            <w:left w:val="none" w:sz="0" w:space="0" w:color="auto"/>
            <w:bottom w:val="none" w:sz="0" w:space="0" w:color="auto"/>
            <w:right w:val="none" w:sz="0" w:space="0" w:color="auto"/>
          </w:divBdr>
        </w:div>
        <w:div w:id="1934821163">
          <w:marLeft w:val="0"/>
          <w:marRight w:val="0"/>
          <w:marTop w:val="0"/>
          <w:marBottom w:val="0"/>
          <w:divBdr>
            <w:top w:val="none" w:sz="0" w:space="0" w:color="auto"/>
            <w:left w:val="none" w:sz="0" w:space="0" w:color="auto"/>
            <w:bottom w:val="none" w:sz="0" w:space="0" w:color="auto"/>
            <w:right w:val="none" w:sz="0" w:space="0" w:color="auto"/>
          </w:divBdr>
        </w:div>
      </w:divsChild>
    </w:div>
    <w:div w:id="123157800">
      <w:bodyDiv w:val="1"/>
      <w:marLeft w:val="0"/>
      <w:marRight w:val="0"/>
      <w:marTop w:val="0"/>
      <w:marBottom w:val="0"/>
      <w:divBdr>
        <w:top w:val="none" w:sz="0" w:space="0" w:color="auto"/>
        <w:left w:val="none" w:sz="0" w:space="0" w:color="auto"/>
        <w:bottom w:val="none" w:sz="0" w:space="0" w:color="auto"/>
        <w:right w:val="none" w:sz="0" w:space="0" w:color="auto"/>
      </w:divBdr>
      <w:divsChild>
        <w:div w:id="987708652">
          <w:marLeft w:val="0"/>
          <w:marRight w:val="0"/>
          <w:marTop w:val="0"/>
          <w:marBottom w:val="0"/>
          <w:divBdr>
            <w:top w:val="none" w:sz="0" w:space="0" w:color="auto"/>
            <w:left w:val="none" w:sz="0" w:space="0" w:color="auto"/>
            <w:bottom w:val="none" w:sz="0" w:space="0" w:color="auto"/>
            <w:right w:val="none" w:sz="0" w:space="0" w:color="auto"/>
          </w:divBdr>
        </w:div>
        <w:div w:id="1292975344">
          <w:marLeft w:val="0"/>
          <w:marRight w:val="0"/>
          <w:marTop w:val="0"/>
          <w:marBottom w:val="0"/>
          <w:divBdr>
            <w:top w:val="none" w:sz="0" w:space="0" w:color="auto"/>
            <w:left w:val="none" w:sz="0" w:space="0" w:color="auto"/>
            <w:bottom w:val="none" w:sz="0" w:space="0" w:color="auto"/>
            <w:right w:val="none" w:sz="0" w:space="0" w:color="auto"/>
          </w:divBdr>
        </w:div>
        <w:div w:id="1475491478">
          <w:marLeft w:val="0"/>
          <w:marRight w:val="0"/>
          <w:marTop w:val="0"/>
          <w:marBottom w:val="0"/>
          <w:divBdr>
            <w:top w:val="none" w:sz="0" w:space="0" w:color="auto"/>
            <w:left w:val="none" w:sz="0" w:space="0" w:color="auto"/>
            <w:bottom w:val="none" w:sz="0" w:space="0" w:color="auto"/>
            <w:right w:val="none" w:sz="0" w:space="0" w:color="auto"/>
          </w:divBdr>
        </w:div>
        <w:div w:id="761101701">
          <w:marLeft w:val="0"/>
          <w:marRight w:val="0"/>
          <w:marTop w:val="0"/>
          <w:marBottom w:val="0"/>
          <w:divBdr>
            <w:top w:val="none" w:sz="0" w:space="0" w:color="auto"/>
            <w:left w:val="none" w:sz="0" w:space="0" w:color="auto"/>
            <w:bottom w:val="none" w:sz="0" w:space="0" w:color="auto"/>
            <w:right w:val="none" w:sz="0" w:space="0" w:color="auto"/>
          </w:divBdr>
        </w:div>
        <w:div w:id="1987542677">
          <w:marLeft w:val="0"/>
          <w:marRight w:val="0"/>
          <w:marTop w:val="0"/>
          <w:marBottom w:val="0"/>
          <w:divBdr>
            <w:top w:val="none" w:sz="0" w:space="0" w:color="auto"/>
            <w:left w:val="none" w:sz="0" w:space="0" w:color="auto"/>
            <w:bottom w:val="none" w:sz="0" w:space="0" w:color="auto"/>
            <w:right w:val="none" w:sz="0" w:space="0" w:color="auto"/>
          </w:divBdr>
        </w:div>
        <w:div w:id="1372000213">
          <w:marLeft w:val="0"/>
          <w:marRight w:val="0"/>
          <w:marTop w:val="0"/>
          <w:marBottom w:val="0"/>
          <w:divBdr>
            <w:top w:val="none" w:sz="0" w:space="0" w:color="auto"/>
            <w:left w:val="none" w:sz="0" w:space="0" w:color="auto"/>
            <w:bottom w:val="none" w:sz="0" w:space="0" w:color="auto"/>
            <w:right w:val="none" w:sz="0" w:space="0" w:color="auto"/>
          </w:divBdr>
        </w:div>
        <w:div w:id="1840921922">
          <w:marLeft w:val="0"/>
          <w:marRight w:val="0"/>
          <w:marTop w:val="0"/>
          <w:marBottom w:val="0"/>
          <w:divBdr>
            <w:top w:val="none" w:sz="0" w:space="0" w:color="auto"/>
            <w:left w:val="none" w:sz="0" w:space="0" w:color="auto"/>
            <w:bottom w:val="none" w:sz="0" w:space="0" w:color="auto"/>
            <w:right w:val="none" w:sz="0" w:space="0" w:color="auto"/>
          </w:divBdr>
        </w:div>
        <w:div w:id="958879380">
          <w:marLeft w:val="0"/>
          <w:marRight w:val="0"/>
          <w:marTop w:val="0"/>
          <w:marBottom w:val="0"/>
          <w:divBdr>
            <w:top w:val="none" w:sz="0" w:space="0" w:color="auto"/>
            <w:left w:val="none" w:sz="0" w:space="0" w:color="auto"/>
            <w:bottom w:val="none" w:sz="0" w:space="0" w:color="auto"/>
            <w:right w:val="none" w:sz="0" w:space="0" w:color="auto"/>
          </w:divBdr>
        </w:div>
      </w:divsChild>
    </w:div>
    <w:div w:id="126170237">
      <w:bodyDiv w:val="1"/>
      <w:marLeft w:val="0"/>
      <w:marRight w:val="0"/>
      <w:marTop w:val="0"/>
      <w:marBottom w:val="0"/>
      <w:divBdr>
        <w:top w:val="none" w:sz="0" w:space="0" w:color="auto"/>
        <w:left w:val="none" w:sz="0" w:space="0" w:color="auto"/>
        <w:bottom w:val="none" w:sz="0" w:space="0" w:color="auto"/>
        <w:right w:val="none" w:sz="0" w:space="0" w:color="auto"/>
      </w:divBdr>
      <w:divsChild>
        <w:div w:id="324164494">
          <w:marLeft w:val="0"/>
          <w:marRight w:val="0"/>
          <w:marTop w:val="0"/>
          <w:marBottom w:val="0"/>
          <w:divBdr>
            <w:top w:val="none" w:sz="0" w:space="0" w:color="auto"/>
            <w:left w:val="none" w:sz="0" w:space="0" w:color="auto"/>
            <w:bottom w:val="none" w:sz="0" w:space="0" w:color="auto"/>
            <w:right w:val="none" w:sz="0" w:space="0" w:color="auto"/>
          </w:divBdr>
        </w:div>
        <w:div w:id="1283851425">
          <w:marLeft w:val="0"/>
          <w:marRight w:val="0"/>
          <w:marTop w:val="0"/>
          <w:marBottom w:val="0"/>
          <w:divBdr>
            <w:top w:val="none" w:sz="0" w:space="0" w:color="auto"/>
            <w:left w:val="none" w:sz="0" w:space="0" w:color="auto"/>
            <w:bottom w:val="none" w:sz="0" w:space="0" w:color="auto"/>
            <w:right w:val="none" w:sz="0" w:space="0" w:color="auto"/>
          </w:divBdr>
        </w:div>
        <w:div w:id="1577015191">
          <w:marLeft w:val="0"/>
          <w:marRight w:val="0"/>
          <w:marTop w:val="0"/>
          <w:marBottom w:val="0"/>
          <w:divBdr>
            <w:top w:val="none" w:sz="0" w:space="0" w:color="auto"/>
            <w:left w:val="none" w:sz="0" w:space="0" w:color="auto"/>
            <w:bottom w:val="none" w:sz="0" w:space="0" w:color="auto"/>
            <w:right w:val="none" w:sz="0" w:space="0" w:color="auto"/>
          </w:divBdr>
        </w:div>
        <w:div w:id="1668166078">
          <w:marLeft w:val="0"/>
          <w:marRight w:val="0"/>
          <w:marTop w:val="0"/>
          <w:marBottom w:val="0"/>
          <w:divBdr>
            <w:top w:val="none" w:sz="0" w:space="0" w:color="auto"/>
            <w:left w:val="none" w:sz="0" w:space="0" w:color="auto"/>
            <w:bottom w:val="none" w:sz="0" w:space="0" w:color="auto"/>
            <w:right w:val="none" w:sz="0" w:space="0" w:color="auto"/>
          </w:divBdr>
        </w:div>
        <w:div w:id="1875387987">
          <w:marLeft w:val="0"/>
          <w:marRight w:val="0"/>
          <w:marTop w:val="0"/>
          <w:marBottom w:val="0"/>
          <w:divBdr>
            <w:top w:val="none" w:sz="0" w:space="0" w:color="auto"/>
            <w:left w:val="none" w:sz="0" w:space="0" w:color="auto"/>
            <w:bottom w:val="none" w:sz="0" w:space="0" w:color="auto"/>
            <w:right w:val="none" w:sz="0" w:space="0" w:color="auto"/>
          </w:divBdr>
        </w:div>
        <w:div w:id="1903902621">
          <w:marLeft w:val="0"/>
          <w:marRight w:val="0"/>
          <w:marTop w:val="0"/>
          <w:marBottom w:val="0"/>
          <w:divBdr>
            <w:top w:val="none" w:sz="0" w:space="0" w:color="auto"/>
            <w:left w:val="none" w:sz="0" w:space="0" w:color="auto"/>
            <w:bottom w:val="none" w:sz="0" w:space="0" w:color="auto"/>
            <w:right w:val="none" w:sz="0" w:space="0" w:color="auto"/>
          </w:divBdr>
        </w:div>
      </w:divsChild>
    </w:div>
    <w:div w:id="169566951">
      <w:bodyDiv w:val="1"/>
      <w:marLeft w:val="0"/>
      <w:marRight w:val="0"/>
      <w:marTop w:val="0"/>
      <w:marBottom w:val="0"/>
      <w:divBdr>
        <w:top w:val="none" w:sz="0" w:space="0" w:color="auto"/>
        <w:left w:val="none" w:sz="0" w:space="0" w:color="auto"/>
        <w:bottom w:val="none" w:sz="0" w:space="0" w:color="auto"/>
        <w:right w:val="none" w:sz="0" w:space="0" w:color="auto"/>
      </w:divBdr>
    </w:div>
    <w:div w:id="177887021">
      <w:bodyDiv w:val="1"/>
      <w:marLeft w:val="0"/>
      <w:marRight w:val="0"/>
      <w:marTop w:val="0"/>
      <w:marBottom w:val="0"/>
      <w:divBdr>
        <w:top w:val="none" w:sz="0" w:space="0" w:color="auto"/>
        <w:left w:val="none" w:sz="0" w:space="0" w:color="auto"/>
        <w:bottom w:val="none" w:sz="0" w:space="0" w:color="auto"/>
        <w:right w:val="none" w:sz="0" w:space="0" w:color="auto"/>
      </w:divBdr>
    </w:div>
    <w:div w:id="182132980">
      <w:bodyDiv w:val="1"/>
      <w:marLeft w:val="0"/>
      <w:marRight w:val="0"/>
      <w:marTop w:val="0"/>
      <w:marBottom w:val="0"/>
      <w:divBdr>
        <w:top w:val="none" w:sz="0" w:space="0" w:color="auto"/>
        <w:left w:val="none" w:sz="0" w:space="0" w:color="auto"/>
        <w:bottom w:val="none" w:sz="0" w:space="0" w:color="auto"/>
        <w:right w:val="none" w:sz="0" w:space="0" w:color="auto"/>
      </w:divBdr>
    </w:div>
    <w:div w:id="194580857">
      <w:bodyDiv w:val="1"/>
      <w:marLeft w:val="0"/>
      <w:marRight w:val="0"/>
      <w:marTop w:val="0"/>
      <w:marBottom w:val="0"/>
      <w:divBdr>
        <w:top w:val="none" w:sz="0" w:space="0" w:color="auto"/>
        <w:left w:val="none" w:sz="0" w:space="0" w:color="auto"/>
        <w:bottom w:val="none" w:sz="0" w:space="0" w:color="auto"/>
        <w:right w:val="none" w:sz="0" w:space="0" w:color="auto"/>
      </w:divBdr>
      <w:divsChild>
        <w:div w:id="162552610">
          <w:marLeft w:val="0"/>
          <w:marRight w:val="0"/>
          <w:marTop w:val="0"/>
          <w:marBottom w:val="0"/>
          <w:divBdr>
            <w:top w:val="none" w:sz="0" w:space="0" w:color="auto"/>
            <w:left w:val="none" w:sz="0" w:space="0" w:color="auto"/>
            <w:bottom w:val="none" w:sz="0" w:space="0" w:color="auto"/>
            <w:right w:val="none" w:sz="0" w:space="0" w:color="auto"/>
          </w:divBdr>
        </w:div>
        <w:div w:id="1288778322">
          <w:marLeft w:val="0"/>
          <w:marRight w:val="0"/>
          <w:marTop w:val="0"/>
          <w:marBottom w:val="0"/>
          <w:divBdr>
            <w:top w:val="none" w:sz="0" w:space="0" w:color="auto"/>
            <w:left w:val="none" w:sz="0" w:space="0" w:color="auto"/>
            <w:bottom w:val="none" w:sz="0" w:space="0" w:color="auto"/>
            <w:right w:val="none" w:sz="0" w:space="0" w:color="auto"/>
          </w:divBdr>
        </w:div>
        <w:div w:id="409353627">
          <w:marLeft w:val="0"/>
          <w:marRight w:val="0"/>
          <w:marTop w:val="0"/>
          <w:marBottom w:val="0"/>
          <w:divBdr>
            <w:top w:val="none" w:sz="0" w:space="0" w:color="auto"/>
            <w:left w:val="none" w:sz="0" w:space="0" w:color="auto"/>
            <w:bottom w:val="none" w:sz="0" w:space="0" w:color="auto"/>
            <w:right w:val="none" w:sz="0" w:space="0" w:color="auto"/>
          </w:divBdr>
        </w:div>
      </w:divsChild>
    </w:div>
    <w:div w:id="198863711">
      <w:bodyDiv w:val="1"/>
      <w:marLeft w:val="0"/>
      <w:marRight w:val="0"/>
      <w:marTop w:val="0"/>
      <w:marBottom w:val="0"/>
      <w:divBdr>
        <w:top w:val="none" w:sz="0" w:space="0" w:color="auto"/>
        <w:left w:val="none" w:sz="0" w:space="0" w:color="auto"/>
        <w:bottom w:val="none" w:sz="0" w:space="0" w:color="auto"/>
        <w:right w:val="none" w:sz="0" w:space="0" w:color="auto"/>
      </w:divBdr>
    </w:div>
    <w:div w:id="267590040">
      <w:bodyDiv w:val="1"/>
      <w:marLeft w:val="0"/>
      <w:marRight w:val="0"/>
      <w:marTop w:val="0"/>
      <w:marBottom w:val="0"/>
      <w:divBdr>
        <w:top w:val="none" w:sz="0" w:space="0" w:color="auto"/>
        <w:left w:val="none" w:sz="0" w:space="0" w:color="auto"/>
        <w:bottom w:val="none" w:sz="0" w:space="0" w:color="auto"/>
        <w:right w:val="none" w:sz="0" w:space="0" w:color="auto"/>
      </w:divBdr>
      <w:divsChild>
        <w:div w:id="95713580">
          <w:marLeft w:val="0"/>
          <w:marRight w:val="0"/>
          <w:marTop w:val="0"/>
          <w:marBottom w:val="0"/>
          <w:divBdr>
            <w:top w:val="none" w:sz="0" w:space="0" w:color="auto"/>
            <w:left w:val="none" w:sz="0" w:space="0" w:color="auto"/>
            <w:bottom w:val="none" w:sz="0" w:space="0" w:color="auto"/>
            <w:right w:val="none" w:sz="0" w:space="0" w:color="auto"/>
          </w:divBdr>
        </w:div>
        <w:div w:id="223681899">
          <w:marLeft w:val="0"/>
          <w:marRight w:val="0"/>
          <w:marTop w:val="0"/>
          <w:marBottom w:val="0"/>
          <w:divBdr>
            <w:top w:val="none" w:sz="0" w:space="0" w:color="auto"/>
            <w:left w:val="none" w:sz="0" w:space="0" w:color="auto"/>
            <w:bottom w:val="none" w:sz="0" w:space="0" w:color="auto"/>
            <w:right w:val="none" w:sz="0" w:space="0" w:color="auto"/>
          </w:divBdr>
        </w:div>
        <w:div w:id="527987657">
          <w:marLeft w:val="0"/>
          <w:marRight w:val="0"/>
          <w:marTop w:val="0"/>
          <w:marBottom w:val="0"/>
          <w:divBdr>
            <w:top w:val="none" w:sz="0" w:space="0" w:color="auto"/>
            <w:left w:val="none" w:sz="0" w:space="0" w:color="auto"/>
            <w:bottom w:val="none" w:sz="0" w:space="0" w:color="auto"/>
            <w:right w:val="none" w:sz="0" w:space="0" w:color="auto"/>
          </w:divBdr>
        </w:div>
        <w:div w:id="537205979">
          <w:marLeft w:val="0"/>
          <w:marRight w:val="0"/>
          <w:marTop w:val="0"/>
          <w:marBottom w:val="0"/>
          <w:divBdr>
            <w:top w:val="none" w:sz="0" w:space="0" w:color="auto"/>
            <w:left w:val="none" w:sz="0" w:space="0" w:color="auto"/>
            <w:bottom w:val="none" w:sz="0" w:space="0" w:color="auto"/>
            <w:right w:val="none" w:sz="0" w:space="0" w:color="auto"/>
          </w:divBdr>
        </w:div>
        <w:div w:id="690572356">
          <w:marLeft w:val="0"/>
          <w:marRight w:val="0"/>
          <w:marTop w:val="0"/>
          <w:marBottom w:val="0"/>
          <w:divBdr>
            <w:top w:val="none" w:sz="0" w:space="0" w:color="auto"/>
            <w:left w:val="none" w:sz="0" w:space="0" w:color="auto"/>
            <w:bottom w:val="none" w:sz="0" w:space="0" w:color="auto"/>
            <w:right w:val="none" w:sz="0" w:space="0" w:color="auto"/>
          </w:divBdr>
        </w:div>
        <w:div w:id="860120210">
          <w:marLeft w:val="0"/>
          <w:marRight w:val="0"/>
          <w:marTop w:val="0"/>
          <w:marBottom w:val="0"/>
          <w:divBdr>
            <w:top w:val="none" w:sz="0" w:space="0" w:color="auto"/>
            <w:left w:val="none" w:sz="0" w:space="0" w:color="auto"/>
            <w:bottom w:val="none" w:sz="0" w:space="0" w:color="auto"/>
            <w:right w:val="none" w:sz="0" w:space="0" w:color="auto"/>
          </w:divBdr>
        </w:div>
        <w:div w:id="882060992">
          <w:marLeft w:val="0"/>
          <w:marRight w:val="0"/>
          <w:marTop w:val="0"/>
          <w:marBottom w:val="0"/>
          <w:divBdr>
            <w:top w:val="none" w:sz="0" w:space="0" w:color="auto"/>
            <w:left w:val="none" w:sz="0" w:space="0" w:color="auto"/>
            <w:bottom w:val="none" w:sz="0" w:space="0" w:color="auto"/>
            <w:right w:val="none" w:sz="0" w:space="0" w:color="auto"/>
          </w:divBdr>
        </w:div>
        <w:div w:id="1013801171">
          <w:marLeft w:val="0"/>
          <w:marRight w:val="0"/>
          <w:marTop w:val="0"/>
          <w:marBottom w:val="0"/>
          <w:divBdr>
            <w:top w:val="none" w:sz="0" w:space="0" w:color="auto"/>
            <w:left w:val="none" w:sz="0" w:space="0" w:color="auto"/>
            <w:bottom w:val="none" w:sz="0" w:space="0" w:color="auto"/>
            <w:right w:val="none" w:sz="0" w:space="0" w:color="auto"/>
          </w:divBdr>
        </w:div>
        <w:div w:id="1041705651">
          <w:marLeft w:val="0"/>
          <w:marRight w:val="0"/>
          <w:marTop w:val="0"/>
          <w:marBottom w:val="0"/>
          <w:divBdr>
            <w:top w:val="none" w:sz="0" w:space="0" w:color="auto"/>
            <w:left w:val="none" w:sz="0" w:space="0" w:color="auto"/>
            <w:bottom w:val="none" w:sz="0" w:space="0" w:color="auto"/>
            <w:right w:val="none" w:sz="0" w:space="0" w:color="auto"/>
          </w:divBdr>
        </w:div>
        <w:div w:id="1273631437">
          <w:marLeft w:val="0"/>
          <w:marRight w:val="0"/>
          <w:marTop w:val="0"/>
          <w:marBottom w:val="0"/>
          <w:divBdr>
            <w:top w:val="none" w:sz="0" w:space="0" w:color="auto"/>
            <w:left w:val="none" w:sz="0" w:space="0" w:color="auto"/>
            <w:bottom w:val="none" w:sz="0" w:space="0" w:color="auto"/>
            <w:right w:val="none" w:sz="0" w:space="0" w:color="auto"/>
          </w:divBdr>
        </w:div>
        <w:div w:id="1309239687">
          <w:marLeft w:val="0"/>
          <w:marRight w:val="0"/>
          <w:marTop w:val="0"/>
          <w:marBottom w:val="0"/>
          <w:divBdr>
            <w:top w:val="none" w:sz="0" w:space="0" w:color="auto"/>
            <w:left w:val="none" w:sz="0" w:space="0" w:color="auto"/>
            <w:bottom w:val="none" w:sz="0" w:space="0" w:color="auto"/>
            <w:right w:val="none" w:sz="0" w:space="0" w:color="auto"/>
          </w:divBdr>
        </w:div>
        <w:div w:id="1593976082">
          <w:marLeft w:val="0"/>
          <w:marRight w:val="0"/>
          <w:marTop w:val="0"/>
          <w:marBottom w:val="0"/>
          <w:divBdr>
            <w:top w:val="none" w:sz="0" w:space="0" w:color="auto"/>
            <w:left w:val="none" w:sz="0" w:space="0" w:color="auto"/>
            <w:bottom w:val="none" w:sz="0" w:space="0" w:color="auto"/>
            <w:right w:val="none" w:sz="0" w:space="0" w:color="auto"/>
          </w:divBdr>
        </w:div>
        <w:div w:id="1645619037">
          <w:marLeft w:val="0"/>
          <w:marRight w:val="0"/>
          <w:marTop w:val="0"/>
          <w:marBottom w:val="0"/>
          <w:divBdr>
            <w:top w:val="none" w:sz="0" w:space="0" w:color="auto"/>
            <w:left w:val="none" w:sz="0" w:space="0" w:color="auto"/>
            <w:bottom w:val="none" w:sz="0" w:space="0" w:color="auto"/>
            <w:right w:val="none" w:sz="0" w:space="0" w:color="auto"/>
          </w:divBdr>
        </w:div>
        <w:div w:id="2013340238">
          <w:marLeft w:val="0"/>
          <w:marRight w:val="0"/>
          <w:marTop w:val="0"/>
          <w:marBottom w:val="0"/>
          <w:divBdr>
            <w:top w:val="none" w:sz="0" w:space="0" w:color="auto"/>
            <w:left w:val="none" w:sz="0" w:space="0" w:color="auto"/>
            <w:bottom w:val="none" w:sz="0" w:space="0" w:color="auto"/>
            <w:right w:val="none" w:sz="0" w:space="0" w:color="auto"/>
          </w:divBdr>
        </w:div>
      </w:divsChild>
    </w:div>
    <w:div w:id="282074720">
      <w:bodyDiv w:val="1"/>
      <w:marLeft w:val="0"/>
      <w:marRight w:val="0"/>
      <w:marTop w:val="0"/>
      <w:marBottom w:val="0"/>
      <w:divBdr>
        <w:top w:val="none" w:sz="0" w:space="0" w:color="auto"/>
        <w:left w:val="none" w:sz="0" w:space="0" w:color="auto"/>
        <w:bottom w:val="none" w:sz="0" w:space="0" w:color="auto"/>
        <w:right w:val="none" w:sz="0" w:space="0" w:color="auto"/>
      </w:divBdr>
      <w:divsChild>
        <w:div w:id="377095016">
          <w:marLeft w:val="0"/>
          <w:marRight w:val="0"/>
          <w:marTop w:val="0"/>
          <w:marBottom w:val="0"/>
          <w:divBdr>
            <w:top w:val="none" w:sz="0" w:space="0" w:color="auto"/>
            <w:left w:val="none" w:sz="0" w:space="0" w:color="auto"/>
            <w:bottom w:val="none" w:sz="0" w:space="0" w:color="auto"/>
            <w:right w:val="none" w:sz="0" w:space="0" w:color="auto"/>
          </w:divBdr>
        </w:div>
        <w:div w:id="407383067">
          <w:marLeft w:val="0"/>
          <w:marRight w:val="0"/>
          <w:marTop w:val="0"/>
          <w:marBottom w:val="0"/>
          <w:divBdr>
            <w:top w:val="none" w:sz="0" w:space="0" w:color="auto"/>
            <w:left w:val="none" w:sz="0" w:space="0" w:color="auto"/>
            <w:bottom w:val="none" w:sz="0" w:space="0" w:color="auto"/>
            <w:right w:val="none" w:sz="0" w:space="0" w:color="auto"/>
          </w:divBdr>
        </w:div>
        <w:div w:id="504587216">
          <w:marLeft w:val="0"/>
          <w:marRight w:val="0"/>
          <w:marTop w:val="0"/>
          <w:marBottom w:val="0"/>
          <w:divBdr>
            <w:top w:val="none" w:sz="0" w:space="0" w:color="auto"/>
            <w:left w:val="none" w:sz="0" w:space="0" w:color="auto"/>
            <w:bottom w:val="none" w:sz="0" w:space="0" w:color="auto"/>
            <w:right w:val="none" w:sz="0" w:space="0" w:color="auto"/>
          </w:divBdr>
        </w:div>
        <w:div w:id="599870664">
          <w:marLeft w:val="0"/>
          <w:marRight w:val="0"/>
          <w:marTop w:val="0"/>
          <w:marBottom w:val="0"/>
          <w:divBdr>
            <w:top w:val="none" w:sz="0" w:space="0" w:color="auto"/>
            <w:left w:val="none" w:sz="0" w:space="0" w:color="auto"/>
            <w:bottom w:val="none" w:sz="0" w:space="0" w:color="auto"/>
            <w:right w:val="none" w:sz="0" w:space="0" w:color="auto"/>
          </w:divBdr>
        </w:div>
        <w:div w:id="780608446">
          <w:marLeft w:val="0"/>
          <w:marRight w:val="0"/>
          <w:marTop w:val="0"/>
          <w:marBottom w:val="0"/>
          <w:divBdr>
            <w:top w:val="none" w:sz="0" w:space="0" w:color="auto"/>
            <w:left w:val="none" w:sz="0" w:space="0" w:color="auto"/>
            <w:bottom w:val="none" w:sz="0" w:space="0" w:color="auto"/>
            <w:right w:val="none" w:sz="0" w:space="0" w:color="auto"/>
          </w:divBdr>
        </w:div>
        <w:div w:id="860820206">
          <w:marLeft w:val="0"/>
          <w:marRight w:val="0"/>
          <w:marTop w:val="0"/>
          <w:marBottom w:val="0"/>
          <w:divBdr>
            <w:top w:val="none" w:sz="0" w:space="0" w:color="auto"/>
            <w:left w:val="none" w:sz="0" w:space="0" w:color="auto"/>
            <w:bottom w:val="none" w:sz="0" w:space="0" w:color="auto"/>
            <w:right w:val="none" w:sz="0" w:space="0" w:color="auto"/>
          </w:divBdr>
        </w:div>
        <w:div w:id="969626219">
          <w:marLeft w:val="0"/>
          <w:marRight w:val="0"/>
          <w:marTop w:val="0"/>
          <w:marBottom w:val="0"/>
          <w:divBdr>
            <w:top w:val="none" w:sz="0" w:space="0" w:color="auto"/>
            <w:left w:val="none" w:sz="0" w:space="0" w:color="auto"/>
            <w:bottom w:val="none" w:sz="0" w:space="0" w:color="auto"/>
            <w:right w:val="none" w:sz="0" w:space="0" w:color="auto"/>
          </w:divBdr>
        </w:div>
        <w:div w:id="981078481">
          <w:marLeft w:val="0"/>
          <w:marRight w:val="0"/>
          <w:marTop w:val="0"/>
          <w:marBottom w:val="0"/>
          <w:divBdr>
            <w:top w:val="none" w:sz="0" w:space="0" w:color="auto"/>
            <w:left w:val="none" w:sz="0" w:space="0" w:color="auto"/>
            <w:bottom w:val="none" w:sz="0" w:space="0" w:color="auto"/>
            <w:right w:val="none" w:sz="0" w:space="0" w:color="auto"/>
          </w:divBdr>
        </w:div>
        <w:div w:id="1026714398">
          <w:marLeft w:val="0"/>
          <w:marRight w:val="0"/>
          <w:marTop w:val="0"/>
          <w:marBottom w:val="0"/>
          <w:divBdr>
            <w:top w:val="none" w:sz="0" w:space="0" w:color="auto"/>
            <w:left w:val="none" w:sz="0" w:space="0" w:color="auto"/>
            <w:bottom w:val="none" w:sz="0" w:space="0" w:color="auto"/>
            <w:right w:val="none" w:sz="0" w:space="0" w:color="auto"/>
          </w:divBdr>
        </w:div>
        <w:div w:id="1042367744">
          <w:marLeft w:val="0"/>
          <w:marRight w:val="0"/>
          <w:marTop w:val="0"/>
          <w:marBottom w:val="0"/>
          <w:divBdr>
            <w:top w:val="none" w:sz="0" w:space="0" w:color="auto"/>
            <w:left w:val="none" w:sz="0" w:space="0" w:color="auto"/>
            <w:bottom w:val="none" w:sz="0" w:space="0" w:color="auto"/>
            <w:right w:val="none" w:sz="0" w:space="0" w:color="auto"/>
          </w:divBdr>
        </w:div>
        <w:div w:id="1727679644">
          <w:marLeft w:val="0"/>
          <w:marRight w:val="0"/>
          <w:marTop w:val="0"/>
          <w:marBottom w:val="0"/>
          <w:divBdr>
            <w:top w:val="none" w:sz="0" w:space="0" w:color="auto"/>
            <w:left w:val="none" w:sz="0" w:space="0" w:color="auto"/>
            <w:bottom w:val="none" w:sz="0" w:space="0" w:color="auto"/>
            <w:right w:val="none" w:sz="0" w:space="0" w:color="auto"/>
          </w:divBdr>
        </w:div>
        <w:div w:id="1778720026">
          <w:marLeft w:val="0"/>
          <w:marRight w:val="0"/>
          <w:marTop w:val="0"/>
          <w:marBottom w:val="0"/>
          <w:divBdr>
            <w:top w:val="none" w:sz="0" w:space="0" w:color="auto"/>
            <w:left w:val="none" w:sz="0" w:space="0" w:color="auto"/>
            <w:bottom w:val="none" w:sz="0" w:space="0" w:color="auto"/>
            <w:right w:val="none" w:sz="0" w:space="0" w:color="auto"/>
          </w:divBdr>
        </w:div>
        <w:div w:id="1819109194">
          <w:marLeft w:val="0"/>
          <w:marRight w:val="0"/>
          <w:marTop w:val="0"/>
          <w:marBottom w:val="0"/>
          <w:divBdr>
            <w:top w:val="none" w:sz="0" w:space="0" w:color="auto"/>
            <w:left w:val="none" w:sz="0" w:space="0" w:color="auto"/>
            <w:bottom w:val="none" w:sz="0" w:space="0" w:color="auto"/>
            <w:right w:val="none" w:sz="0" w:space="0" w:color="auto"/>
          </w:divBdr>
        </w:div>
        <w:div w:id="1925987645">
          <w:marLeft w:val="0"/>
          <w:marRight w:val="0"/>
          <w:marTop w:val="0"/>
          <w:marBottom w:val="0"/>
          <w:divBdr>
            <w:top w:val="none" w:sz="0" w:space="0" w:color="auto"/>
            <w:left w:val="none" w:sz="0" w:space="0" w:color="auto"/>
            <w:bottom w:val="none" w:sz="0" w:space="0" w:color="auto"/>
            <w:right w:val="none" w:sz="0" w:space="0" w:color="auto"/>
          </w:divBdr>
        </w:div>
      </w:divsChild>
    </w:div>
    <w:div w:id="301813000">
      <w:bodyDiv w:val="1"/>
      <w:marLeft w:val="0"/>
      <w:marRight w:val="0"/>
      <w:marTop w:val="0"/>
      <w:marBottom w:val="0"/>
      <w:divBdr>
        <w:top w:val="none" w:sz="0" w:space="0" w:color="auto"/>
        <w:left w:val="none" w:sz="0" w:space="0" w:color="auto"/>
        <w:bottom w:val="none" w:sz="0" w:space="0" w:color="auto"/>
        <w:right w:val="none" w:sz="0" w:space="0" w:color="auto"/>
      </w:divBdr>
      <w:divsChild>
        <w:div w:id="75828929">
          <w:marLeft w:val="0"/>
          <w:marRight w:val="0"/>
          <w:marTop w:val="0"/>
          <w:marBottom w:val="0"/>
          <w:divBdr>
            <w:top w:val="none" w:sz="0" w:space="0" w:color="auto"/>
            <w:left w:val="none" w:sz="0" w:space="0" w:color="auto"/>
            <w:bottom w:val="none" w:sz="0" w:space="0" w:color="auto"/>
            <w:right w:val="none" w:sz="0" w:space="0" w:color="auto"/>
          </w:divBdr>
        </w:div>
        <w:div w:id="78522709">
          <w:marLeft w:val="0"/>
          <w:marRight w:val="0"/>
          <w:marTop w:val="0"/>
          <w:marBottom w:val="0"/>
          <w:divBdr>
            <w:top w:val="none" w:sz="0" w:space="0" w:color="auto"/>
            <w:left w:val="none" w:sz="0" w:space="0" w:color="auto"/>
            <w:bottom w:val="none" w:sz="0" w:space="0" w:color="auto"/>
            <w:right w:val="none" w:sz="0" w:space="0" w:color="auto"/>
          </w:divBdr>
        </w:div>
        <w:div w:id="117072458">
          <w:marLeft w:val="0"/>
          <w:marRight w:val="0"/>
          <w:marTop w:val="0"/>
          <w:marBottom w:val="0"/>
          <w:divBdr>
            <w:top w:val="none" w:sz="0" w:space="0" w:color="auto"/>
            <w:left w:val="none" w:sz="0" w:space="0" w:color="auto"/>
            <w:bottom w:val="none" w:sz="0" w:space="0" w:color="auto"/>
            <w:right w:val="none" w:sz="0" w:space="0" w:color="auto"/>
          </w:divBdr>
        </w:div>
        <w:div w:id="819421833">
          <w:marLeft w:val="0"/>
          <w:marRight w:val="0"/>
          <w:marTop w:val="0"/>
          <w:marBottom w:val="0"/>
          <w:divBdr>
            <w:top w:val="none" w:sz="0" w:space="0" w:color="auto"/>
            <w:left w:val="none" w:sz="0" w:space="0" w:color="auto"/>
            <w:bottom w:val="none" w:sz="0" w:space="0" w:color="auto"/>
            <w:right w:val="none" w:sz="0" w:space="0" w:color="auto"/>
          </w:divBdr>
        </w:div>
        <w:div w:id="915044700">
          <w:marLeft w:val="0"/>
          <w:marRight w:val="0"/>
          <w:marTop w:val="0"/>
          <w:marBottom w:val="0"/>
          <w:divBdr>
            <w:top w:val="none" w:sz="0" w:space="0" w:color="auto"/>
            <w:left w:val="none" w:sz="0" w:space="0" w:color="auto"/>
            <w:bottom w:val="none" w:sz="0" w:space="0" w:color="auto"/>
            <w:right w:val="none" w:sz="0" w:space="0" w:color="auto"/>
          </w:divBdr>
        </w:div>
        <w:div w:id="1210192293">
          <w:marLeft w:val="0"/>
          <w:marRight w:val="0"/>
          <w:marTop w:val="0"/>
          <w:marBottom w:val="0"/>
          <w:divBdr>
            <w:top w:val="none" w:sz="0" w:space="0" w:color="auto"/>
            <w:left w:val="none" w:sz="0" w:space="0" w:color="auto"/>
            <w:bottom w:val="none" w:sz="0" w:space="0" w:color="auto"/>
            <w:right w:val="none" w:sz="0" w:space="0" w:color="auto"/>
          </w:divBdr>
        </w:div>
        <w:div w:id="1334920720">
          <w:marLeft w:val="0"/>
          <w:marRight w:val="0"/>
          <w:marTop w:val="0"/>
          <w:marBottom w:val="0"/>
          <w:divBdr>
            <w:top w:val="none" w:sz="0" w:space="0" w:color="auto"/>
            <w:left w:val="none" w:sz="0" w:space="0" w:color="auto"/>
            <w:bottom w:val="none" w:sz="0" w:space="0" w:color="auto"/>
            <w:right w:val="none" w:sz="0" w:space="0" w:color="auto"/>
          </w:divBdr>
        </w:div>
        <w:div w:id="1385448030">
          <w:marLeft w:val="0"/>
          <w:marRight w:val="0"/>
          <w:marTop w:val="0"/>
          <w:marBottom w:val="0"/>
          <w:divBdr>
            <w:top w:val="none" w:sz="0" w:space="0" w:color="auto"/>
            <w:left w:val="none" w:sz="0" w:space="0" w:color="auto"/>
            <w:bottom w:val="none" w:sz="0" w:space="0" w:color="auto"/>
            <w:right w:val="none" w:sz="0" w:space="0" w:color="auto"/>
          </w:divBdr>
        </w:div>
        <w:div w:id="1677000975">
          <w:marLeft w:val="0"/>
          <w:marRight w:val="0"/>
          <w:marTop w:val="0"/>
          <w:marBottom w:val="0"/>
          <w:divBdr>
            <w:top w:val="none" w:sz="0" w:space="0" w:color="auto"/>
            <w:left w:val="none" w:sz="0" w:space="0" w:color="auto"/>
            <w:bottom w:val="none" w:sz="0" w:space="0" w:color="auto"/>
            <w:right w:val="none" w:sz="0" w:space="0" w:color="auto"/>
          </w:divBdr>
        </w:div>
        <w:div w:id="1973706442">
          <w:marLeft w:val="0"/>
          <w:marRight w:val="0"/>
          <w:marTop w:val="0"/>
          <w:marBottom w:val="0"/>
          <w:divBdr>
            <w:top w:val="none" w:sz="0" w:space="0" w:color="auto"/>
            <w:left w:val="none" w:sz="0" w:space="0" w:color="auto"/>
            <w:bottom w:val="none" w:sz="0" w:space="0" w:color="auto"/>
            <w:right w:val="none" w:sz="0" w:space="0" w:color="auto"/>
          </w:divBdr>
        </w:div>
      </w:divsChild>
    </w:div>
    <w:div w:id="322633932">
      <w:bodyDiv w:val="1"/>
      <w:marLeft w:val="0"/>
      <w:marRight w:val="0"/>
      <w:marTop w:val="0"/>
      <w:marBottom w:val="0"/>
      <w:divBdr>
        <w:top w:val="none" w:sz="0" w:space="0" w:color="auto"/>
        <w:left w:val="none" w:sz="0" w:space="0" w:color="auto"/>
        <w:bottom w:val="none" w:sz="0" w:space="0" w:color="auto"/>
        <w:right w:val="none" w:sz="0" w:space="0" w:color="auto"/>
      </w:divBdr>
      <w:divsChild>
        <w:div w:id="91241700">
          <w:marLeft w:val="0"/>
          <w:marRight w:val="0"/>
          <w:marTop w:val="0"/>
          <w:marBottom w:val="0"/>
          <w:divBdr>
            <w:top w:val="none" w:sz="0" w:space="0" w:color="auto"/>
            <w:left w:val="none" w:sz="0" w:space="0" w:color="auto"/>
            <w:bottom w:val="none" w:sz="0" w:space="0" w:color="auto"/>
            <w:right w:val="none" w:sz="0" w:space="0" w:color="auto"/>
          </w:divBdr>
        </w:div>
        <w:div w:id="117993044">
          <w:marLeft w:val="0"/>
          <w:marRight w:val="0"/>
          <w:marTop w:val="0"/>
          <w:marBottom w:val="0"/>
          <w:divBdr>
            <w:top w:val="none" w:sz="0" w:space="0" w:color="auto"/>
            <w:left w:val="none" w:sz="0" w:space="0" w:color="auto"/>
            <w:bottom w:val="none" w:sz="0" w:space="0" w:color="auto"/>
            <w:right w:val="none" w:sz="0" w:space="0" w:color="auto"/>
          </w:divBdr>
        </w:div>
        <w:div w:id="124782588">
          <w:marLeft w:val="0"/>
          <w:marRight w:val="0"/>
          <w:marTop w:val="0"/>
          <w:marBottom w:val="0"/>
          <w:divBdr>
            <w:top w:val="none" w:sz="0" w:space="0" w:color="auto"/>
            <w:left w:val="none" w:sz="0" w:space="0" w:color="auto"/>
            <w:bottom w:val="none" w:sz="0" w:space="0" w:color="auto"/>
            <w:right w:val="none" w:sz="0" w:space="0" w:color="auto"/>
          </w:divBdr>
        </w:div>
        <w:div w:id="216209573">
          <w:marLeft w:val="0"/>
          <w:marRight w:val="0"/>
          <w:marTop w:val="0"/>
          <w:marBottom w:val="0"/>
          <w:divBdr>
            <w:top w:val="none" w:sz="0" w:space="0" w:color="auto"/>
            <w:left w:val="none" w:sz="0" w:space="0" w:color="auto"/>
            <w:bottom w:val="none" w:sz="0" w:space="0" w:color="auto"/>
            <w:right w:val="none" w:sz="0" w:space="0" w:color="auto"/>
          </w:divBdr>
        </w:div>
        <w:div w:id="338582913">
          <w:marLeft w:val="0"/>
          <w:marRight w:val="0"/>
          <w:marTop w:val="0"/>
          <w:marBottom w:val="0"/>
          <w:divBdr>
            <w:top w:val="none" w:sz="0" w:space="0" w:color="auto"/>
            <w:left w:val="none" w:sz="0" w:space="0" w:color="auto"/>
            <w:bottom w:val="none" w:sz="0" w:space="0" w:color="auto"/>
            <w:right w:val="none" w:sz="0" w:space="0" w:color="auto"/>
          </w:divBdr>
        </w:div>
        <w:div w:id="759836191">
          <w:marLeft w:val="0"/>
          <w:marRight w:val="0"/>
          <w:marTop w:val="0"/>
          <w:marBottom w:val="0"/>
          <w:divBdr>
            <w:top w:val="none" w:sz="0" w:space="0" w:color="auto"/>
            <w:left w:val="none" w:sz="0" w:space="0" w:color="auto"/>
            <w:bottom w:val="none" w:sz="0" w:space="0" w:color="auto"/>
            <w:right w:val="none" w:sz="0" w:space="0" w:color="auto"/>
          </w:divBdr>
        </w:div>
        <w:div w:id="892541920">
          <w:marLeft w:val="0"/>
          <w:marRight w:val="0"/>
          <w:marTop w:val="0"/>
          <w:marBottom w:val="0"/>
          <w:divBdr>
            <w:top w:val="none" w:sz="0" w:space="0" w:color="auto"/>
            <w:left w:val="none" w:sz="0" w:space="0" w:color="auto"/>
            <w:bottom w:val="none" w:sz="0" w:space="0" w:color="auto"/>
            <w:right w:val="none" w:sz="0" w:space="0" w:color="auto"/>
          </w:divBdr>
        </w:div>
        <w:div w:id="925188418">
          <w:marLeft w:val="0"/>
          <w:marRight w:val="0"/>
          <w:marTop w:val="0"/>
          <w:marBottom w:val="0"/>
          <w:divBdr>
            <w:top w:val="none" w:sz="0" w:space="0" w:color="auto"/>
            <w:left w:val="none" w:sz="0" w:space="0" w:color="auto"/>
            <w:bottom w:val="none" w:sz="0" w:space="0" w:color="auto"/>
            <w:right w:val="none" w:sz="0" w:space="0" w:color="auto"/>
          </w:divBdr>
        </w:div>
        <w:div w:id="958537631">
          <w:marLeft w:val="0"/>
          <w:marRight w:val="0"/>
          <w:marTop w:val="0"/>
          <w:marBottom w:val="0"/>
          <w:divBdr>
            <w:top w:val="none" w:sz="0" w:space="0" w:color="auto"/>
            <w:left w:val="none" w:sz="0" w:space="0" w:color="auto"/>
            <w:bottom w:val="none" w:sz="0" w:space="0" w:color="auto"/>
            <w:right w:val="none" w:sz="0" w:space="0" w:color="auto"/>
          </w:divBdr>
        </w:div>
        <w:div w:id="1027146312">
          <w:marLeft w:val="0"/>
          <w:marRight w:val="0"/>
          <w:marTop w:val="0"/>
          <w:marBottom w:val="0"/>
          <w:divBdr>
            <w:top w:val="none" w:sz="0" w:space="0" w:color="auto"/>
            <w:left w:val="none" w:sz="0" w:space="0" w:color="auto"/>
            <w:bottom w:val="none" w:sz="0" w:space="0" w:color="auto"/>
            <w:right w:val="none" w:sz="0" w:space="0" w:color="auto"/>
          </w:divBdr>
        </w:div>
        <w:div w:id="1354453469">
          <w:marLeft w:val="0"/>
          <w:marRight w:val="0"/>
          <w:marTop w:val="0"/>
          <w:marBottom w:val="0"/>
          <w:divBdr>
            <w:top w:val="none" w:sz="0" w:space="0" w:color="auto"/>
            <w:left w:val="none" w:sz="0" w:space="0" w:color="auto"/>
            <w:bottom w:val="none" w:sz="0" w:space="0" w:color="auto"/>
            <w:right w:val="none" w:sz="0" w:space="0" w:color="auto"/>
          </w:divBdr>
        </w:div>
        <w:div w:id="1373654004">
          <w:marLeft w:val="0"/>
          <w:marRight w:val="0"/>
          <w:marTop w:val="0"/>
          <w:marBottom w:val="0"/>
          <w:divBdr>
            <w:top w:val="none" w:sz="0" w:space="0" w:color="auto"/>
            <w:left w:val="none" w:sz="0" w:space="0" w:color="auto"/>
            <w:bottom w:val="none" w:sz="0" w:space="0" w:color="auto"/>
            <w:right w:val="none" w:sz="0" w:space="0" w:color="auto"/>
          </w:divBdr>
        </w:div>
        <w:div w:id="1496071309">
          <w:marLeft w:val="0"/>
          <w:marRight w:val="0"/>
          <w:marTop w:val="0"/>
          <w:marBottom w:val="0"/>
          <w:divBdr>
            <w:top w:val="none" w:sz="0" w:space="0" w:color="auto"/>
            <w:left w:val="none" w:sz="0" w:space="0" w:color="auto"/>
            <w:bottom w:val="none" w:sz="0" w:space="0" w:color="auto"/>
            <w:right w:val="none" w:sz="0" w:space="0" w:color="auto"/>
          </w:divBdr>
        </w:div>
        <w:div w:id="1698238031">
          <w:marLeft w:val="0"/>
          <w:marRight w:val="0"/>
          <w:marTop w:val="0"/>
          <w:marBottom w:val="0"/>
          <w:divBdr>
            <w:top w:val="none" w:sz="0" w:space="0" w:color="auto"/>
            <w:left w:val="none" w:sz="0" w:space="0" w:color="auto"/>
            <w:bottom w:val="none" w:sz="0" w:space="0" w:color="auto"/>
            <w:right w:val="none" w:sz="0" w:space="0" w:color="auto"/>
          </w:divBdr>
        </w:div>
        <w:div w:id="1822429289">
          <w:marLeft w:val="0"/>
          <w:marRight w:val="0"/>
          <w:marTop w:val="0"/>
          <w:marBottom w:val="0"/>
          <w:divBdr>
            <w:top w:val="none" w:sz="0" w:space="0" w:color="auto"/>
            <w:left w:val="none" w:sz="0" w:space="0" w:color="auto"/>
            <w:bottom w:val="none" w:sz="0" w:space="0" w:color="auto"/>
            <w:right w:val="none" w:sz="0" w:space="0" w:color="auto"/>
          </w:divBdr>
        </w:div>
        <w:div w:id="1892500864">
          <w:marLeft w:val="0"/>
          <w:marRight w:val="0"/>
          <w:marTop w:val="0"/>
          <w:marBottom w:val="0"/>
          <w:divBdr>
            <w:top w:val="none" w:sz="0" w:space="0" w:color="auto"/>
            <w:left w:val="none" w:sz="0" w:space="0" w:color="auto"/>
            <w:bottom w:val="none" w:sz="0" w:space="0" w:color="auto"/>
            <w:right w:val="none" w:sz="0" w:space="0" w:color="auto"/>
          </w:divBdr>
        </w:div>
        <w:div w:id="1966958809">
          <w:marLeft w:val="0"/>
          <w:marRight w:val="0"/>
          <w:marTop w:val="0"/>
          <w:marBottom w:val="0"/>
          <w:divBdr>
            <w:top w:val="none" w:sz="0" w:space="0" w:color="auto"/>
            <w:left w:val="none" w:sz="0" w:space="0" w:color="auto"/>
            <w:bottom w:val="none" w:sz="0" w:space="0" w:color="auto"/>
            <w:right w:val="none" w:sz="0" w:space="0" w:color="auto"/>
          </w:divBdr>
        </w:div>
        <w:div w:id="1967005860">
          <w:marLeft w:val="0"/>
          <w:marRight w:val="0"/>
          <w:marTop w:val="0"/>
          <w:marBottom w:val="0"/>
          <w:divBdr>
            <w:top w:val="none" w:sz="0" w:space="0" w:color="auto"/>
            <w:left w:val="none" w:sz="0" w:space="0" w:color="auto"/>
            <w:bottom w:val="none" w:sz="0" w:space="0" w:color="auto"/>
            <w:right w:val="none" w:sz="0" w:space="0" w:color="auto"/>
          </w:divBdr>
        </w:div>
        <w:div w:id="2109231129">
          <w:marLeft w:val="0"/>
          <w:marRight w:val="0"/>
          <w:marTop w:val="0"/>
          <w:marBottom w:val="0"/>
          <w:divBdr>
            <w:top w:val="none" w:sz="0" w:space="0" w:color="auto"/>
            <w:left w:val="none" w:sz="0" w:space="0" w:color="auto"/>
            <w:bottom w:val="none" w:sz="0" w:space="0" w:color="auto"/>
            <w:right w:val="none" w:sz="0" w:space="0" w:color="auto"/>
          </w:divBdr>
        </w:div>
      </w:divsChild>
    </w:div>
    <w:div w:id="343938377">
      <w:bodyDiv w:val="1"/>
      <w:marLeft w:val="0"/>
      <w:marRight w:val="0"/>
      <w:marTop w:val="0"/>
      <w:marBottom w:val="0"/>
      <w:divBdr>
        <w:top w:val="none" w:sz="0" w:space="0" w:color="auto"/>
        <w:left w:val="none" w:sz="0" w:space="0" w:color="auto"/>
        <w:bottom w:val="none" w:sz="0" w:space="0" w:color="auto"/>
        <w:right w:val="none" w:sz="0" w:space="0" w:color="auto"/>
      </w:divBdr>
      <w:divsChild>
        <w:div w:id="197283017">
          <w:marLeft w:val="0"/>
          <w:marRight w:val="0"/>
          <w:marTop w:val="0"/>
          <w:marBottom w:val="0"/>
          <w:divBdr>
            <w:top w:val="none" w:sz="0" w:space="0" w:color="auto"/>
            <w:left w:val="none" w:sz="0" w:space="0" w:color="auto"/>
            <w:bottom w:val="none" w:sz="0" w:space="0" w:color="auto"/>
            <w:right w:val="none" w:sz="0" w:space="0" w:color="auto"/>
          </w:divBdr>
        </w:div>
        <w:div w:id="300503447">
          <w:marLeft w:val="0"/>
          <w:marRight w:val="0"/>
          <w:marTop w:val="0"/>
          <w:marBottom w:val="0"/>
          <w:divBdr>
            <w:top w:val="none" w:sz="0" w:space="0" w:color="auto"/>
            <w:left w:val="none" w:sz="0" w:space="0" w:color="auto"/>
            <w:bottom w:val="none" w:sz="0" w:space="0" w:color="auto"/>
            <w:right w:val="none" w:sz="0" w:space="0" w:color="auto"/>
          </w:divBdr>
        </w:div>
        <w:div w:id="607395092">
          <w:marLeft w:val="0"/>
          <w:marRight w:val="0"/>
          <w:marTop w:val="0"/>
          <w:marBottom w:val="0"/>
          <w:divBdr>
            <w:top w:val="none" w:sz="0" w:space="0" w:color="auto"/>
            <w:left w:val="none" w:sz="0" w:space="0" w:color="auto"/>
            <w:bottom w:val="none" w:sz="0" w:space="0" w:color="auto"/>
            <w:right w:val="none" w:sz="0" w:space="0" w:color="auto"/>
          </w:divBdr>
        </w:div>
        <w:div w:id="821970329">
          <w:marLeft w:val="0"/>
          <w:marRight w:val="0"/>
          <w:marTop w:val="0"/>
          <w:marBottom w:val="0"/>
          <w:divBdr>
            <w:top w:val="none" w:sz="0" w:space="0" w:color="auto"/>
            <w:left w:val="none" w:sz="0" w:space="0" w:color="auto"/>
            <w:bottom w:val="none" w:sz="0" w:space="0" w:color="auto"/>
            <w:right w:val="none" w:sz="0" w:space="0" w:color="auto"/>
          </w:divBdr>
        </w:div>
        <w:div w:id="1269700086">
          <w:marLeft w:val="0"/>
          <w:marRight w:val="0"/>
          <w:marTop w:val="0"/>
          <w:marBottom w:val="0"/>
          <w:divBdr>
            <w:top w:val="none" w:sz="0" w:space="0" w:color="auto"/>
            <w:left w:val="none" w:sz="0" w:space="0" w:color="auto"/>
            <w:bottom w:val="none" w:sz="0" w:space="0" w:color="auto"/>
            <w:right w:val="none" w:sz="0" w:space="0" w:color="auto"/>
          </w:divBdr>
        </w:div>
        <w:div w:id="1578706683">
          <w:marLeft w:val="0"/>
          <w:marRight w:val="0"/>
          <w:marTop w:val="0"/>
          <w:marBottom w:val="0"/>
          <w:divBdr>
            <w:top w:val="none" w:sz="0" w:space="0" w:color="auto"/>
            <w:left w:val="none" w:sz="0" w:space="0" w:color="auto"/>
            <w:bottom w:val="none" w:sz="0" w:space="0" w:color="auto"/>
            <w:right w:val="none" w:sz="0" w:space="0" w:color="auto"/>
          </w:divBdr>
        </w:div>
        <w:div w:id="1634603930">
          <w:marLeft w:val="0"/>
          <w:marRight w:val="0"/>
          <w:marTop w:val="0"/>
          <w:marBottom w:val="0"/>
          <w:divBdr>
            <w:top w:val="none" w:sz="0" w:space="0" w:color="auto"/>
            <w:left w:val="none" w:sz="0" w:space="0" w:color="auto"/>
            <w:bottom w:val="none" w:sz="0" w:space="0" w:color="auto"/>
            <w:right w:val="none" w:sz="0" w:space="0" w:color="auto"/>
          </w:divBdr>
        </w:div>
        <w:div w:id="2106487144">
          <w:marLeft w:val="0"/>
          <w:marRight w:val="0"/>
          <w:marTop w:val="0"/>
          <w:marBottom w:val="0"/>
          <w:divBdr>
            <w:top w:val="none" w:sz="0" w:space="0" w:color="auto"/>
            <w:left w:val="none" w:sz="0" w:space="0" w:color="auto"/>
            <w:bottom w:val="none" w:sz="0" w:space="0" w:color="auto"/>
            <w:right w:val="none" w:sz="0" w:space="0" w:color="auto"/>
          </w:divBdr>
        </w:div>
      </w:divsChild>
    </w:div>
    <w:div w:id="406002791">
      <w:bodyDiv w:val="1"/>
      <w:marLeft w:val="0"/>
      <w:marRight w:val="0"/>
      <w:marTop w:val="0"/>
      <w:marBottom w:val="0"/>
      <w:divBdr>
        <w:top w:val="none" w:sz="0" w:space="0" w:color="auto"/>
        <w:left w:val="none" w:sz="0" w:space="0" w:color="auto"/>
        <w:bottom w:val="none" w:sz="0" w:space="0" w:color="auto"/>
        <w:right w:val="none" w:sz="0" w:space="0" w:color="auto"/>
      </w:divBdr>
    </w:div>
    <w:div w:id="410808405">
      <w:bodyDiv w:val="1"/>
      <w:marLeft w:val="0"/>
      <w:marRight w:val="0"/>
      <w:marTop w:val="0"/>
      <w:marBottom w:val="0"/>
      <w:divBdr>
        <w:top w:val="none" w:sz="0" w:space="0" w:color="auto"/>
        <w:left w:val="none" w:sz="0" w:space="0" w:color="auto"/>
        <w:bottom w:val="none" w:sz="0" w:space="0" w:color="auto"/>
        <w:right w:val="none" w:sz="0" w:space="0" w:color="auto"/>
      </w:divBdr>
      <w:divsChild>
        <w:div w:id="55082673">
          <w:marLeft w:val="0"/>
          <w:marRight w:val="0"/>
          <w:marTop w:val="0"/>
          <w:marBottom w:val="0"/>
          <w:divBdr>
            <w:top w:val="none" w:sz="0" w:space="0" w:color="auto"/>
            <w:left w:val="none" w:sz="0" w:space="0" w:color="auto"/>
            <w:bottom w:val="none" w:sz="0" w:space="0" w:color="auto"/>
            <w:right w:val="none" w:sz="0" w:space="0" w:color="auto"/>
          </w:divBdr>
        </w:div>
        <w:div w:id="218056706">
          <w:marLeft w:val="0"/>
          <w:marRight w:val="0"/>
          <w:marTop w:val="0"/>
          <w:marBottom w:val="0"/>
          <w:divBdr>
            <w:top w:val="none" w:sz="0" w:space="0" w:color="auto"/>
            <w:left w:val="none" w:sz="0" w:space="0" w:color="auto"/>
            <w:bottom w:val="none" w:sz="0" w:space="0" w:color="auto"/>
            <w:right w:val="none" w:sz="0" w:space="0" w:color="auto"/>
          </w:divBdr>
        </w:div>
        <w:div w:id="229510021">
          <w:marLeft w:val="0"/>
          <w:marRight w:val="0"/>
          <w:marTop w:val="0"/>
          <w:marBottom w:val="0"/>
          <w:divBdr>
            <w:top w:val="none" w:sz="0" w:space="0" w:color="auto"/>
            <w:left w:val="none" w:sz="0" w:space="0" w:color="auto"/>
            <w:bottom w:val="none" w:sz="0" w:space="0" w:color="auto"/>
            <w:right w:val="none" w:sz="0" w:space="0" w:color="auto"/>
          </w:divBdr>
        </w:div>
        <w:div w:id="629550455">
          <w:marLeft w:val="0"/>
          <w:marRight w:val="0"/>
          <w:marTop w:val="0"/>
          <w:marBottom w:val="0"/>
          <w:divBdr>
            <w:top w:val="none" w:sz="0" w:space="0" w:color="auto"/>
            <w:left w:val="none" w:sz="0" w:space="0" w:color="auto"/>
            <w:bottom w:val="none" w:sz="0" w:space="0" w:color="auto"/>
            <w:right w:val="none" w:sz="0" w:space="0" w:color="auto"/>
          </w:divBdr>
        </w:div>
        <w:div w:id="634336624">
          <w:marLeft w:val="0"/>
          <w:marRight w:val="0"/>
          <w:marTop w:val="0"/>
          <w:marBottom w:val="0"/>
          <w:divBdr>
            <w:top w:val="none" w:sz="0" w:space="0" w:color="auto"/>
            <w:left w:val="none" w:sz="0" w:space="0" w:color="auto"/>
            <w:bottom w:val="none" w:sz="0" w:space="0" w:color="auto"/>
            <w:right w:val="none" w:sz="0" w:space="0" w:color="auto"/>
          </w:divBdr>
        </w:div>
        <w:div w:id="827474163">
          <w:marLeft w:val="0"/>
          <w:marRight w:val="0"/>
          <w:marTop w:val="0"/>
          <w:marBottom w:val="0"/>
          <w:divBdr>
            <w:top w:val="none" w:sz="0" w:space="0" w:color="auto"/>
            <w:left w:val="none" w:sz="0" w:space="0" w:color="auto"/>
            <w:bottom w:val="none" w:sz="0" w:space="0" w:color="auto"/>
            <w:right w:val="none" w:sz="0" w:space="0" w:color="auto"/>
          </w:divBdr>
        </w:div>
        <w:div w:id="927736699">
          <w:marLeft w:val="0"/>
          <w:marRight w:val="0"/>
          <w:marTop w:val="0"/>
          <w:marBottom w:val="0"/>
          <w:divBdr>
            <w:top w:val="none" w:sz="0" w:space="0" w:color="auto"/>
            <w:left w:val="none" w:sz="0" w:space="0" w:color="auto"/>
            <w:bottom w:val="none" w:sz="0" w:space="0" w:color="auto"/>
            <w:right w:val="none" w:sz="0" w:space="0" w:color="auto"/>
          </w:divBdr>
        </w:div>
        <w:div w:id="981614978">
          <w:marLeft w:val="0"/>
          <w:marRight w:val="0"/>
          <w:marTop w:val="0"/>
          <w:marBottom w:val="0"/>
          <w:divBdr>
            <w:top w:val="none" w:sz="0" w:space="0" w:color="auto"/>
            <w:left w:val="none" w:sz="0" w:space="0" w:color="auto"/>
            <w:bottom w:val="none" w:sz="0" w:space="0" w:color="auto"/>
            <w:right w:val="none" w:sz="0" w:space="0" w:color="auto"/>
          </w:divBdr>
        </w:div>
        <w:div w:id="1040284230">
          <w:marLeft w:val="0"/>
          <w:marRight w:val="0"/>
          <w:marTop w:val="0"/>
          <w:marBottom w:val="0"/>
          <w:divBdr>
            <w:top w:val="none" w:sz="0" w:space="0" w:color="auto"/>
            <w:left w:val="none" w:sz="0" w:space="0" w:color="auto"/>
            <w:bottom w:val="none" w:sz="0" w:space="0" w:color="auto"/>
            <w:right w:val="none" w:sz="0" w:space="0" w:color="auto"/>
          </w:divBdr>
        </w:div>
        <w:div w:id="1076049685">
          <w:marLeft w:val="0"/>
          <w:marRight w:val="0"/>
          <w:marTop w:val="0"/>
          <w:marBottom w:val="0"/>
          <w:divBdr>
            <w:top w:val="none" w:sz="0" w:space="0" w:color="auto"/>
            <w:left w:val="none" w:sz="0" w:space="0" w:color="auto"/>
            <w:bottom w:val="none" w:sz="0" w:space="0" w:color="auto"/>
            <w:right w:val="none" w:sz="0" w:space="0" w:color="auto"/>
          </w:divBdr>
        </w:div>
        <w:div w:id="1144666748">
          <w:marLeft w:val="0"/>
          <w:marRight w:val="0"/>
          <w:marTop w:val="0"/>
          <w:marBottom w:val="0"/>
          <w:divBdr>
            <w:top w:val="none" w:sz="0" w:space="0" w:color="auto"/>
            <w:left w:val="none" w:sz="0" w:space="0" w:color="auto"/>
            <w:bottom w:val="none" w:sz="0" w:space="0" w:color="auto"/>
            <w:right w:val="none" w:sz="0" w:space="0" w:color="auto"/>
          </w:divBdr>
        </w:div>
        <w:div w:id="1146243809">
          <w:marLeft w:val="0"/>
          <w:marRight w:val="0"/>
          <w:marTop w:val="0"/>
          <w:marBottom w:val="0"/>
          <w:divBdr>
            <w:top w:val="none" w:sz="0" w:space="0" w:color="auto"/>
            <w:left w:val="none" w:sz="0" w:space="0" w:color="auto"/>
            <w:bottom w:val="none" w:sz="0" w:space="0" w:color="auto"/>
            <w:right w:val="none" w:sz="0" w:space="0" w:color="auto"/>
          </w:divBdr>
        </w:div>
        <w:div w:id="1393775752">
          <w:marLeft w:val="0"/>
          <w:marRight w:val="0"/>
          <w:marTop w:val="0"/>
          <w:marBottom w:val="0"/>
          <w:divBdr>
            <w:top w:val="none" w:sz="0" w:space="0" w:color="auto"/>
            <w:left w:val="none" w:sz="0" w:space="0" w:color="auto"/>
            <w:bottom w:val="none" w:sz="0" w:space="0" w:color="auto"/>
            <w:right w:val="none" w:sz="0" w:space="0" w:color="auto"/>
          </w:divBdr>
        </w:div>
        <w:div w:id="1399208275">
          <w:marLeft w:val="0"/>
          <w:marRight w:val="0"/>
          <w:marTop w:val="0"/>
          <w:marBottom w:val="0"/>
          <w:divBdr>
            <w:top w:val="none" w:sz="0" w:space="0" w:color="auto"/>
            <w:left w:val="none" w:sz="0" w:space="0" w:color="auto"/>
            <w:bottom w:val="none" w:sz="0" w:space="0" w:color="auto"/>
            <w:right w:val="none" w:sz="0" w:space="0" w:color="auto"/>
          </w:divBdr>
        </w:div>
        <w:div w:id="1990554888">
          <w:marLeft w:val="0"/>
          <w:marRight w:val="0"/>
          <w:marTop w:val="0"/>
          <w:marBottom w:val="0"/>
          <w:divBdr>
            <w:top w:val="none" w:sz="0" w:space="0" w:color="auto"/>
            <w:left w:val="none" w:sz="0" w:space="0" w:color="auto"/>
            <w:bottom w:val="none" w:sz="0" w:space="0" w:color="auto"/>
            <w:right w:val="none" w:sz="0" w:space="0" w:color="auto"/>
          </w:divBdr>
        </w:div>
      </w:divsChild>
    </w:div>
    <w:div w:id="430004932">
      <w:bodyDiv w:val="1"/>
      <w:marLeft w:val="0"/>
      <w:marRight w:val="0"/>
      <w:marTop w:val="0"/>
      <w:marBottom w:val="0"/>
      <w:divBdr>
        <w:top w:val="none" w:sz="0" w:space="0" w:color="auto"/>
        <w:left w:val="none" w:sz="0" w:space="0" w:color="auto"/>
        <w:bottom w:val="none" w:sz="0" w:space="0" w:color="auto"/>
        <w:right w:val="none" w:sz="0" w:space="0" w:color="auto"/>
      </w:divBdr>
    </w:div>
    <w:div w:id="452553459">
      <w:bodyDiv w:val="1"/>
      <w:marLeft w:val="0"/>
      <w:marRight w:val="0"/>
      <w:marTop w:val="0"/>
      <w:marBottom w:val="0"/>
      <w:divBdr>
        <w:top w:val="none" w:sz="0" w:space="0" w:color="auto"/>
        <w:left w:val="none" w:sz="0" w:space="0" w:color="auto"/>
        <w:bottom w:val="none" w:sz="0" w:space="0" w:color="auto"/>
        <w:right w:val="none" w:sz="0" w:space="0" w:color="auto"/>
      </w:divBdr>
      <w:divsChild>
        <w:div w:id="4943724">
          <w:marLeft w:val="0"/>
          <w:marRight w:val="0"/>
          <w:marTop w:val="0"/>
          <w:marBottom w:val="0"/>
          <w:divBdr>
            <w:top w:val="none" w:sz="0" w:space="0" w:color="auto"/>
            <w:left w:val="none" w:sz="0" w:space="0" w:color="auto"/>
            <w:bottom w:val="none" w:sz="0" w:space="0" w:color="auto"/>
            <w:right w:val="none" w:sz="0" w:space="0" w:color="auto"/>
          </w:divBdr>
        </w:div>
        <w:div w:id="622662728">
          <w:marLeft w:val="0"/>
          <w:marRight w:val="0"/>
          <w:marTop w:val="0"/>
          <w:marBottom w:val="0"/>
          <w:divBdr>
            <w:top w:val="none" w:sz="0" w:space="0" w:color="auto"/>
            <w:left w:val="none" w:sz="0" w:space="0" w:color="auto"/>
            <w:bottom w:val="none" w:sz="0" w:space="0" w:color="auto"/>
            <w:right w:val="none" w:sz="0" w:space="0" w:color="auto"/>
          </w:divBdr>
        </w:div>
      </w:divsChild>
    </w:div>
    <w:div w:id="453256357">
      <w:bodyDiv w:val="1"/>
      <w:marLeft w:val="0"/>
      <w:marRight w:val="0"/>
      <w:marTop w:val="0"/>
      <w:marBottom w:val="0"/>
      <w:divBdr>
        <w:top w:val="none" w:sz="0" w:space="0" w:color="auto"/>
        <w:left w:val="none" w:sz="0" w:space="0" w:color="auto"/>
        <w:bottom w:val="none" w:sz="0" w:space="0" w:color="auto"/>
        <w:right w:val="none" w:sz="0" w:space="0" w:color="auto"/>
      </w:divBdr>
    </w:div>
    <w:div w:id="547180086">
      <w:bodyDiv w:val="1"/>
      <w:marLeft w:val="0"/>
      <w:marRight w:val="0"/>
      <w:marTop w:val="0"/>
      <w:marBottom w:val="0"/>
      <w:divBdr>
        <w:top w:val="none" w:sz="0" w:space="0" w:color="auto"/>
        <w:left w:val="none" w:sz="0" w:space="0" w:color="auto"/>
        <w:bottom w:val="none" w:sz="0" w:space="0" w:color="auto"/>
        <w:right w:val="none" w:sz="0" w:space="0" w:color="auto"/>
      </w:divBdr>
    </w:div>
    <w:div w:id="601453841">
      <w:bodyDiv w:val="1"/>
      <w:marLeft w:val="0"/>
      <w:marRight w:val="0"/>
      <w:marTop w:val="0"/>
      <w:marBottom w:val="0"/>
      <w:divBdr>
        <w:top w:val="none" w:sz="0" w:space="0" w:color="auto"/>
        <w:left w:val="none" w:sz="0" w:space="0" w:color="auto"/>
        <w:bottom w:val="none" w:sz="0" w:space="0" w:color="auto"/>
        <w:right w:val="none" w:sz="0" w:space="0" w:color="auto"/>
      </w:divBdr>
      <w:divsChild>
        <w:div w:id="588002367">
          <w:marLeft w:val="0"/>
          <w:marRight w:val="0"/>
          <w:marTop w:val="0"/>
          <w:marBottom w:val="0"/>
          <w:divBdr>
            <w:top w:val="none" w:sz="0" w:space="0" w:color="auto"/>
            <w:left w:val="none" w:sz="0" w:space="0" w:color="auto"/>
            <w:bottom w:val="none" w:sz="0" w:space="0" w:color="auto"/>
            <w:right w:val="none" w:sz="0" w:space="0" w:color="auto"/>
          </w:divBdr>
        </w:div>
        <w:div w:id="689379759">
          <w:marLeft w:val="0"/>
          <w:marRight w:val="0"/>
          <w:marTop w:val="0"/>
          <w:marBottom w:val="0"/>
          <w:divBdr>
            <w:top w:val="none" w:sz="0" w:space="0" w:color="auto"/>
            <w:left w:val="none" w:sz="0" w:space="0" w:color="auto"/>
            <w:bottom w:val="none" w:sz="0" w:space="0" w:color="auto"/>
            <w:right w:val="none" w:sz="0" w:space="0" w:color="auto"/>
          </w:divBdr>
        </w:div>
        <w:div w:id="1447042316">
          <w:marLeft w:val="0"/>
          <w:marRight w:val="0"/>
          <w:marTop w:val="0"/>
          <w:marBottom w:val="0"/>
          <w:divBdr>
            <w:top w:val="none" w:sz="0" w:space="0" w:color="auto"/>
            <w:left w:val="none" w:sz="0" w:space="0" w:color="auto"/>
            <w:bottom w:val="none" w:sz="0" w:space="0" w:color="auto"/>
            <w:right w:val="none" w:sz="0" w:space="0" w:color="auto"/>
          </w:divBdr>
        </w:div>
        <w:div w:id="1498494874">
          <w:marLeft w:val="0"/>
          <w:marRight w:val="0"/>
          <w:marTop w:val="0"/>
          <w:marBottom w:val="0"/>
          <w:divBdr>
            <w:top w:val="none" w:sz="0" w:space="0" w:color="auto"/>
            <w:left w:val="none" w:sz="0" w:space="0" w:color="auto"/>
            <w:bottom w:val="none" w:sz="0" w:space="0" w:color="auto"/>
            <w:right w:val="none" w:sz="0" w:space="0" w:color="auto"/>
          </w:divBdr>
        </w:div>
        <w:div w:id="1536700540">
          <w:marLeft w:val="0"/>
          <w:marRight w:val="0"/>
          <w:marTop w:val="0"/>
          <w:marBottom w:val="0"/>
          <w:divBdr>
            <w:top w:val="none" w:sz="0" w:space="0" w:color="auto"/>
            <w:left w:val="none" w:sz="0" w:space="0" w:color="auto"/>
            <w:bottom w:val="none" w:sz="0" w:space="0" w:color="auto"/>
            <w:right w:val="none" w:sz="0" w:space="0" w:color="auto"/>
          </w:divBdr>
        </w:div>
        <w:div w:id="1628315833">
          <w:marLeft w:val="0"/>
          <w:marRight w:val="0"/>
          <w:marTop w:val="0"/>
          <w:marBottom w:val="0"/>
          <w:divBdr>
            <w:top w:val="none" w:sz="0" w:space="0" w:color="auto"/>
            <w:left w:val="none" w:sz="0" w:space="0" w:color="auto"/>
            <w:bottom w:val="none" w:sz="0" w:space="0" w:color="auto"/>
            <w:right w:val="none" w:sz="0" w:space="0" w:color="auto"/>
          </w:divBdr>
        </w:div>
        <w:div w:id="1664505581">
          <w:marLeft w:val="0"/>
          <w:marRight w:val="0"/>
          <w:marTop w:val="0"/>
          <w:marBottom w:val="0"/>
          <w:divBdr>
            <w:top w:val="none" w:sz="0" w:space="0" w:color="auto"/>
            <w:left w:val="none" w:sz="0" w:space="0" w:color="auto"/>
            <w:bottom w:val="none" w:sz="0" w:space="0" w:color="auto"/>
            <w:right w:val="none" w:sz="0" w:space="0" w:color="auto"/>
          </w:divBdr>
        </w:div>
      </w:divsChild>
    </w:div>
    <w:div w:id="615715235">
      <w:bodyDiv w:val="1"/>
      <w:marLeft w:val="0"/>
      <w:marRight w:val="0"/>
      <w:marTop w:val="0"/>
      <w:marBottom w:val="0"/>
      <w:divBdr>
        <w:top w:val="none" w:sz="0" w:space="0" w:color="auto"/>
        <w:left w:val="none" w:sz="0" w:space="0" w:color="auto"/>
        <w:bottom w:val="none" w:sz="0" w:space="0" w:color="auto"/>
        <w:right w:val="none" w:sz="0" w:space="0" w:color="auto"/>
      </w:divBdr>
    </w:div>
    <w:div w:id="736976803">
      <w:bodyDiv w:val="1"/>
      <w:marLeft w:val="0"/>
      <w:marRight w:val="0"/>
      <w:marTop w:val="0"/>
      <w:marBottom w:val="0"/>
      <w:divBdr>
        <w:top w:val="none" w:sz="0" w:space="0" w:color="auto"/>
        <w:left w:val="none" w:sz="0" w:space="0" w:color="auto"/>
        <w:bottom w:val="none" w:sz="0" w:space="0" w:color="auto"/>
        <w:right w:val="none" w:sz="0" w:space="0" w:color="auto"/>
      </w:divBdr>
      <w:divsChild>
        <w:div w:id="1076435919">
          <w:marLeft w:val="0"/>
          <w:marRight w:val="0"/>
          <w:marTop w:val="0"/>
          <w:marBottom w:val="0"/>
          <w:divBdr>
            <w:top w:val="none" w:sz="0" w:space="0" w:color="auto"/>
            <w:left w:val="none" w:sz="0" w:space="0" w:color="auto"/>
            <w:bottom w:val="none" w:sz="0" w:space="0" w:color="auto"/>
            <w:right w:val="none" w:sz="0" w:space="0" w:color="auto"/>
          </w:divBdr>
        </w:div>
        <w:div w:id="1552423560">
          <w:marLeft w:val="0"/>
          <w:marRight w:val="0"/>
          <w:marTop w:val="0"/>
          <w:marBottom w:val="0"/>
          <w:divBdr>
            <w:top w:val="none" w:sz="0" w:space="0" w:color="auto"/>
            <w:left w:val="none" w:sz="0" w:space="0" w:color="auto"/>
            <w:bottom w:val="none" w:sz="0" w:space="0" w:color="auto"/>
            <w:right w:val="none" w:sz="0" w:space="0" w:color="auto"/>
          </w:divBdr>
        </w:div>
        <w:div w:id="1743409287">
          <w:marLeft w:val="0"/>
          <w:marRight w:val="0"/>
          <w:marTop w:val="0"/>
          <w:marBottom w:val="0"/>
          <w:divBdr>
            <w:top w:val="none" w:sz="0" w:space="0" w:color="auto"/>
            <w:left w:val="none" w:sz="0" w:space="0" w:color="auto"/>
            <w:bottom w:val="none" w:sz="0" w:space="0" w:color="auto"/>
            <w:right w:val="none" w:sz="0" w:space="0" w:color="auto"/>
          </w:divBdr>
        </w:div>
        <w:div w:id="1800226772">
          <w:marLeft w:val="0"/>
          <w:marRight w:val="0"/>
          <w:marTop w:val="0"/>
          <w:marBottom w:val="0"/>
          <w:divBdr>
            <w:top w:val="none" w:sz="0" w:space="0" w:color="auto"/>
            <w:left w:val="none" w:sz="0" w:space="0" w:color="auto"/>
            <w:bottom w:val="none" w:sz="0" w:space="0" w:color="auto"/>
            <w:right w:val="none" w:sz="0" w:space="0" w:color="auto"/>
          </w:divBdr>
        </w:div>
        <w:div w:id="1918394104">
          <w:marLeft w:val="0"/>
          <w:marRight w:val="0"/>
          <w:marTop w:val="0"/>
          <w:marBottom w:val="0"/>
          <w:divBdr>
            <w:top w:val="none" w:sz="0" w:space="0" w:color="auto"/>
            <w:left w:val="none" w:sz="0" w:space="0" w:color="auto"/>
            <w:bottom w:val="none" w:sz="0" w:space="0" w:color="auto"/>
            <w:right w:val="none" w:sz="0" w:space="0" w:color="auto"/>
          </w:divBdr>
        </w:div>
      </w:divsChild>
    </w:div>
    <w:div w:id="744038221">
      <w:bodyDiv w:val="1"/>
      <w:marLeft w:val="0"/>
      <w:marRight w:val="0"/>
      <w:marTop w:val="0"/>
      <w:marBottom w:val="0"/>
      <w:divBdr>
        <w:top w:val="none" w:sz="0" w:space="0" w:color="auto"/>
        <w:left w:val="none" w:sz="0" w:space="0" w:color="auto"/>
        <w:bottom w:val="none" w:sz="0" w:space="0" w:color="auto"/>
        <w:right w:val="none" w:sz="0" w:space="0" w:color="auto"/>
      </w:divBdr>
    </w:div>
    <w:div w:id="770054469">
      <w:bodyDiv w:val="1"/>
      <w:marLeft w:val="0"/>
      <w:marRight w:val="0"/>
      <w:marTop w:val="0"/>
      <w:marBottom w:val="0"/>
      <w:divBdr>
        <w:top w:val="none" w:sz="0" w:space="0" w:color="auto"/>
        <w:left w:val="none" w:sz="0" w:space="0" w:color="auto"/>
        <w:bottom w:val="none" w:sz="0" w:space="0" w:color="auto"/>
        <w:right w:val="none" w:sz="0" w:space="0" w:color="auto"/>
      </w:divBdr>
    </w:div>
    <w:div w:id="786386565">
      <w:bodyDiv w:val="1"/>
      <w:marLeft w:val="0"/>
      <w:marRight w:val="0"/>
      <w:marTop w:val="0"/>
      <w:marBottom w:val="0"/>
      <w:divBdr>
        <w:top w:val="none" w:sz="0" w:space="0" w:color="auto"/>
        <w:left w:val="none" w:sz="0" w:space="0" w:color="auto"/>
        <w:bottom w:val="none" w:sz="0" w:space="0" w:color="auto"/>
        <w:right w:val="none" w:sz="0" w:space="0" w:color="auto"/>
      </w:divBdr>
    </w:div>
    <w:div w:id="834956922">
      <w:bodyDiv w:val="1"/>
      <w:marLeft w:val="0"/>
      <w:marRight w:val="0"/>
      <w:marTop w:val="0"/>
      <w:marBottom w:val="0"/>
      <w:divBdr>
        <w:top w:val="none" w:sz="0" w:space="0" w:color="auto"/>
        <w:left w:val="none" w:sz="0" w:space="0" w:color="auto"/>
        <w:bottom w:val="none" w:sz="0" w:space="0" w:color="auto"/>
        <w:right w:val="none" w:sz="0" w:space="0" w:color="auto"/>
      </w:divBdr>
    </w:div>
    <w:div w:id="866067088">
      <w:bodyDiv w:val="1"/>
      <w:marLeft w:val="0"/>
      <w:marRight w:val="0"/>
      <w:marTop w:val="0"/>
      <w:marBottom w:val="0"/>
      <w:divBdr>
        <w:top w:val="none" w:sz="0" w:space="0" w:color="auto"/>
        <w:left w:val="none" w:sz="0" w:space="0" w:color="auto"/>
        <w:bottom w:val="none" w:sz="0" w:space="0" w:color="auto"/>
        <w:right w:val="none" w:sz="0" w:space="0" w:color="auto"/>
      </w:divBdr>
    </w:div>
    <w:div w:id="866716585">
      <w:bodyDiv w:val="1"/>
      <w:marLeft w:val="0"/>
      <w:marRight w:val="0"/>
      <w:marTop w:val="0"/>
      <w:marBottom w:val="0"/>
      <w:divBdr>
        <w:top w:val="none" w:sz="0" w:space="0" w:color="auto"/>
        <w:left w:val="none" w:sz="0" w:space="0" w:color="auto"/>
        <w:bottom w:val="none" w:sz="0" w:space="0" w:color="auto"/>
        <w:right w:val="none" w:sz="0" w:space="0" w:color="auto"/>
      </w:divBdr>
    </w:div>
    <w:div w:id="873157273">
      <w:bodyDiv w:val="1"/>
      <w:marLeft w:val="0"/>
      <w:marRight w:val="0"/>
      <w:marTop w:val="0"/>
      <w:marBottom w:val="0"/>
      <w:divBdr>
        <w:top w:val="none" w:sz="0" w:space="0" w:color="auto"/>
        <w:left w:val="none" w:sz="0" w:space="0" w:color="auto"/>
        <w:bottom w:val="none" w:sz="0" w:space="0" w:color="auto"/>
        <w:right w:val="none" w:sz="0" w:space="0" w:color="auto"/>
      </w:divBdr>
    </w:div>
    <w:div w:id="879821690">
      <w:bodyDiv w:val="1"/>
      <w:marLeft w:val="0"/>
      <w:marRight w:val="0"/>
      <w:marTop w:val="0"/>
      <w:marBottom w:val="0"/>
      <w:divBdr>
        <w:top w:val="none" w:sz="0" w:space="0" w:color="auto"/>
        <w:left w:val="none" w:sz="0" w:space="0" w:color="auto"/>
        <w:bottom w:val="none" w:sz="0" w:space="0" w:color="auto"/>
        <w:right w:val="none" w:sz="0" w:space="0" w:color="auto"/>
      </w:divBdr>
      <w:divsChild>
        <w:div w:id="318271434">
          <w:marLeft w:val="0"/>
          <w:marRight w:val="0"/>
          <w:marTop w:val="0"/>
          <w:marBottom w:val="0"/>
          <w:divBdr>
            <w:top w:val="none" w:sz="0" w:space="0" w:color="auto"/>
            <w:left w:val="none" w:sz="0" w:space="0" w:color="auto"/>
            <w:bottom w:val="none" w:sz="0" w:space="0" w:color="auto"/>
            <w:right w:val="none" w:sz="0" w:space="0" w:color="auto"/>
          </w:divBdr>
        </w:div>
        <w:div w:id="628635656">
          <w:marLeft w:val="0"/>
          <w:marRight w:val="0"/>
          <w:marTop w:val="0"/>
          <w:marBottom w:val="0"/>
          <w:divBdr>
            <w:top w:val="none" w:sz="0" w:space="0" w:color="auto"/>
            <w:left w:val="none" w:sz="0" w:space="0" w:color="auto"/>
            <w:bottom w:val="none" w:sz="0" w:space="0" w:color="auto"/>
            <w:right w:val="none" w:sz="0" w:space="0" w:color="auto"/>
          </w:divBdr>
        </w:div>
        <w:div w:id="736590794">
          <w:marLeft w:val="0"/>
          <w:marRight w:val="0"/>
          <w:marTop w:val="0"/>
          <w:marBottom w:val="0"/>
          <w:divBdr>
            <w:top w:val="none" w:sz="0" w:space="0" w:color="auto"/>
            <w:left w:val="none" w:sz="0" w:space="0" w:color="auto"/>
            <w:bottom w:val="none" w:sz="0" w:space="0" w:color="auto"/>
            <w:right w:val="none" w:sz="0" w:space="0" w:color="auto"/>
          </w:divBdr>
        </w:div>
        <w:div w:id="808128603">
          <w:marLeft w:val="0"/>
          <w:marRight w:val="0"/>
          <w:marTop w:val="0"/>
          <w:marBottom w:val="0"/>
          <w:divBdr>
            <w:top w:val="none" w:sz="0" w:space="0" w:color="auto"/>
            <w:left w:val="none" w:sz="0" w:space="0" w:color="auto"/>
            <w:bottom w:val="none" w:sz="0" w:space="0" w:color="auto"/>
            <w:right w:val="none" w:sz="0" w:space="0" w:color="auto"/>
          </w:divBdr>
        </w:div>
        <w:div w:id="1161001136">
          <w:marLeft w:val="0"/>
          <w:marRight w:val="0"/>
          <w:marTop w:val="0"/>
          <w:marBottom w:val="0"/>
          <w:divBdr>
            <w:top w:val="none" w:sz="0" w:space="0" w:color="auto"/>
            <w:left w:val="none" w:sz="0" w:space="0" w:color="auto"/>
            <w:bottom w:val="none" w:sz="0" w:space="0" w:color="auto"/>
            <w:right w:val="none" w:sz="0" w:space="0" w:color="auto"/>
          </w:divBdr>
        </w:div>
        <w:div w:id="1908951753">
          <w:marLeft w:val="0"/>
          <w:marRight w:val="0"/>
          <w:marTop w:val="0"/>
          <w:marBottom w:val="0"/>
          <w:divBdr>
            <w:top w:val="none" w:sz="0" w:space="0" w:color="auto"/>
            <w:left w:val="none" w:sz="0" w:space="0" w:color="auto"/>
            <w:bottom w:val="none" w:sz="0" w:space="0" w:color="auto"/>
            <w:right w:val="none" w:sz="0" w:space="0" w:color="auto"/>
          </w:divBdr>
        </w:div>
      </w:divsChild>
    </w:div>
    <w:div w:id="885143932">
      <w:bodyDiv w:val="1"/>
      <w:marLeft w:val="0"/>
      <w:marRight w:val="0"/>
      <w:marTop w:val="0"/>
      <w:marBottom w:val="0"/>
      <w:divBdr>
        <w:top w:val="none" w:sz="0" w:space="0" w:color="auto"/>
        <w:left w:val="none" w:sz="0" w:space="0" w:color="auto"/>
        <w:bottom w:val="none" w:sz="0" w:space="0" w:color="auto"/>
        <w:right w:val="none" w:sz="0" w:space="0" w:color="auto"/>
      </w:divBdr>
    </w:div>
    <w:div w:id="960306708">
      <w:bodyDiv w:val="1"/>
      <w:marLeft w:val="0"/>
      <w:marRight w:val="0"/>
      <w:marTop w:val="0"/>
      <w:marBottom w:val="0"/>
      <w:divBdr>
        <w:top w:val="none" w:sz="0" w:space="0" w:color="auto"/>
        <w:left w:val="none" w:sz="0" w:space="0" w:color="auto"/>
        <w:bottom w:val="none" w:sz="0" w:space="0" w:color="auto"/>
        <w:right w:val="none" w:sz="0" w:space="0" w:color="auto"/>
      </w:divBdr>
      <w:divsChild>
        <w:div w:id="131169967">
          <w:marLeft w:val="0"/>
          <w:marRight w:val="0"/>
          <w:marTop w:val="0"/>
          <w:marBottom w:val="0"/>
          <w:divBdr>
            <w:top w:val="none" w:sz="0" w:space="0" w:color="auto"/>
            <w:left w:val="none" w:sz="0" w:space="0" w:color="auto"/>
            <w:bottom w:val="none" w:sz="0" w:space="0" w:color="auto"/>
            <w:right w:val="none" w:sz="0" w:space="0" w:color="auto"/>
          </w:divBdr>
        </w:div>
        <w:div w:id="273904416">
          <w:marLeft w:val="0"/>
          <w:marRight w:val="0"/>
          <w:marTop w:val="0"/>
          <w:marBottom w:val="0"/>
          <w:divBdr>
            <w:top w:val="none" w:sz="0" w:space="0" w:color="auto"/>
            <w:left w:val="none" w:sz="0" w:space="0" w:color="auto"/>
            <w:bottom w:val="none" w:sz="0" w:space="0" w:color="auto"/>
            <w:right w:val="none" w:sz="0" w:space="0" w:color="auto"/>
          </w:divBdr>
        </w:div>
        <w:div w:id="409934117">
          <w:marLeft w:val="0"/>
          <w:marRight w:val="0"/>
          <w:marTop w:val="0"/>
          <w:marBottom w:val="0"/>
          <w:divBdr>
            <w:top w:val="none" w:sz="0" w:space="0" w:color="auto"/>
            <w:left w:val="none" w:sz="0" w:space="0" w:color="auto"/>
            <w:bottom w:val="none" w:sz="0" w:space="0" w:color="auto"/>
            <w:right w:val="none" w:sz="0" w:space="0" w:color="auto"/>
          </w:divBdr>
        </w:div>
        <w:div w:id="535776949">
          <w:marLeft w:val="0"/>
          <w:marRight w:val="0"/>
          <w:marTop w:val="0"/>
          <w:marBottom w:val="0"/>
          <w:divBdr>
            <w:top w:val="none" w:sz="0" w:space="0" w:color="auto"/>
            <w:left w:val="none" w:sz="0" w:space="0" w:color="auto"/>
            <w:bottom w:val="none" w:sz="0" w:space="0" w:color="auto"/>
            <w:right w:val="none" w:sz="0" w:space="0" w:color="auto"/>
          </w:divBdr>
        </w:div>
        <w:div w:id="626354541">
          <w:marLeft w:val="0"/>
          <w:marRight w:val="0"/>
          <w:marTop w:val="0"/>
          <w:marBottom w:val="0"/>
          <w:divBdr>
            <w:top w:val="none" w:sz="0" w:space="0" w:color="auto"/>
            <w:left w:val="none" w:sz="0" w:space="0" w:color="auto"/>
            <w:bottom w:val="none" w:sz="0" w:space="0" w:color="auto"/>
            <w:right w:val="none" w:sz="0" w:space="0" w:color="auto"/>
          </w:divBdr>
        </w:div>
        <w:div w:id="820318192">
          <w:marLeft w:val="0"/>
          <w:marRight w:val="0"/>
          <w:marTop w:val="0"/>
          <w:marBottom w:val="0"/>
          <w:divBdr>
            <w:top w:val="none" w:sz="0" w:space="0" w:color="auto"/>
            <w:left w:val="none" w:sz="0" w:space="0" w:color="auto"/>
            <w:bottom w:val="none" w:sz="0" w:space="0" w:color="auto"/>
            <w:right w:val="none" w:sz="0" w:space="0" w:color="auto"/>
          </w:divBdr>
        </w:div>
        <w:div w:id="994148015">
          <w:marLeft w:val="0"/>
          <w:marRight w:val="0"/>
          <w:marTop w:val="0"/>
          <w:marBottom w:val="0"/>
          <w:divBdr>
            <w:top w:val="none" w:sz="0" w:space="0" w:color="auto"/>
            <w:left w:val="none" w:sz="0" w:space="0" w:color="auto"/>
            <w:bottom w:val="none" w:sz="0" w:space="0" w:color="auto"/>
            <w:right w:val="none" w:sz="0" w:space="0" w:color="auto"/>
          </w:divBdr>
        </w:div>
      </w:divsChild>
    </w:div>
    <w:div w:id="961496899">
      <w:bodyDiv w:val="1"/>
      <w:marLeft w:val="0"/>
      <w:marRight w:val="0"/>
      <w:marTop w:val="0"/>
      <w:marBottom w:val="0"/>
      <w:divBdr>
        <w:top w:val="none" w:sz="0" w:space="0" w:color="auto"/>
        <w:left w:val="none" w:sz="0" w:space="0" w:color="auto"/>
        <w:bottom w:val="none" w:sz="0" w:space="0" w:color="auto"/>
        <w:right w:val="none" w:sz="0" w:space="0" w:color="auto"/>
      </w:divBdr>
    </w:div>
    <w:div w:id="961615341">
      <w:bodyDiv w:val="1"/>
      <w:marLeft w:val="0"/>
      <w:marRight w:val="0"/>
      <w:marTop w:val="0"/>
      <w:marBottom w:val="0"/>
      <w:divBdr>
        <w:top w:val="none" w:sz="0" w:space="0" w:color="auto"/>
        <w:left w:val="none" w:sz="0" w:space="0" w:color="auto"/>
        <w:bottom w:val="none" w:sz="0" w:space="0" w:color="auto"/>
        <w:right w:val="none" w:sz="0" w:space="0" w:color="auto"/>
      </w:divBdr>
    </w:div>
    <w:div w:id="1008755134">
      <w:bodyDiv w:val="1"/>
      <w:marLeft w:val="0"/>
      <w:marRight w:val="0"/>
      <w:marTop w:val="0"/>
      <w:marBottom w:val="0"/>
      <w:divBdr>
        <w:top w:val="none" w:sz="0" w:space="0" w:color="auto"/>
        <w:left w:val="none" w:sz="0" w:space="0" w:color="auto"/>
        <w:bottom w:val="none" w:sz="0" w:space="0" w:color="auto"/>
        <w:right w:val="none" w:sz="0" w:space="0" w:color="auto"/>
      </w:divBdr>
      <w:divsChild>
        <w:div w:id="464665348">
          <w:marLeft w:val="0"/>
          <w:marRight w:val="0"/>
          <w:marTop w:val="0"/>
          <w:marBottom w:val="0"/>
          <w:divBdr>
            <w:top w:val="none" w:sz="0" w:space="0" w:color="auto"/>
            <w:left w:val="none" w:sz="0" w:space="0" w:color="auto"/>
            <w:bottom w:val="none" w:sz="0" w:space="0" w:color="auto"/>
            <w:right w:val="none" w:sz="0" w:space="0" w:color="auto"/>
          </w:divBdr>
        </w:div>
        <w:div w:id="562760279">
          <w:marLeft w:val="0"/>
          <w:marRight w:val="0"/>
          <w:marTop w:val="0"/>
          <w:marBottom w:val="0"/>
          <w:divBdr>
            <w:top w:val="none" w:sz="0" w:space="0" w:color="auto"/>
            <w:left w:val="none" w:sz="0" w:space="0" w:color="auto"/>
            <w:bottom w:val="none" w:sz="0" w:space="0" w:color="auto"/>
            <w:right w:val="none" w:sz="0" w:space="0" w:color="auto"/>
          </w:divBdr>
        </w:div>
        <w:div w:id="604383384">
          <w:marLeft w:val="0"/>
          <w:marRight w:val="0"/>
          <w:marTop w:val="0"/>
          <w:marBottom w:val="0"/>
          <w:divBdr>
            <w:top w:val="none" w:sz="0" w:space="0" w:color="auto"/>
            <w:left w:val="none" w:sz="0" w:space="0" w:color="auto"/>
            <w:bottom w:val="none" w:sz="0" w:space="0" w:color="auto"/>
            <w:right w:val="none" w:sz="0" w:space="0" w:color="auto"/>
          </w:divBdr>
        </w:div>
        <w:div w:id="885679162">
          <w:marLeft w:val="0"/>
          <w:marRight w:val="0"/>
          <w:marTop w:val="0"/>
          <w:marBottom w:val="0"/>
          <w:divBdr>
            <w:top w:val="none" w:sz="0" w:space="0" w:color="auto"/>
            <w:left w:val="none" w:sz="0" w:space="0" w:color="auto"/>
            <w:bottom w:val="none" w:sz="0" w:space="0" w:color="auto"/>
            <w:right w:val="none" w:sz="0" w:space="0" w:color="auto"/>
          </w:divBdr>
        </w:div>
        <w:div w:id="1010369742">
          <w:marLeft w:val="0"/>
          <w:marRight w:val="0"/>
          <w:marTop w:val="0"/>
          <w:marBottom w:val="0"/>
          <w:divBdr>
            <w:top w:val="none" w:sz="0" w:space="0" w:color="auto"/>
            <w:left w:val="none" w:sz="0" w:space="0" w:color="auto"/>
            <w:bottom w:val="none" w:sz="0" w:space="0" w:color="auto"/>
            <w:right w:val="none" w:sz="0" w:space="0" w:color="auto"/>
          </w:divBdr>
        </w:div>
        <w:div w:id="1302416378">
          <w:marLeft w:val="0"/>
          <w:marRight w:val="0"/>
          <w:marTop w:val="0"/>
          <w:marBottom w:val="0"/>
          <w:divBdr>
            <w:top w:val="none" w:sz="0" w:space="0" w:color="auto"/>
            <w:left w:val="none" w:sz="0" w:space="0" w:color="auto"/>
            <w:bottom w:val="none" w:sz="0" w:space="0" w:color="auto"/>
            <w:right w:val="none" w:sz="0" w:space="0" w:color="auto"/>
          </w:divBdr>
        </w:div>
        <w:div w:id="1326320755">
          <w:marLeft w:val="0"/>
          <w:marRight w:val="0"/>
          <w:marTop w:val="0"/>
          <w:marBottom w:val="0"/>
          <w:divBdr>
            <w:top w:val="none" w:sz="0" w:space="0" w:color="auto"/>
            <w:left w:val="none" w:sz="0" w:space="0" w:color="auto"/>
            <w:bottom w:val="none" w:sz="0" w:space="0" w:color="auto"/>
            <w:right w:val="none" w:sz="0" w:space="0" w:color="auto"/>
          </w:divBdr>
        </w:div>
        <w:div w:id="1487623562">
          <w:marLeft w:val="0"/>
          <w:marRight w:val="0"/>
          <w:marTop w:val="0"/>
          <w:marBottom w:val="0"/>
          <w:divBdr>
            <w:top w:val="none" w:sz="0" w:space="0" w:color="auto"/>
            <w:left w:val="none" w:sz="0" w:space="0" w:color="auto"/>
            <w:bottom w:val="none" w:sz="0" w:space="0" w:color="auto"/>
            <w:right w:val="none" w:sz="0" w:space="0" w:color="auto"/>
          </w:divBdr>
        </w:div>
      </w:divsChild>
    </w:div>
    <w:div w:id="1024133761">
      <w:bodyDiv w:val="1"/>
      <w:marLeft w:val="0"/>
      <w:marRight w:val="0"/>
      <w:marTop w:val="0"/>
      <w:marBottom w:val="0"/>
      <w:divBdr>
        <w:top w:val="none" w:sz="0" w:space="0" w:color="auto"/>
        <w:left w:val="none" w:sz="0" w:space="0" w:color="auto"/>
        <w:bottom w:val="none" w:sz="0" w:space="0" w:color="auto"/>
        <w:right w:val="none" w:sz="0" w:space="0" w:color="auto"/>
      </w:divBdr>
    </w:div>
    <w:div w:id="1042628834">
      <w:bodyDiv w:val="1"/>
      <w:marLeft w:val="0"/>
      <w:marRight w:val="0"/>
      <w:marTop w:val="0"/>
      <w:marBottom w:val="0"/>
      <w:divBdr>
        <w:top w:val="none" w:sz="0" w:space="0" w:color="auto"/>
        <w:left w:val="none" w:sz="0" w:space="0" w:color="auto"/>
        <w:bottom w:val="none" w:sz="0" w:space="0" w:color="auto"/>
        <w:right w:val="none" w:sz="0" w:space="0" w:color="auto"/>
      </w:divBdr>
    </w:div>
    <w:div w:id="1049572221">
      <w:bodyDiv w:val="1"/>
      <w:marLeft w:val="0"/>
      <w:marRight w:val="0"/>
      <w:marTop w:val="0"/>
      <w:marBottom w:val="0"/>
      <w:divBdr>
        <w:top w:val="none" w:sz="0" w:space="0" w:color="auto"/>
        <w:left w:val="none" w:sz="0" w:space="0" w:color="auto"/>
        <w:bottom w:val="none" w:sz="0" w:space="0" w:color="auto"/>
        <w:right w:val="none" w:sz="0" w:space="0" w:color="auto"/>
      </w:divBdr>
      <w:divsChild>
        <w:div w:id="819924965">
          <w:marLeft w:val="0"/>
          <w:marRight w:val="0"/>
          <w:marTop w:val="0"/>
          <w:marBottom w:val="0"/>
          <w:divBdr>
            <w:top w:val="none" w:sz="0" w:space="0" w:color="auto"/>
            <w:left w:val="none" w:sz="0" w:space="0" w:color="auto"/>
            <w:bottom w:val="none" w:sz="0" w:space="0" w:color="auto"/>
            <w:right w:val="none" w:sz="0" w:space="0" w:color="auto"/>
          </w:divBdr>
          <w:divsChild>
            <w:div w:id="207357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87714">
      <w:bodyDiv w:val="1"/>
      <w:marLeft w:val="0"/>
      <w:marRight w:val="0"/>
      <w:marTop w:val="0"/>
      <w:marBottom w:val="0"/>
      <w:divBdr>
        <w:top w:val="none" w:sz="0" w:space="0" w:color="auto"/>
        <w:left w:val="none" w:sz="0" w:space="0" w:color="auto"/>
        <w:bottom w:val="none" w:sz="0" w:space="0" w:color="auto"/>
        <w:right w:val="none" w:sz="0" w:space="0" w:color="auto"/>
      </w:divBdr>
      <w:divsChild>
        <w:div w:id="1001349511">
          <w:marLeft w:val="0"/>
          <w:marRight w:val="0"/>
          <w:marTop w:val="0"/>
          <w:marBottom w:val="0"/>
          <w:divBdr>
            <w:top w:val="none" w:sz="0" w:space="0" w:color="auto"/>
            <w:left w:val="none" w:sz="0" w:space="0" w:color="auto"/>
            <w:bottom w:val="none" w:sz="0" w:space="0" w:color="auto"/>
            <w:right w:val="none" w:sz="0" w:space="0" w:color="auto"/>
          </w:divBdr>
        </w:div>
        <w:div w:id="478348109">
          <w:marLeft w:val="0"/>
          <w:marRight w:val="0"/>
          <w:marTop w:val="0"/>
          <w:marBottom w:val="0"/>
          <w:divBdr>
            <w:top w:val="none" w:sz="0" w:space="0" w:color="auto"/>
            <w:left w:val="none" w:sz="0" w:space="0" w:color="auto"/>
            <w:bottom w:val="none" w:sz="0" w:space="0" w:color="auto"/>
            <w:right w:val="none" w:sz="0" w:space="0" w:color="auto"/>
          </w:divBdr>
        </w:div>
        <w:div w:id="790592164">
          <w:marLeft w:val="0"/>
          <w:marRight w:val="0"/>
          <w:marTop w:val="0"/>
          <w:marBottom w:val="0"/>
          <w:divBdr>
            <w:top w:val="none" w:sz="0" w:space="0" w:color="auto"/>
            <w:left w:val="none" w:sz="0" w:space="0" w:color="auto"/>
            <w:bottom w:val="none" w:sz="0" w:space="0" w:color="auto"/>
            <w:right w:val="none" w:sz="0" w:space="0" w:color="auto"/>
          </w:divBdr>
        </w:div>
        <w:div w:id="127016177">
          <w:marLeft w:val="0"/>
          <w:marRight w:val="0"/>
          <w:marTop w:val="0"/>
          <w:marBottom w:val="0"/>
          <w:divBdr>
            <w:top w:val="none" w:sz="0" w:space="0" w:color="auto"/>
            <w:left w:val="none" w:sz="0" w:space="0" w:color="auto"/>
            <w:bottom w:val="none" w:sz="0" w:space="0" w:color="auto"/>
            <w:right w:val="none" w:sz="0" w:space="0" w:color="auto"/>
          </w:divBdr>
        </w:div>
        <w:div w:id="1228567231">
          <w:marLeft w:val="0"/>
          <w:marRight w:val="0"/>
          <w:marTop w:val="0"/>
          <w:marBottom w:val="0"/>
          <w:divBdr>
            <w:top w:val="none" w:sz="0" w:space="0" w:color="auto"/>
            <w:left w:val="none" w:sz="0" w:space="0" w:color="auto"/>
            <w:bottom w:val="none" w:sz="0" w:space="0" w:color="auto"/>
            <w:right w:val="none" w:sz="0" w:space="0" w:color="auto"/>
          </w:divBdr>
        </w:div>
      </w:divsChild>
    </w:div>
    <w:div w:id="1145658222">
      <w:bodyDiv w:val="1"/>
      <w:marLeft w:val="0"/>
      <w:marRight w:val="0"/>
      <w:marTop w:val="0"/>
      <w:marBottom w:val="0"/>
      <w:divBdr>
        <w:top w:val="none" w:sz="0" w:space="0" w:color="auto"/>
        <w:left w:val="none" w:sz="0" w:space="0" w:color="auto"/>
        <w:bottom w:val="none" w:sz="0" w:space="0" w:color="auto"/>
        <w:right w:val="none" w:sz="0" w:space="0" w:color="auto"/>
      </w:divBdr>
      <w:divsChild>
        <w:div w:id="144906420">
          <w:marLeft w:val="0"/>
          <w:marRight w:val="0"/>
          <w:marTop w:val="0"/>
          <w:marBottom w:val="0"/>
          <w:divBdr>
            <w:top w:val="none" w:sz="0" w:space="0" w:color="auto"/>
            <w:left w:val="none" w:sz="0" w:space="0" w:color="auto"/>
            <w:bottom w:val="none" w:sz="0" w:space="0" w:color="auto"/>
            <w:right w:val="none" w:sz="0" w:space="0" w:color="auto"/>
          </w:divBdr>
        </w:div>
        <w:div w:id="699431894">
          <w:marLeft w:val="0"/>
          <w:marRight w:val="0"/>
          <w:marTop w:val="0"/>
          <w:marBottom w:val="0"/>
          <w:divBdr>
            <w:top w:val="none" w:sz="0" w:space="0" w:color="auto"/>
            <w:left w:val="none" w:sz="0" w:space="0" w:color="auto"/>
            <w:bottom w:val="none" w:sz="0" w:space="0" w:color="auto"/>
            <w:right w:val="none" w:sz="0" w:space="0" w:color="auto"/>
          </w:divBdr>
        </w:div>
        <w:div w:id="963582494">
          <w:marLeft w:val="0"/>
          <w:marRight w:val="0"/>
          <w:marTop w:val="0"/>
          <w:marBottom w:val="0"/>
          <w:divBdr>
            <w:top w:val="none" w:sz="0" w:space="0" w:color="auto"/>
            <w:left w:val="none" w:sz="0" w:space="0" w:color="auto"/>
            <w:bottom w:val="none" w:sz="0" w:space="0" w:color="auto"/>
            <w:right w:val="none" w:sz="0" w:space="0" w:color="auto"/>
          </w:divBdr>
        </w:div>
        <w:div w:id="1576041047">
          <w:marLeft w:val="0"/>
          <w:marRight w:val="0"/>
          <w:marTop w:val="0"/>
          <w:marBottom w:val="0"/>
          <w:divBdr>
            <w:top w:val="none" w:sz="0" w:space="0" w:color="auto"/>
            <w:left w:val="none" w:sz="0" w:space="0" w:color="auto"/>
            <w:bottom w:val="none" w:sz="0" w:space="0" w:color="auto"/>
            <w:right w:val="none" w:sz="0" w:space="0" w:color="auto"/>
          </w:divBdr>
        </w:div>
        <w:div w:id="1601913919">
          <w:marLeft w:val="0"/>
          <w:marRight w:val="0"/>
          <w:marTop w:val="0"/>
          <w:marBottom w:val="0"/>
          <w:divBdr>
            <w:top w:val="none" w:sz="0" w:space="0" w:color="auto"/>
            <w:left w:val="none" w:sz="0" w:space="0" w:color="auto"/>
            <w:bottom w:val="none" w:sz="0" w:space="0" w:color="auto"/>
            <w:right w:val="none" w:sz="0" w:space="0" w:color="auto"/>
          </w:divBdr>
        </w:div>
        <w:div w:id="1754814863">
          <w:marLeft w:val="0"/>
          <w:marRight w:val="0"/>
          <w:marTop w:val="0"/>
          <w:marBottom w:val="0"/>
          <w:divBdr>
            <w:top w:val="none" w:sz="0" w:space="0" w:color="auto"/>
            <w:left w:val="none" w:sz="0" w:space="0" w:color="auto"/>
            <w:bottom w:val="none" w:sz="0" w:space="0" w:color="auto"/>
            <w:right w:val="none" w:sz="0" w:space="0" w:color="auto"/>
          </w:divBdr>
        </w:div>
        <w:div w:id="1870483918">
          <w:marLeft w:val="0"/>
          <w:marRight w:val="0"/>
          <w:marTop w:val="0"/>
          <w:marBottom w:val="0"/>
          <w:divBdr>
            <w:top w:val="none" w:sz="0" w:space="0" w:color="auto"/>
            <w:left w:val="none" w:sz="0" w:space="0" w:color="auto"/>
            <w:bottom w:val="none" w:sz="0" w:space="0" w:color="auto"/>
            <w:right w:val="none" w:sz="0" w:space="0" w:color="auto"/>
          </w:divBdr>
        </w:div>
        <w:div w:id="1988435866">
          <w:marLeft w:val="0"/>
          <w:marRight w:val="0"/>
          <w:marTop w:val="0"/>
          <w:marBottom w:val="0"/>
          <w:divBdr>
            <w:top w:val="none" w:sz="0" w:space="0" w:color="auto"/>
            <w:left w:val="none" w:sz="0" w:space="0" w:color="auto"/>
            <w:bottom w:val="none" w:sz="0" w:space="0" w:color="auto"/>
            <w:right w:val="none" w:sz="0" w:space="0" w:color="auto"/>
          </w:divBdr>
        </w:div>
        <w:div w:id="2014601604">
          <w:marLeft w:val="0"/>
          <w:marRight w:val="0"/>
          <w:marTop w:val="0"/>
          <w:marBottom w:val="0"/>
          <w:divBdr>
            <w:top w:val="none" w:sz="0" w:space="0" w:color="auto"/>
            <w:left w:val="none" w:sz="0" w:space="0" w:color="auto"/>
            <w:bottom w:val="none" w:sz="0" w:space="0" w:color="auto"/>
            <w:right w:val="none" w:sz="0" w:space="0" w:color="auto"/>
          </w:divBdr>
        </w:div>
        <w:div w:id="2098283721">
          <w:marLeft w:val="0"/>
          <w:marRight w:val="0"/>
          <w:marTop w:val="0"/>
          <w:marBottom w:val="0"/>
          <w:divBdr>
            <w:top w:val="none" w:sz="0" w:space="0" w:color="auto"/>
            <w:left w:val="none" w:sz="0" w:space="0" w:color="auto"/>
            <w:bottom w:val="none" w:sz="0" w:space="0" w:color="auto"/>
            <w:right w:val="none" w:sz="0" w:space="0" w:color="auto"/>
          </w:divBdr>
        </w:div>
      </w:divsChild>
    </w:div>
    <w:div w:id="1155603754">
      <w:bodyDiv w:val="1"/>
      <w:marLeft w:val="0"/>
      <w:marRight w:val="0"/>
      <w:marTop w:val="0"/>
      <w:marBottom w:val="0"/>
      <w:divBdr>
        <w:top w:val="none" w:sz="0" w:space="0" w:color="auto"/>
        <w:left w:val="none" w:sz="0" w:space="0" w:color="auto"/>
        <w:bottom w:val="none" w:sz="0" w:space="0" w:color="auto"/>
        <w:right w:val="none" w:sz="0" w:space="0" w:color="auto"/>
      </w:divBdr>
      <w:divsChild>
        <w:div w:id="183179639">
          <w:marLeft w:val="0"/>
          <w:marRight w:val="0"/>
          <w:marTop w:val="0"/>
          <w:marBottom w:val="0"/>
          <w:divBdr>
            <w:top w:val="none" w:sz="0" w:space="0" w:color="auto"/>
            <w:left w:val="none" w:sz="0" w:space="0" w:color="auto"/>
            <w:bottom w:val="none" w:sz="0" w:space="0" w:color="auto"/>
            <w:right w:val="none" w:sz="0" w:space="0" w:color="auto"/>
          </w:divBdr>
        </w:div>
        <w:div w:id="408770019">
          <w:marLeft w:val="0"/>
          <w:marRight w:val="0"/>
          <w:marTop w:val="0"/>
          <w:marBottom w:val="0"/>
          <w:divBdr>
            <w:top w:val="none" w:sz="0" w:space="0" w:color="auto"/>
            <w:left w:val="none" w:sz="0" w:space="0" w:color="auto"/>
            <w:bottom w:val="none" w:sz="0" w:space="0" w:color="auto"/>
            <w:right w:val="none" w:sz="0" w:space="0" w:color="auto"/>
          </w:divBdr>
        </w:div>
        <w:div w:id="498351843">
          <w:marLeft w:val="0"/>
          <w:marRight w:val="0"/>
          <w:marTop w:val="0"/>
          <w:marBottom w:val="0"/>
          <w:divBdr>
            <w:top w:val="none" w:sz="0" w:space="0" w:color="auto"/>
            <w:left w:val="none" w:sz="0" w:space="0" w:color="auto"/>
            <w:bottom w:val="none" w:sz="0" w:space="0" w:color="auto"/>
            <w:right w:val="none" w:sz="0" w:space="0" w:color="auto"/>
          </w:divBdr>
        </w:div>
        <w:div w:id="507332919">
          <w:marLeft w:val="0"/>
          <w:marRight w:val="0"/>
          <w:marTop w:val="0"/>
          <w:marBottom w:val="0"/>
          <w:divBdr>
            <w:top w:val="none" w:sz="0" w:space="0" w:color="auto"/>
            <w:left w:val="none" w:sz="0" w:space="0" w:color="auto"/>
            <w:bottom w:val="none" w:sz="0" w:space="0" w:color="auto"/>
            <w:right w:val="none" w:sz="0" w:space="0" w:color="auto"/>
          </w:divBdr>
        </w:div>
        <w:div w:id="555118590">
          <w:marLeft w:val="0"/>
          <w:marRight w:val="0"/>
          <w:marTop w:val="0"/>
          <w:marBottom w:val="0"/>
          <w:divBdr>
            <w:top w:val="none" w:sz="0" w:space="0" w:color="auto"/>
            <w:left w:val="none" w:sz="0" w:space="0" w:color="auto"/>
            <w:bottom w:val="none" w:sz="0" w:space="0" w:color="auto"/>
            <w:right w:val="none" w:sz="0" w:space="0" w:color="auto"/>
          </w:divBdr>
        </w:div>
        <w:div w:id="725177181">
          <w:marLeft w:val="0"/>
          <w:marRight w:val="0"/>
          <w:marTop w:val="0"/>
          <w:marBottom w:val="0"/>
          <w:divBdr>
            <w:top w:val="none" w:sz="0" w:space="0" w:color="auto"/>
            <w:left w:val="none" w:sz="0" w:space="0" w:color="auto"/>
            <w:bottom w:val="none" w:sz="0" w:space="0" w:color="auto"/>
            <w:right w:val="none" w:sz="0" w:space="0" w:color="auto"/>
          </w:divBdr>
        </w:div>
        <w:div w:id="743450052">
          <w:marLeft w:val="0"/>
          <w:marRight w:val="0"/>
          <w:marTop w:val="0"/>
          <w:marBottom w:val="0"/>
          <w:divBdr>
            <w:top w:val="none" w:sz="0" w:space="0" w:color="auto"/>
            <w:left w:val="none" w:sz="0" w:space="0" w:color="auto"/>
            <w:bottom w:val="none" w:sz="0" w:space="0" w:color="auto"/>
            <w:right w:val="none" w:sz="0" w:space="0" w:color="auto"/>
          </w:divBdr>
        </w:div>
        <w:div w:id="835145035">
          <w:marLeft w:val="0"/>
          <w:marRight w:val="0"/>
          <w:marTop w:val="0"/>
          <w:marBottom w:val="0"/>
          <w:divBdr>
            <w:top w:val="none" w:sz="0" w:space="0" w:color="auto"/>
            <w:left w:val="none" w:sz="0" w:space="0" w:color="auto"/>
            <w:bottom w:val="none" w:sz="0" w:space="0" w:color="auto"/>
            <w:right w:val="none" w:sz="0" w:space="0" w:color="auto"/>
          </w:divBdr>
        </w:div>
        <w:div w:id="894581476">
          <w:marLeft w:val="0"/>
          <w:marRight w:val="0"/>
          <w:marTop w:val="0"/>
          <w:marBottom w:val="0"/>
          <w:divBdr>
            <w:top w:val="none" w:sz="0" w:space="0" w:color="auto"/>
            <w:left w:val="none" w:sz="0" w:space="0" w:color="auto"/>
            <w:bottom w:val="none" w:sz="0" w:space="0" w:color="auto"/>
            <w:right w:val="none" w:sz="0" w:space="0" w:color="auto"/>
          </w:divBdr>
        </w:div>
        <w:div w:id="1190874110">
          <w:marLeft w:val="0"/>
          <w:marRight w:val="0"/>
          <w:marTop w:val="0"/>
          <w:marBottom w:val="0"/>
          <w:divBdr>
            <w:top w:val="none" w:sz="0" w:space="0" w:color="auto"/>
            <w:left w:val="none" w:sz="0" w:space="0" w:color="auto"/>
            <w:bottom w:val="none" w:sz="0" w:space="0" w:color="auto"/>
            <w:right w:val="none" w:sz="0" w:space="0" w:color="auto"/>
          </w:divBdr>
        </w:div>
        <w:div w:id="1331911075">
          <w:marLeft w:val="0"/>
          <w:marRight w:val="0"/>
          <w:marTop w:val="0"/>
          <w:marBottom w:val="0"/>
          <w:divBdr>
            <w:top w:val="none" w:sz="0" w:space="0" w:color="auto"/>
            <w:left w:val="none" w:sz="0" w:space="0" w:color="auto"/>
            <w:bottom w:val="none" w:sz="0" w:space="0" w:color="auto"/>
            <w:right w:val="none" w:sz="0" w:space="0" w:color="auto"/>
          </w:divBdr>
        </w:div>
        <w:div w:id="1376076255">
          <w:marLeft w:val="0"/>
          <w:marRight w:val="0"/>
          <w:marTop w:val="0"/>
          <w:marBottom w:val="0"/>
          <w:divBdr>
            <w:top w:val="none" w:sz="0" w:space="0" w:color="auto"/>
            <w:left w:val="none" w:sz="0" w:space="0" w:color="auto"/>
            <w:bottom w:val="none" w:sz="0" w:space="0" w:color="auto"/>
            <w:right w:val="none" w:sz="0" w:space="0" w:color="auto"/>
          </w:divBdr>
        </w:div>
        <w:div w:id="1460539240">
          <w:marLeft w:val="0"/>
          <w:marRight w:val="0"/>
          <w:marTop w:val="0"/>
          <w:marBottom w:val="0"/>
          <w:divBdr>
            <w:top w:val="none" w:sz="0" w:space="0" w:color="auto"/>
            <w:left w:val="none" w:sz="0" w:space="0" w:color="auto"/>
            <w:bottom w:val="none" w:sz="0" w:space="0" w:color="auto"/>
            <w:right w:val="none" w:sz="0" w:space="0" w:color="auto"/>
          </w:divBdr>
        </w:div>
        <w:div w:id="1694377359">
          <w:marLeft w:val="0"/>
          <w:marRight w:val="0"/>
          <w:marTop w:val="0"/>
          <w:marBottom w:val="0"/>
          <w:divBdr>
            <w:top w:val="none" w:sz="0" w:space="0" w:color="auto"/>
            <w:left w:val="none" w:sz="0" w:space="0" w:color="auto"/>
            <w:bottom w:val="none" w:sz="0" w:space="0" w:color="auto"/>
            <w:right w:val="none" w:sz="0" w:space="0" w:color="auto"/>
          </w:divBdr>
        </w:div>
        <w:div w:id="1790857713">
          <w:marLeft w:val="0"/>
          <w:marRight w:val="0"/>
          <w:marTop w:val="0"/>
          <w:marBottom w:val="0"/>
          <w:divBdr>
            <w:top w:val="none" w:sz="0" w:space="0" w:color="auto"/>
            <w:left w:val="none" w:sz="0" w:space="0" w:color="auto"/>
            <w:bottom w:val="none" w:sz="0" w:space="0" w:color="auto"/>
            <w:right w:val="none" w:sz="0" w:space="0" w:color="auto"/>
          </w:divBdr>
        </w:div>
        <w:div w:id="1829982495">
          <w:marLeft w:val="0"/>
          <w:marRight w:val="0"/>
          <w:marTop w:val="0"/>
          <w:marBottom w:val="0"/>
          <w:divBdr>
            <w:top w:val="none" w:sz="0" w:space="0" w:color="auto"/>
            <w:left w:val="none" w:sz="0" w:space="0" w:color="auto"/>
            <w:bottom w:val="none" w:sz="0" w:space="0" w:color="auto"/>
            <w:right w:val="none" w:sz="0" w:space="0" w:color="auto"/>
          </w:divBdr>
        </w:div>
        <w:div w:id="1909149564">
          <w:marLeft w:val="0"/>
          <w:marRight w:val="0"/>
          <w:marTop w:val="0"/>
          <w:marBottom w:val="0"/>
          <w:divBdr>
            <w:top w:val="none" w:sz="0" w:space="0" w:color="auto"/>
            <w:left w:val="none" w:sz="0" w:space="0" w:color="auto"/>
            <w:bottom w:val="none" w:sz="0" w:space="0" w:color="auto"/>
            <w:right w:val="none" w:sz="0" w:space="0" w:color="auto"/>
          </w:divBdr>
        </w:div>
        <w:div w:id="2072387453">
          <w:marLeft w:val="0"/>
          <w:marRight w:val="0"/>
          <w:marTop w:val="0"/>
          <w:marBottom w:val="0"/>
          <w:divBdr>
            <w:top w:val="none" w:sz="0" w:space="0" w:color="auto"/>
            <w:left w:val="none" w:sz="0" w:space="0" w:color="auto"/>
            <w:bottom w:val="none" w:sz="0" w:space="0" w:color="auto"/>
            <w:right w:val="none" w:sz="0" w:space="0" w:color="auto"/>
          </w:divBdr>
        </w:div>
      </w:divsChild>
    </w:div>
    <w:div w:id="1162088069">
      <w:bodyDiv w:val="1"/>
      <w:marLeft w:val="0"/>
      <w:marRight w:val="0"/>
      <w:marTop w:val="0"/>
      <w:marBottom w:val="0"/>
      <w:divBdr>
        <w:top w:val="none" w:sz="0" w:space="0" w:color="auto"/>
        <w:left w:val="none" w:sz="0" w:space="0" w:color="auto"/>
        <w:bottom w:val="none" w:sz="0" w:space="0" w:color="auto"/>
        <w:right w:val="none" w:sz="0" w:space="0" w:color="auto"/>
      </w:divBdr>
      <w:divsChild>
        <w:div w:id="118305264">
          <w:marLeft w:val="0"/>
          <w:marRight w:val="0"/>
          <w:marTop w:val="0"/>
          <w:marBottom w:val="0"/>
          <w:divBdr>
            <w:top w:val="none" w:sz="0" w:space="0" w:color="auto"/>
            <w:left w:val="none" w:sz="0" w:space="0" w:color="auto"/>
            <w:bottom w:val="none" w:sz="0" w:space="0" w:color="auto"/>
            <w:right w:val="none" w:sz="0" w:space="0" w:color="auto"/>
          </w:divBdr>
        </w:div>
        <w:div w:id="269630022">
          <w:marLeft w:val="0"/>
          <w:marRight w:val="0"/>
          <w:marTop w:val="0"/>
          <w:marBottom w:val="0"/>
          <w:divBdr>
            <w:top w:val="none" w:sz="0" w:space="0" w:color="auto"/>
            <w:left w:val="none" w:sz="0" w:space="0" w:color="auto"/>
            <w:bottom w:val="none" w:sz="0" w:space="0" w:color="auto"/>
            <w:right w:val="none" w:sz="0" w:space="0" w:color="auto"/>
          </w:divBdr>
        </w:div>
        <w:div w:id="433675136">
          <w:marLeft w:val="0"/>
          <w:marRight w:val="0"/>
          <w:marTop w:val="0"/>
          <w:marBottom w:val="0"/>
          <w:divBdr>
            <w:top w:val="none" w:sz="0" w:space="0" w:color="auto"/>
            <w:left w:val="none" w:sz="0" w:space="0" w:color="auto"/>
            <w:bottom w:val="none" w:sz="0" w:space="0" w:color="auto"/>
            <w:right w:val="none" w:sz="0" w:space="0" w:color="auto"/>
          </w:divBdr>
        </w:div>
        <w:div w:id="434712036">
          <w:marLeft w:val="0"/>
          <w:marRight w:val="0"/>
          <w:marTop w:val="0"/>
          <w:marBottom w:val="0"/>
          <w:divBdr>
            <w:top w:val="none" w:sz="0" w:space="0" w:color="auto"/>
            <w:left w:val="none" w:sz="0" w:space="0" w:color="auto"/>
            <w:bottom w:val="none" w:sz="0" w:space="0" w:color="auto"/>
            <w:right w:val="none" w:sz="0" w:space="0" w:color="auto"/>
          </w:divBdr>
        </w:div>
        <w:div w:id="637154027">
          <w:marLeft w:val="0"/>
          <w:marRight w:val="0"/>
          <w:marTop w:val="0"/>
          <w:marBottom w:val="0"/>
          <w:divBdr>
            <w:top w:val="none" w:sz="0" w:space="0" w:color="auto"/>
            <w:left w:val="none" w:sz="0" w:space="0" w:color="auto"/>
            <w:bottom w:val="none" w:sz="0" w:space="0" w:color="auto"/>
            <w:right w:val="none" w:sz="0" w:space="0" w:color="auto"/>
          </w:divBdr>
        </w:div>
        <w:div w:id="746346301">
          <w:marLeft w:val="0"/>
          <w:marRight w:val="0"/>
          <w:marTop w:val="0"/>
          <w:marBottom w:val="0"/>
          <w:divBdr>
            <w:top w:val="none" w:sz="0" w:space="0" w:color="auto"/>
            <w:left w:val="none" w:sz="0" w:space="0" w:color="auto"/>
            <w:bottom w:val="none" w:sz="0" w:space="0" w:color="auto"/>
            <w:right w:val="none" w:sz="0" w:space="0" w:color="auto"/>
          </w:divBdr>
        </w:div>
        <w:div w:id="968165999">
          <w:marLeft w:val="0"/>
          <w:marRight w:val="0"/>
          <w:marTop w:val="0"/>
          <w:marBottom w:val="0"/>
          <w:divBdr>
            <w:top w:val="none" w:sz="0" w:space="0" w:color="auto"/>
            <w:left w:val="none" w:sz="0" w:space="0" w:color="auto"/>
            <w:bottom w:val="none" w:sz="0" w:space="0" w:color="auto"/>
            <w:right w:val="none" w:sz="0" w:space="0" w:color="auto"/>
          </w:divBdr>
        </w:div>
        <w:div w:id="978071534">
          <w:marLeft w:val="0"/>
          <w:marRight w:val="0"/>
          <w:marTop w:val="0"/>
          <w:marBottom w:val="0"/>
          <w:divBdr>
            <w:top w:val="none" w:sz="0" w:space="0" w:color="auto"/>
            <w:left w:val="none" w:sz="0" w:space="0" w:color="auto"/>
            <w:bottom w:val="none" w:sz="0" w:space="0" w:color="auto"/>
            <w:right w:val="none" w:sz="0" w:space="0" w:color="auto"/>
          </w:divBdr>
        </w:div>
        <w:div w:id="1004168965">
          <w:marLeft w:val="0"/>
          <w:marRight w:val="0"/>
          <w:marTop w:val="0"/>
          <w:marBottom w:val="0"/>
          <w:divBdr>
            <w:top w:val="none" w:sz="0" w:space="0" w:color="auto"/>
            <w:left w:val="none" w:sz="0" w:space="0" w:color="auto"/>
            <w:bottom w:val="none" w:sz="0" w:space="0" w:color="auto"/>
            <w:right w:val="none" w:sz="0" w:space="0" w:color="auto"/>
          </w:divBdr>
        </w:div>
        <w:div w:id="1076781939">
          <w:marLeft w:val="0"/>
          <w:marRight w:val="0"/>
          <w:marTop w:val="0"/>
          <w:marBottom w:val="0"/>
          <w:divBdr>
            <w:top w:val="none" w:sz="0" w:space="0" w:color="auto"/>
            <w:left w:val="none" w:sz="0" w:space="0" w:color="auto"/>
            <w:bottom w:val="none" w:sz="0" w:space="0" w:color="auto"/>
            <w:right w:val="none" w:sz="0" w:space="0" w:color="auto"/>
          </w:divBdr>
        </w:div>
        <w:div w:id="1118599959">
          <w:marLeft w:val="0"/>
          <w:marRight w:val="0"/>
          <w:marTop w:val="0"/>
          <w:marBottom w:val="0"/>
          <w:divBdr>
            <w:top w:val="none" w:sz="0" w:space="0" w:color="auto"/>
            <w:left w:val="none" w:sz="0" w:space="0" w:color="auto"/>
            <w:bottom w:val="none" w:sz="0" w:space="0" w:color="auto"/>
            <w:right w:val="none" w:sz="0" w:space="0" w:color="auto"/>
          </w:divBdr>
        </w:div>
        <w:div w:id="1126970480">
          <w:marLeft w:val="0"/>
          <w:marRight w:val="0"/>
          <w:marTop w:val="0"/>
          <w:marBottom w:val="0"/>
          <w:divBdr>
            <w:top w:val="none" w:sz="0" w:space="0" w:color="auto"/>
            <w:left w:val="none" w:sz="0" w:space="0" w:color="auto"/>
            <w:bottom w:val="none" w:sz="0" w:space="0" w:color="auto"/>
            <w:right w:val="none" w:sz="0" w:space="0" w:color="auto"/>
          </w:divBdr>
        </w:div>
        <w:div w:id="1247030814">
          <w:marLeft w:val="0"/>
          <w:marRight w:val="0"/>
          <w:marTop w:val="0"/>
          <w:marBottom w:val="0"/>
          <w:divBdr>
            <w:top w:val="none" w:sz="0" w:space="0" w:color="auto"/>
            <w:left w:val="none" w:sz="0" w:space="0" w:color="auto"/>
            <w:bottom w:val="none" w:sz="0" w:space="0" w:color="auto"/>
            <w:right w:val="none" w:sz="0" w:space="0" w:color="auto"/>
          </w:divBdr>
        </w:div>
        <w:div w:id="1389456900">
          <w:marLeft w:val="0"/>
          <w:marRight w:val="0"/>
          <w:marTop w:val="0"/>
          <w:marBottom w:val="0"/>
          <w:divBdr>
            <w:top w:val="none" w:sz="0" w:space="0" w:color="auto"/>
            <w:left w:val="none" w:sz="0" w:space="0" w:color="auto"/>
            <w:bottom w:val="none" w:sz="0" w:space="0" w:color="auto"/>
            <w:right w:val="none" w:sz="0" w:space="0" w:color="auto"/>
          </w:divBdr>
        </w:div>
        <w:div w:id="1390809622">
          <w:marLeft w:val="0"/>
          <w:marRight w:val="0"/>
          <w:marTop w:val="0"/>
          <w:marBottom w:val="0"/>
          <w:divBdr>
            <w:top w:val="none" w:sz="0" w:space="0" w:color="auto"/>
            <w:left w:val="none" w:sz="0" w:space="0" w:color="auto"/>
            <w:bottom w:val="none" w:sz="0" w:space="0" w:color="auto"/>
            <w:right w:val="none" w:sz="0" w:space="0" w:color="auto"/>
          </w:divBdr>
        </w:div>
        <w:div w:id="1394935598">
          <w:marLeft w:val="0"/>
          <w:marRight w:val="0"/>
          <w:marTop w:val="0"/>
          <w:marBottom w:val="0"/>
          <w:divBdr>
            <w:top w:val="none" w:sz="0" w:space="0" w:color="auto"/>
            <w:left w:val="none" w:sz="0" w:space="0" w:color="auto"/>
            <w:bottom w:val="none" w:sz="0" w:space="0" w:color="auto"/>
            <w:right w:val="none" w:sz="0" w:space="0" w:color="auto"/>
          </w:divBdr>
        </w:div>
        <w:div w:id="1510023974">
          <w:marLeft w:val="0"/>
          <w:marRight w:val="0"/>
          <w:marTop w:val="0"/>
          <w:marBottom w:val="0"/>
          <w:divBdr>
            <w:top w:val="none" w:sz="0" w:space="0" w:color="auto"/>
            <w:left w:val="none" w:sz="0" w:space="0" w:color="auto"/>
            <w:bottom w:val="none" w:sz="0" w:space="0" w:color="auto"/>
            <w:right w:val="none" w:sz="0" w:space="0" w:color="auto"/>
          </w:divBdr>
        </w:div>
        <w:div w:id="1605922517">
          <w:marLeft w:val="0"/>
          <w:marRight w:val="0"/>
          <w:marTop w:val="0"/>
          <w:marBottom w:val="0"/>
          <w:divBdr>
            <w:top w:val="none" w:sz="0" w:space="0" w:color="auto"/>
            <w:left w:val="none" w:sz="0" w:space="0" w:color="auto"/>
            <w:bottom w:val="none" w:sz="0" w:space="0" w:color="auto"/>
            <w:right w:val="none" w:sz="0" w:space="0" w:color="auto"/>
          </w:divBdr>
        </w:div>
        <w:div w:id="1628470716">
          <w:marLeft w:val="0"/>
          <w:marRight w:val="0"/>
          <w:marTop w:val="0"/>
          <w:marBottom w:val="0"/>
          <w:divBdr>
            <w:top w:val="none" w:sz="0" w:space="0" w:color="auto"/>
            <w:left w:val="none" w:sz="0" w:space="0" w:color="auto"/>
            <w:bottom w:val="none" w:sz="0" w:space="0" w:color="auto"/>
            <w:right w:val="none" w:sz="0" w:space="0" w:color="auto"/>
          </w:divBdr>
        </w:div>
        <w:div w:id="1728796048">
          <w:marLeft w:val="0"/>
          <w:marRight w:val="0"/>
          <w:marTop w:val="0"/>
          <w:marBottom w:val="0"/>
          <w:divBdr>
            <w:top w:val="none" w:sz="0" w:space="0" w:color="auto"/>
            <w:left w:val="none" w:sz="0" w:space="0" w:color="auto"/>
            <w:bottom w:val="none" w:sz="0" w:space="0" w:color="auto"/>
            <w:right w:val="none" w:sz="0" w:space="0" w:color="auto"/>
          </w:divBdr>
        </w:div>
        <w:div w:id="1763135996">
          <w:marLeft w:val="0"/>
          <w:marRight w:val="0"/>
          <w:marTop w:val="0"/>
          <w:marBottom w:val="0"/>
          <w:divBdr>
            <w:top w:val="none" w:sz="0" w:space="0" w:color="auto"/>
            <w:left w:val="none" w:sz="0" w:space="0" w:color="auto"/>
            <w:bottom w:val="none" w:sz="0" w:space="0" w:color="auto"/>
            <w:right w:val="none" w:sz="0" w:space="0" w:color="auto"/>
          </w:divBdr>
        </w:div>
        <w:div w:id="1839491760">
          <w:marLeft w:val="0"/>
          <w:marRight w:val="0"/>
          <w:marTop w:val="0"/>
          <w:marBottom w:val="0"/>
          <w:divBdr>
            <w:top w:val="none" w:sz="0" w:space="0" w:color="auto"/>
            <w:left w:val="none" w:sz="0" w:space="0" w:color="auto"/>
            <w:bottom w:val="none" w:sz="0" w:space="0" w:color="auto"/>
            <w:right w:val="none" w:sz="0" w:space="0" w:color="auto"/>
          </w:divBdr>
        </w:div>
        <w:div w:id="1894805553">
          <w:marLeft w:val="0"/>
          <w:marRight w:val="0"/>
          <w:marTop w:val="0"/>
          <w:marBottom w:val="0"/>
          <w:divBdr>
            <w:top w:val="none" w:sz="0" w:space="0" w:color="auto"/>
            <w:left w:val="none" w:sz="0" w:space="0" w:color="auto"/>
            <w:bottom w:val="none" w:sz="0" w:space="0" w:color="auto"/>
            <w:right w:val="none" w:sz="0" w:space="0" w:color="auto"/>
          </w:divBdr>
        </w:div>
        <w:div w:id="2018462124">
          <w:marLeft w:val="0"/>
          <w:marRight w:val="0"/>
          <w:marTop w:val="0"/>
          <w:marBottom w:val="0"/>
          <w:divBdr>
            <w:top w:val="none" w:sz="0" w:space="0" w:color="auto"/>
            <w:left w:val="none" w:sz="0" w:space="0" w:color="auto"/>
            <w:bottom w:val="none" w:sz="0" w:space="0" w:color="auto"/>
            <w:right w:val="none" w:sz="0" w:space="0" w:color="auto"/>
          </w:divBdr>
        </w:div>
        <w:div w:id="2065790348">
          <w:marLeft w:val="0"/>
          <w:marRight w:val="0"/>
          <w:marTop w:val="0"/>
          <w:marBottom w:val="0"/>
          <w:divBdr>
            <w:top w:val="none" w:sz="0" w:space="0" w:color="auto"/>
            <w:left w:val="none" w:sz="0" w:space="0" w:color="auto"/>
            <w:bottom w:val="none" w:sz="0" w:space="0" w:color="auto"/>
            <w:right w:val="none" w:sz="0" w:space="0" w:color="auto"/>
          </w:divBdr>
        </w:div>
        <w:div w:id="2105148778">
          <w:marLeft w:val="0"/>
          <w:marRight w:val="0"/>
          <w:marTop w:val="0"/>
          <w:marBottom w:val="0"/>
          <w:divBdr>
            <w:top w:val="none" w:sz="0" w:space="0" w:color="auto"/>
            <w:left w:val="none" w:sz="0" w:space="0" w:color="auto"/>
            <w:bottom w:val="none" w:sz="0" w:space="0" w:color="auto"/>
            <w:right w:val="none" w:sz="0" w:space="0" w:color="auto"/>
          </w:divBdr>
        </w:div>
      </w:divsChild>
    </w:div>
    <w:div w:id="1164273494">
      <w:bodyDiv w:val="1"/>
      <w:marLeft w:val="0"/>
      <w:marRight w:val="0"/>
      <w:marTop w:val="0"/>
      <w:marBottom w:val="0"/>
      <w:divBdr>
        <w:top w:val="none" w:sz="0" w:space="0" w:color="auto"/>
        <w:left w:val="none" w:sz="0" w:space="0" w:color="auto"/>
        <w:bottom w:val="none" w:sz="0" w:space="0" w:color="auto"/>
        <w:right w:val="none" w:sz="0" w:space="0" w:color="auto"/>
      </w:divBdr>
    </w:div>
    <w:div w:id="1167862966">
      <w:bodyDiv w:val="1"/>
      <w:marLeft w:val="0"/>
      <w:marRight w:val="0"/>
      <w:marTop w:val="0"/>
      <w:marBottom w:val="0"/>
      <w:divBdr>
        <w:top w:val="none" w:sz="0" w:space="0" w:color="auto"/>
        <w:left w:val="none" w:sz="0" w:space="0" w:color="auto"/>
        <w:bottom w:val="none" w:sz="0" w:space="0" w:color="auto"/>
        <w:right w:val="none" w:sz="0" w:space="0" w:color="auto"/>
      </w:divBdr>
      <w:divsChild>
        <w:div w:id="796146624">
          <w:marLeft w:val="0"/>
          <w:marRight w:val="0"/>
          <w:marTop w:val="0"/>
          <w:marBottom w:val="0"/>
          <w:divBdr>
            <w:top w:val="none" w:sz="0" w:space="0" w:color="auto"/>
            <w:left w:val="none" w:sz="0" w:space="0" w:color="auto"/>
            <w:bottom w:val="none" w:sz="0" w:space="0" w:color="auto"/>
            <w:right w:val="none" w:sz="0" w:space="0" w:color="auto"/>
          </w:divBdr>
        </w:div>
        <w:div w:id="1151209792">
          <w:marLeft w:val="0"/>
          <w:marRight w:val="0"/>
          <w:marTop w:val="0"/>
          <w:marBottom w:val="0"/>
          <w:divBdr>
            <w:top w:val="none" w:sz="0" w:space="0" w:color="auto"/>
            <w:left w:val="none" w:sz="0" w:space="0" w:color="auto"/>
            <w:bottom w:val="none" w:sz="0" w:space="0" w:color="auto"/>
            <w:right w:val="none" w:sz="0" w:space="0" w:color="auto"/>
          </w:divBdr>
        </w:div>
        <w:div w:id="1487277985">
          <w:marLeft w:val="0"/>
          <w:marRight w:val="0"/>
          <w:marTop w:val="0"/>
          <w:marBottom w:val="0"/>
          <w:divBdr>
            <w:top w:val="none" w:sz="0" w:space="0" w:color="auto"/>
            <w:left w:val="none" w:sz="0" w:space="0" w:color="auto"/>
            <w:bottom w:val="none" w:sz="0" w:space="0" w:color="auto"/>
            <w:right w:val="none" w:sz="0" w:space="0" w:color="auto"/>
          </w:divBdr>
        </w:div>
        <w:div w:id="836000642">
          <w:marLeft w:val="0"/>
          <w:marRight w:val="0"/>
          <w:marTop w:val="0"/>
          <w:marBottom w:val="0"/>
          <w:divBdr>
            <w:top w:val="none" w:sz="0" w:space="0" w:color="auto"/>
            <w:left w:val="none" w:sz="0" w:space="0" w:color="auto"/>
            <w:bottom w:val="none" w:sz="0" w:space="0" w:color="auto"/>
            <w:right w:val="none" w:sz="0" w:space="0" w:color="auto"/>
          </w:divBdr>
        </w:div>
        <w:div w:id="857277183">
          <w:marLeft w:val="0"/>
          <w:marRight w:val="0"/>
          <w:marTop w:val="0"/>
          <w:marBottom w:val="0"/>
          <w:divBdr>
            <w:top w:val="none" w:sz="0" w:space="0" w:color="auto"/>
            <w:left w:val="none" w:sz="0" w:space="0" w:color="auto"/>
            <w:bottom w:val="none" w:sz="0" w:space="0" w:color="auto"/>
            <w:right w:val="none" w:sz="0" w:space="0" w:color="auto"/>
          </w:divBdr>
        </w:div>
        <w:div w:id="1952853694">
          <w:marLeft w:val="0"/>
          <w:marRight w:val="0"/>
          <w:marTop w:val="0"/>
          <w:marBottom w:val="0"/>
          <w:divBdr>
            <w:top w:val="none" w:sz="0" w:space="0" w:color="auto"/>
            <w:left w:val="none" w:sz="0" w:space="0" w:color="auto"/>
            <w:bottom w:val="none" w:sz="0" w:space="0" w:color="auto"/>
            <w:right w:val="none" w:sz="0" w:space="0" w:color="auto"/>
          </w:divBdr>
        </w:div>
      </w:divsChild>
    </w:div>
    <w:div w:id="1171408729">
      <w:bodyDiv w:val="1"/>
      <w:marLeft w:val="0"/>
      <w:marRight w:val="0"/>
      <w:marTop w:val="0"/>
      <w:marBottom w:val="0"/>
      <w:divBdr>
        <w:top w:val="none" w:sz="0" w:space="0" w:color="auto"/>
        <w:left w:val="none" w:sz="0" w:space="0" w:color="auto"/>
        <w:bottom w:val="none" w:sz="0" w:space="0" w:color="auto"/>
        <w:right w:val="none" w:sz="0" w:space="0" w:color="auto"/>
      </w:divBdr>
      <w:divsChild>
        <w:div w:id="239104300">
          <w:marLeft w:val="0"/>
          <w:marRight w:val="0"/>
          <w:marTop w:val="0"/>
          <w:marBottom w:val="0"/>
          <w:divBdr>
            <w:top w:val="none" w:sz="0" w:space="0" w:color="auto"/>
            <w:left w:val="none" w:sz="0" w:space="0" w:color="auto"/>
            <w:bottom w:val="none" w:sz="0" w:space="0" w:color="auto"/>
            <w:right w:val="none" w:sz="0" w:space="0" w:color="auto"/>
          </w:divBdr>
        </w:div>
        <w:div w:id="359354990">
          <w:marLeft w:val="0"/>
          <w:marRight w:val="0"/>
          <w:marTop w:val="0"/>
          <w:marBottom w:val="0"/>
          <w:divBdr>
            <w:top w:val="none" w:sz="0" w:space="0" w:color="auto"/>
            <w:left w:val="none" w:sz="0" w:space="0" w:color="auto"/>
            <w:bottom w:val="none" w:sz="0" w:space="0" w:color="auto"/>
            <w:right w:val="none" w:sz="0" w:space="0" w:color="auto"/>
          </w:divBdr>
        </w:div>
        <w:div w:id="475028922">
          <w:marLeft w:val="0"/>
          <w:marRight w:val="0"/>
          <w:marTop w:val="0"/>
          <w:marBottom w:val="0"/>
          <w:divBdr>
            <w:top w:val="none" w:sz="0" w:space="0" w:color="auto"/>
            <w:left w:val="none" w:sz="0" w:space="0" w:color="auto"/>
            <w:bottom w:val="none" w:sz="0" w:space="0" w:color="auto"/>
            <w:right w:val="none" w:sz="0" w:space="0" w:color="auto"/>
          </w:divBdr>
        </w:div>
        <w:div w:id="533427273">
          <w:marLeft w:val="0"/>
          <w:marRight w:val="0"/>
          <w:marTop w:val="0"/>
          <w:marBottom w:val="0"/>
          <w:divBdr>
            <w:top w:val="none" w:sz="0" w:space="0" w:color="auto"/>
            <w:left w:val="none" w:sz="0" w:space="0" w:color="auto"/>
            <w:bottom w:val="none" w:sz="0" w:space="0" w:color="auto"/>
            <w:right w:val="none" w:sz="0" w:space="0" w:color="auto"/>
          </w:divBdr>
        </w:div>
        <w:div w:id="612981736">
          <w:marLeft w:val="0"/>
          <w:marRight w:val="0"/>
          <w:marTop w:val="0"/>
          <w:marBottom w:val="0"/>
          <w:divBdr>
            <w:top w:val="none" w:sz="0" w:space="0" w:color="auto"/>
            <w:left w:val="none" w:sz="0" w:space="0" w:color="auto"/>
            <w:bottom w:val="none" w:sz="0" w:space="0" w:color="auto"/>
            <w:right w:val="none" w:sz="0" w:space="0" w:color="auto"/>
          </w:divBdr>
        </w:div>
        <w:div w:id="1065683179">
          <w:marLeft w:val="0"/>
          <w:marRight w:val="0"/>
          <w:marTop w:val="0"/>
          <w:marBottom w:val="0"/>
          <w:divBdr>
            <w:top w:val="none" w:sz="0" w:space="0" w:color="auto"/>
            <w:left w:val="none" w:sz="0" w:space="0" w:color="auto"/>
            <w:bottom w:val="none" w:sz="0" w:space="0" w:color="auto"/>
            <w:right w:val="none" w:sz="0" w:space="0" w:color="auto"/>
          </w:divBdr>
        </w:div>
        <w:div w:id="1222905863">
          <w:marLeft w:val="0"/>
          <w:marRight w:val="0"/>
          <w:marTop w:val="0"/>
          <w:marBottom w:val="0"/>
          <w:divBdr>
            <w:top w:val="none" w:sz="0" w:space="0" w:color="auto"/>
            <w:left w:val="none" w:sz="0" w:space="0" w:color="auto"/>
            <w:bottom w:val="none" w:sz="0" w:space="0" w:color="auto"/>
            <w:right w:val="none" w:sz="0" w:space="0" w:color="auto"/>
          </w:divBdr>
        </w:div>
        <w:div w:id="1278564902">
          <w:marLeft w:val="0"/>
          <w:marRight w:val="0"/>
          <w:marTop w:val="0"/>
          <w:marBottom w:val="0"/>
          <w:divBdr>
            <w:top w:val="none" w:sz="0" w:space="0" w:color="auto"/>
            <w:left w:val="none" w:sz="0" w:space="0" w:color="auto"/>
            <w:bottom w:val="none" w:sz="0" w:space="0" w:color="auto"/>
            <w:right w:val="none" w:sz="0" w:space="0" w:color="auto"/>
          </w:divBdr>
        </w:div>
        <w:div w:id="1512840585">
          <w:marLeft w:val="0"/>
          <w:marRight w:val="0"/>
          <w:marTop w:val="0"/>
          <w:marBottom w:val="0"/>
          <w:divBdr>
            <w:top w:val="none" w:sz="0" w:space="0" w:color="auto"/>
            <w:left w:val="none" w:sz="0" w:space="0" w:color="auto"/>
            <w:bottom w:val="none" w:sz="0" w:space="0" w:color="auto"/>
            <w:right w:val="none" w:sz="0" w:space="0" w:color="auto"/>
          </w:divBdr>
        </w:div>
        <w:div w:id="1672759666">
          <w:marLeft w:val="0"/>
          <w:marRight w:val="0"/>
          <w:marTop w:val="0"/>
          <w:marBottom w:val="0"/>
          <w:divBdr>
            <w:top w:val="none" w:sz="0" w:space="0" w:color="auto"/>
            <w:left w:val="none" w:sz="0" w:space="0" w:color="auto"/>
            <w:bottom w:val="none" w:sz="0" w:space="0" w:color="auto"/>
            <w:right w:val="none" w:sz="0" w:space="0" w:color="auto"/>
          </w:divBdr>
        </w:div>
        <w:div w:id="1814518137">
          <w:marLeft w:val="0"/>
          <w:marRight w:val="0"/>
          <w:marTop w:val="0"/>
          <w:marBottom w:val="0"/>
          <w:divBdr>
            <w:top w:val="none" w:sz="0" w:space="0" w:color="auto"/>
            <w:left w:val="none" w:sz="0" w:space="0" w:color="auto"/>
            <w:bottom w:val="none" w:sz="0" w:space="0" w:color="auto"/>
            <w:right w:val="none" w:sz="0" w:space="0" w:color="auto"/>
          </w:divBdr>
        </w:div>
        <w:div w:id="1826775972">
          <w:marLeft w:val="0"/>
          <w:marRight w:val="0"/>
          <w:marTop w:val="0"/>
          <w:marBottom w:val="0"/>
          <w:divBdr>
            <w:top w:val="none" w:sz="0" w:space="0" w:color="auto"/>
            <w:left w:val="none" w:sz="0" w:space="0" w:color="auto"/>
            <w:bottom w:val="none" w:sz="0" w:space="0" w:color="auto"/>
            <w:right w:val="none" w:sz="0" w:space="0" w:color="auto"/>
          </w:divBdr>
        </w:div>
        <w:div w:id="2118669312">
          <w:marLeft w:val="0"/>
          <w:marRight w:val="0"/>
          <w:marTop w:val="0"/>
          <w:marBottom w:val="0"/>
          <w:divBdr>
            <w:top w:val="none" w:sz="0" w:space="0" w:color="auto"/>
            <w:left w:val="none" w:sz="0" w:space="0" w:color="auto"/>
            <w:bottom w:val="none" w:sz="0" w:space="0" w:color="auto"/>
            <w:right w:val="none" w:sz="0" w:space="0" w:color="auto"/>
          </w:divBdr>
        </w:div>
      </w:divsChild>
    </w:div>
    <w:div w:id="1176001031">
      <w:bodyDiv w:val="1"/>
      <w:marLeft w:val="0"/>
      <w:marRight w:val="0"/>
      <w:marTop w:val="0"/>
      <w:marBottom w:val="0"/>
      <w:divBdr>
        <w:top w:val="none" w:sz="0" w:space="0" w:color="auto"/>
        <w:left w:val="none" w:sz="0" w:space="0" w:color="auto"/>
        <w:bottom w:val="none" w:sz="0" w:space="0" w:color="auto"/>
        <w:right w:val="none" w:sz="0" w:space="0" w:color="auto"/>
      </w:divBdr>
    </w:div>
    <w:div w:id="1179320396">
      <w:bodyDiv w:val="1"/>
      <w:marLeft w:val="0"/>
      <w:marRight w:val="0"/>
      <w:marTop w:val="0"/>
      <w:marBottom w:val="0"/>
      <w:divBdr>
        <w:top w:val="none" w:sz="0" w:space="0" w:color="auto"/>
        <w:left w:val="none" w:sz="0" w:space="0" w:color="auto"/>
        <w:bottom w:val="none" w:sz="0" w:space="0" w:color="auto"/>
        <w:right w:val="none" w:sz="0" w:space="0" w:color="auto"/>
      </w:divBdr>
      <w:divsChild>
        <w:div w:id="121578840">
          <w:marLeft w:val="0"/>
          <w:marRight w:val="0"/>
          <w:marTop w:val="0"/>
          <w:marBottom w:val="0"/>
          <w:divBdr>
            <w:top w:val="none" w:sz="0" w:space="0" w:color="auto"/>
            <w:left w:val="none" w:sz="0" w:space="0" w:color="auto"/>
            <w:bottom w:val="none" w:sz="0" w:space="0" w:color="auto"/>
            <w:right w:val="none" w:sz="0" w:space="0" w:color="auto"/>
          </w:divBdr>
        </w:div>
        <w:div w:id="172765651">
          <w:marLeft w:val="0"/>
          <w:marRight w:val="0"/>
          <w:marTop w:val="0"/>
          <w:marBottom w:val="0"/>
          <w:divBdr>
            <w:top w:val="none" w:sz="0" w:space="0" w:color="auto"/>
            <w:left w:val="none" w:sz="0" w:space="0" w:color="auto"/>
            <w:bottom w:val="none" w:sz="0" w:space="0" w:color="auto"/>
            <w:right w:val="none" w:sz="0" w:space="0" w:color="auto"/>
          </w:divBdr>
        </w:div>
        <w:div w:id="194732493">
          <w:marLeft w:val="0"/>
          <w:marRight w:val="0"/>
          <w:marTop w:val="0"/>
          <w:marBottom w:val="0"/>
          <w:divBdr>
            <w:top w:val="none" w:sz="0" w:space="0" w:color="auto"/>
            <w:left w:val="none" w:sz="0" w:space="0" w:color="auto"/>
            <w:bottom w:val="none" w:sz="0" w:space="0" w:color="auto"/>
            <w:right w:val="none" w:sz="0" w:space="0" w:color="auto"/>
          </w:divBdr>
        </w:div>
        <w:div w:id="276183331">
          <w:marLeft w:val="0"/>
          <w:marRight w:val="0"/>
          <w:marTop w:val="0"/>
          <w:marBottom w:val="0"/>
          <w:divBdr>
            <w:top w:val="none" w:sz="0" w:space="0" w:color="auto"/>
            <w:left w:val="none" w:sz="0" w:space="0" w:color="auto"/>
            <w:bottom w:val="none" w:sz="0" w:space="0" w:color="auto"/>
            <w:right w:val="none" w:sz="0" w:space="0" w:color="auto"/>
          </w:divBdr>
        </w:div>
        <w:div w:id="311105662">
          <w:marLeft w:val="0"/>
          <w:marRight w:val="0"/>
          <w:marTop w:val="0"/>
          <w:marBottom w:val="0"/>
          <w:divBdr>
            <w:top w:val="none" w:sz="0" w:space="0" w:color="auto"/>
            <w:left w:val="none" w:sz="0" w:space="0" w:color="auto"/>
            <w:bottom w:val="none" w:sz="0" w:space="0" w:color="auto"/>
            <w:right w:val="none" w:sz="0" w:space="0" w:color="auto"/>
          </w:divBdr>
        </w:div>
        <w:div w:id="736244796">
          <w:marLeft w:val="0"/>
          <w:marRight w:val="0"/>
          <w:marTop w:val="0"/>
          <w:marBottom w:val="0"/>
          <w:divBdr>
            <w:top w:val="none" w:sz="0" w:space="0" w:color="auto"/>
            <w:left w:val="none" w:sz="0" w:space="0" w:color="auto"/>
            <w:bottom w:val="none" w:sz="0" w:space="0" w:color="auto"/>
            <w:right w:val="none" w:sz="0" w:space="0" w:color="auto"/>
          </w:divBdr>
        </w:div>
        <w:div w:id="770080726">
          <w:marLeft w:val="0"/>
          <w:marRight w:val="0"/>
          <w:marTop w:val="0"/>
          <w:marBottom w:val="0"/>
          <w:divBdr>
            <w:top w:val="none" w:sz="0" w:space="0" w:color="auto"/>
            <w:left w:val="none" w:sz="0" w:space="0" w:color="auto"/>
            <w:bottom w:val="none" w:sz="0" w:space="0" w:color="auto"/>
            <w:right w:val="none" w:sz="0" w:space="0" w:color="auto"/>
          </w:divBdr>
        </w:div>
        <w:div w:id="953051356">
          <w:marLeft w:val="0"/>
          <w:marRight w:val="0"/>
          <w:marTop w:val="0"/>
          <w:marBottom w:val="0"/>
          <w:divBdr>
            <w:top w:val="none" w:sz="0" w:space="0" w:color="auto"/>
            <w:left w:val="none" w:sz="0" w:space="0" w:color="auto"/>
            <w:bottom w:val="none" w:sz="0" w:space="0" w:color="auto"/>
            <w:right w:val="none" w:sz="0" w:space="0" w:color="auto"/>
          </w:divBdr>
        </w:div>
        <w:div w:id="1005015608">
          <w:marLeft w:val="0"/>
          <w:marRight w:val="0"/>
          <w:marTop w:val="0"/>
          <w:marBottom w:val="0"/>
          <w:divBdr>
            <w:top w:val="none" w:sz="0" w:space="0" w:color="auto"/>
            <w:left w:val="none" w:sz="0" w:space="0" w:color="auto"/>
            <w:bottom w:val="none" w:sz="0" w:space="0" w:color="auto"/>
            <w:right w:val="none" w:sz="0" w:space="0" w:color="auto"/>
          </w:divBdr>
        </w:div>
        <w:div w:id="1375813690">
          <w:marLeft w:val="0"/>
          <w:marRight w:val="0"/>
          <w:marTop w:val="0"/>
          <w:marBottom w:val="0"/>
          <w:divBdr>
            <w:top w:val="none" w:sz="0" w:space="0" w:color="auto"/>
            <w:left w:val="none" w:sz="0" w:space="0" w:color="auto"/>
            <w:bottom w:val="none" w:sz="0" w:space="0" w:color="auto"/>
            <w:right w:val="none" w:sz="0" w:space="0" w:color="auto"/>
          </w:divBdr>
        </w:div>
        <w:div w:id="1471558416">
          <w:marLeft w:val="0"/>
          <w:marRight w:val="0"/>
          <w:marTop w:val="0"/>
          <w:marBottom w:val="0"/>
          <w:divBdr>
            <w:top w:val="none" w:sz="0" w:space="0" w:color="auto"/>
            <w:left w:val="none" w:sz="0" w:space="0" w:color="auto"/>
            <w:bottom w:val="none" w:sz="0" w:space="0" w:color="auto"/>
            <w:right w:val="none" w:sz="0" w:space="0" w:color="auto"/>
          </w:divBdr>
        </w:div>
        <w:div w:id="1693069145">
          <w:marLeft w:val="0"/>
          <w:marRight w:val="0"/>
          <w:marTop w:val="0"/>
          <w:marBottom w:val="0"/>
          <w:divBdr>
            <w:top w:val="none" w:sz="0" w:space="0" w:color="auto"/>
            <w:left w:val="none" w:sz="0" w:space="0" w:color="auto"/>
            <w:bottom w:val="none" w:sz="0" w:space="0" w:color="auto"/>
            <w:right w:val="none" w:sz="0" w:space="0" w:color="auto"/>
          </w:divBdr>
        </w:div>
        <w:div w:id="1839227552">
          <w:marLeft w:val="0"/>
          <w:marRight w:val="0"/>
          <w:marTop w:val="0"/>
          <w:marBottom w:val="0"/>
          <w:divBdr>
            <w:top w:val="none" w:sz="0" w:space="0" w:color="auto"/>
            <w:left w:val="none" w:sz="0" w:space="0" w:color="auto"/>
            <w:bottom w:val="none" w:sz="0" w:space="0" w:color="auto"/>
            <w:right w:val="none" w:sz="0" w:space="0" w:color="auto"/>
          </w:divBdr>
        </w:div>
      </w:divsChild>
    </w:div>
    <w:div w:id="1196842741">
      <w:bodyDiv w:val="1"/>
      <w:marLeft w:val="0"/>
      <w:marRight w:val="0"/>
      <w:marTop w:val="0"/>
      <w:marBottom w:val="0"/>
      <w:divBdr>
        <w:top w:val="none" w:sz="0" w:space="0" w:color="auto"/>
        <w:left w:val="none" w:sz="0" w:space="0" w:color="auto"/>
        <w:bottom w:val="none" w:sz="0" w:space="0" w:color="auto"/>
        <w:right w:val="none" w:sz="0" w:space="0" w:color="auto"/>
      </w:divBdr>
      <w:divsChild>
        <w:div w:id="64422899">
          <w:marLeft w:val="0"/>
          <w:marRight w:val="0"/>
          <w:marTop w:val="0"/>
          <w:marBottom w:val="0"/>
          <w:divBdr>
            <w:top w:val="none" w:sz="0" w:space="0" w:color="auto"/>
            <w:left w:val="none" w:sz="0" w:space="0" w:color="auto"/>
            <w:bottom w:val="none" w:sz="0" w:space="0" w:color="auto"/>
            <w:right w:val="none" w:sz="0" w:space="0" w:color="auto"/>
          </w:divBdr>
        </w:div>
        <w:div w:id="255749808">
          <w:marLeft w:val="0"/>
          <w:marRight w:val="0"/>
          <w:marTop w:val="0"/>
          <w:marBottom w:val="0"/>
          <w:divBdr>
            <w:top w:val="none" w:sz="0" w:space="0" w:color="auto"/>
            <w:left w:val="none" w:sz="0" w:space="0" w:color="auto"/>
            <w:bottom w:val="none" w:sz="0" w:space="0" w:color="auto"/>
            <w:right w:val="none" w:sz="0" w:space="0" w:color="auto"/>
          </w:divBdr>
        </w:div>
        <w:div w:id="370542236">
          <w:marLeft w:val="0"/>
          <w:marRight w:val="0"/>
          <w:marTop w:val="0"/>
          <w:marBottom w:val="0"/>
          <w:divBdr>
            <w:top w:val="none" w:sz="0" w:space="0" w:color="auto"/>
            <w:left w:val="none" w:sz="0" w:space="0" w:color="auto"/>
            <w:bottom w:val="none" w:sz="0" w:space="0" w:color="auto"/>
            <w:right w:val="none" w:sz="0" w:space="0" w:color="auto"/>
          </w:divBdr>
        </w:div>
        <w:div w:id="487946232">
          <w:marLeft w:val="0"/>
          <w:marRight w:val="0"/>
          <w:marTop w:val="0"/>
          <w:marBottom w:val="0"/>
          <w:divBdr>
            <w:top w:val="none" w:sz="0" w:space="0" w:color="auto"/>
            <w:left w:val="none" w:sz="0" w:space="0" w:color="auto"/>
            <w:bottom w:val="none" w:sz="0" w:space="0" w:color="auto"/>
            <w:right w:val="none" w:sz="0" w:space="0" w:color="auto"/>
          </w:divBdr>
        </w:div>
        <w:div w:id="590048906">
          <w:marLeft w:val="0"/>
          <w:marRight w:val="0"/>
          <w:marTop w:val="0"/>
          <w:marBottom w:val="0"/>
          <w:divBdr>
            <w:top w:val="none" w:sz="0" w:space="0" w:color="auto"/>
            <w:left w:val="none" w:sz="0" w:space="0" w:color="auto"/>
            <w:bottom w:val="none" w:sz="0" w:space="0" w:color="auto"/>
            <w:right w:val="none" w:sz="0" w:space="0" w:color="auto"/>
          </w:divBdr>
        </w:div>
        <w:div w:id="743455898">
          <w:marLeft w:val="0"/>
          <w:marRight w:val="0"/>
          <w:marTop w:val="0"/>
          <w:marBottom w:val="0"/>
          <w:divBdr>
            <w:top w:val="none" w:sz="0" w:space="0" w:color="auto"/>
            <w:left w:val="none" w:sz="0" w:space="0" w:color="auto"/>
            <w:bottom w:val="none" w:sz="0" w:space="0" w:color="auto"/>
            <w:right w:val="none" w:sz="0" w:space="0" w:color="auto"/>
          </w:divBdr>
        </w:div>
        <w:div w:id="839853528">
          <w:marLeft w:val="0"/>
          <w:marRight w:val="0"/>
          <w:marTop w:val="0"/>
          <w:marBottom w:val="0"/>
          <w:divBdr>
            <w:top w:val="none" w:sz="0" w:space="0" w:color="auto"/>
            <w:left w:val="none" w:sz="0" w:space="0" w:color="auto"/>
            <w:bottom w:val="none" w:sz="0" w:space="0" w:color="auto"/>
            <w:right w:val="none" w:sz="0" w:space="0" w:color="auto"/>
          </w:divBdr>
        </w:div>
        <w:div w:id="900483217">
          <w:marLeft w:val="0"/>
          <w:marRight w:val="0"/>
          <w:marTop w:val="0"/>
          <w:marBottom w:val="0"/>
          <w:divBdr>
            <w:top w:val="none" w:sz="0" w:space="0" w:color="auto"/>
            <w:left w:val="none" w:sz="0" w:space="0" w:color="auto"/>
            <w:bottom w:val="none" w:sz="0" w:space="0" w:color="auto"/>
            <w:right w:val="none" w:sz="0" w:space="0" w:color="auto"/>
          </w:divBdr>
        </w:div>
        <w:div w:id="995374817">
          <w:marLeft w:val="0"/>
          <w:marRight w:val="0"/>
          <w:marTop w:val="0"/>
          <w:marBottom w:val="0"/>
          <w:divBdr>
            <w:top w:val="none" w:sz="0" w:space="0" w:color="auto"/>
            <w:left w:val="none" w:sz="0" w:space="0" w:color="auto"/>
            <w:bottom w:val="none" w:sz="0" w:space="0" w:color="auto"/>
            <w:right w:val="none" w:sz="0" w:space="0" w:color="auto"/>
          </w:divBdr>
        </w:div>
        <w:div w:id="1044020218">
          <w:marLeft w:val="0"/>
          <w:marRight w:val="0"/>
          <w:marTop w:val="0"/>
          <w:marBottom w:val="0"/>
          <w:divBdr>
            <w:top w:val="none" w:sz="0" w:space="0" w:color="auto"/>
            <w:left w:val="none" w:sz="0" w:space="0" w:color="auto"/>
            <w:bottom w:val="none" w:sz="0" w:space="0" w:color="auto"/>
            <w:right w:val="none" w:sz="0" w:space="0" w:color="auto"/>
          </w:divBdr>
        </w:div>
        <w:div w:id="1485047587">
          <w:marLeft w:val="0"/>
          <w:marRight w:val="0"/>
          <w:marTop w:val="0"/>
          <w:marBottom w:val="0"/>
          <w:divBdr>
            <w:top w:val="none" w:sz="0" w:space="0" w:color="auto"/>
            <w:left w:val="none" w:sz="0" w:space="0" w:color="auto"/>
            <w:bottom w:val="none" w:sz="0" w:space="0" w:color="auto"/>
            <w:right w:val="none" w:sz="0" w:space="0" w:color="auto"/>
          </w:divBdr>
        </w:div>
        <w:div w:id="1538077693">
          <w:marLeft w:val="0"/>
          <w:marRight w:val="0"/>
          <w:marTop w:val="0"/>
          <w:marBottom w:val="0"/>
          <w:divBdr>
            <w:top w:val="none" w:sz="0" w:space="0" w:color="auto"/>
            <w:left w:val="none" w:sz="0" w:space="0" w:color="auto"/>
            <w:bottom w:val="none" w:sz="0" w:space="0" w:color="auto"/>
            <w:right w:val="none" w:sz="0" w:space="0" w:color="auto"/>
          </w:divBdr>
        </w:div>
        <w:div w:id="1640763047">
          <w:marLeft w:val="0"/>
          <w:marRight w:val="0"/>
          <w:marTop w:val="0"/>
          <w:marBottom w:val="0"/>
          <w:divBdr>
            <w:top w:val="none" w:sz="0" w:space="0" w:color="auto"/>
            <w:left w:val="none" w:sz="0" w:space="0" w:color="auto"/>
            <w:bottom w:val="none" w:sz="0" w:space="0" w:color="auto"/>
            <w:right w:val="none" w:sz="0" w:space="0" w:color="auto"/>
          </w:divBdr>
        </w:div>
        <w:div w:id="1711612782">
          <w:marLeft w:val="0"/>
          <w:marRight w:val="0"/>
          <w:marTop w:val="0"/>
          <w:marBottom w:val="0"/>
          <w:divBdr>
            <w:top w:val="none" w:sz="0" w:space="0" w:color="auto"/>
            <w:left w:val="none" w:sz="0" w:space="0" w:color="auto"/>
            <w:bottom w:val="none" w:sz="0" w:space="0" w:color="auto"/>
            <w:right w:val="none" w:sz="0" w:space="0" w:color="auto"/>
          </w:divBdr>
        </w:div>
        <w:div w:id="1750148866">
          <w:marLeft w:val="0"/>
          <w:marRight w:val="0"/>
          <w:marTop w:val="0"/>
          <w:marBottom w:val="0"/>
          <w:divBdr>
            <w:top w:val="none" w:sz="0" w:space="0" w:color="auto"/>
            <w:left w:val="none" w:sz="0" w:space="0" w:color="auto"/>
            <w:bottom w:val="none" w:sz="0" w:space="0" w:color="auto"/>
            <w:right w:val="none" w:sz="0" w:space="0" w:color="auto"/>
          </w:divBdr>
        </w:div>
        <w:div w:id="1754813694">
          <w:marLeft w:val="0"/>
          <w:marRight w:val="0"/>
          <w:marTop w:val="0"/>
          <w:marBottom w:val="0"/>
          <w:divBdr>
            <w:top w:val="none" w:sz="0" w:space="0" w:color="auto"/>
            <w:left w:val="none" w:sz="0" w:space="0" w:color="auto"/>
            <w:bottom w:val="none" w:sz="0" w:space="0" w:color="auto"/>
            <w:right w:val="none" w:sz="0" w:space="0" w:color="auto"/>
          </w:divBdr>
        </w:div>
        <w:div w:id="1758019391">
          <w:marLeft w:val="0"/>
          <w:marRight w:val="0"/>
          <w:marTop w:val="0"/>
          <w:marBottom w:val="0"/>
          <w:divBdr>
            <w:top w:val="none" w:sz="0" w:space="0" w:color="auto"/>
            <w:left w:val="none" w:sz="0" w:space="0" w:color="auto"/>
            <w:bottom w:val="none" w:sz="0" w:space="0" w:color="auto"/>
            <w:right w:val="none" w:sz="0" w:space="0" w:color="auto"/>
          </w:divBdr>
        </w:div>
        <w:div w:id="1800413601">
          <w:marLeft w:val="0"/>
          <w:marRight w:val="0"/>
          <w:marTop w:val="0"/>
          <w:marBottom w:val="0"/>
          <w:divBdr>
            <w:top w:val="none" w:sz="0" w:space="0" w:color="auto"/>
            <w:left w:val="none" w:sz="0" w:space="0" w:color="auto"/>
            <w:bottom w:val="none" w:sz="0" w:space="0" w:color="auto"/>
            <w:right w:val="none" w:sz="0" w:space="0" w:color="auto"/>
          </w:divBdr>
        </w:div>
        <w:div w:id="1840533165">
          <w:marLeft w:val="0"/>
          <w:marRight w:val="0"/>
          <w:marTop w:val="0"/>
          <w:marBottom w:val="0"/>
          <w:divBdr>
            <w:top w:val="none" w:sz="0" w:space="0" w:color="auto"/>
            <w:left w:val="none" w:sz="0" w:space="0" w:color="auto"/>
            <w:bottom w:val="none" w:sz="0" w:space="0" w:color="auto"/>
            <w:right w:val="none" w:sz="0" w:space="0" w:color="auto"/>
          </w:divBdr>
        </w:div>
        <w:div w:id="1842504096">
          <w:marLeft w:val="0"/>
          <w:marRight w:val="0"/>
          <w:marTop w:val="0"/>
          <w:marBottom w:val="0"/>
          <w:divBdr>
            <w:top w:val="none" w:sz="0" w:space="0" w:color="auto"/>
            <w:left w:val="none" w:sz="0" w:space="0" w:color="auto"/>
            <w:bottom w:val="none" w:sz="0" w:space="0" w:color="auto"/>
            <w:right w:val="none" w:sz="0" w:space="0" w:color="auto"/>
          </w:divBdr>
        </w:div>
        <w:div w:id="1905337596">
          <w:marLeft w:val="0"/>
          <w:marRight w:val="0"/>
          <w:marTop w:val="0"/>
          <w:marBottom w:val="0"/>
          <w:divBdr>
            <w:top w:val="none" w:sz="0" w:space="0" w:color="auto"/>
            <w:left w:val="none" w:sz="0" w:space="0" w:color="auto"/>
            <w:bottom w:val="none" w:sz="0" w:space="0" w:color="auto"/>
            <w:right w:val="none" w:sz="0" w:space="0" w:color="auto"/>
          </w:divBdr>
        </w:div>
        <w:div w:id="2144420283">
          <w:marLeft w:val="0"/>
          <w:marRight w:val="0"/>
          <w:marTop w:val="0"/>
          <w:marBottom w:val="0"/>
          <w:divBdr>
            <w:top w:val="none" w:sz="0" w:space="0" w:color="auto"/>
            <w:left w:val="none" w:sz="0" w:space="0" w:color="auto"/>
            <w:bottom w:val="none" w:sz="0" w:space="0" w:color="auto"/>
            <w:right w:val="none" w:sz="0" w:space="0" w:color="auto"/>
          </w:divBdr>
        </w:div>
      </w:divsChild>
    </w:div>
    <w:div w:id="1228690291">
      <w:bodyDiv w:val="1"/>
      <w:marLeft w:val="0"/>
      <w:marRight w:val="0"/>
      <w:marTop w:val="0"/>
      <w:marBottom w:val="0"/>
      <w:divBdr>
        <w:top w:val="none" w:sz="0" w:space="0" w:color="auto"/>
        <w:left w:val="none" w:sz="0" w:space="0" w:color="auto"/>
        <w:bottom w:val="none" w:sz="0" w:space="0" w:color="auto"/>
        <w:right w:val="none" w:sz="0" w:space="0" w:color="auto"/>
      </w:divBdr>
    </w:div>
    <w:div w:id="1245647565">
      <w:bodyDiv w:val="1"/>
      <w:marLeft w:val="0"/>
      <w:marRight w:val="0"/>
      <w:marTop w:val="0"/>
      <w:marBottom w:val="0"/>
      <w:divBdr>
        <w:top w:val="none" w:sz="0" w:space="0" w:color="auto"/>
        <w:left w:val="none" w:sz="0" w:space="0" w:color="auto"/>
        <w:bottom w:val="none" w:sz="0" w:space="0" w:color="auto"/>
        <w:right w:val="none" w:sz="0" w:space="0" w:color="auto"/>
      </w:divBdr>
      <w:divsChild>
        <w:div w:id="2021807099">
          <w:marLeft w:val="0"/>
          <w:marRight w:val="0"/>
          <w:marTop w:val="0"/>
          <w:marBottom w:val="0"/>
          <w:divBdr>
            <w:top w:val="none" w:sz="0" w:space="0" w:color="auto"/>
            <w:left w:val="none" w:sz="0" w:space="0" w:color="auto"/>
            <w:bottom w:val="none" w:sz="0" w:space="0" w:color="auto"/>
            <w:right w:val="none" w:sz="0" w:space="0" w:color="auto"/>
          </w:divBdr>
        </w:div>
        <w:div w:id="1968465127">
          <w:marLeft w:val="0"/>
          <w:marRight w:val="0"/>
          <w:marTop w:val="0"/>
          <w:marBottom w:val="0"/>
          <w:divBdr>
            <w:top w:val="none" w:sz="0" w:space="0" w:color="auto"/>
            <w:left w:val="none" w:sz="0" w:space="0" w:color="auto"/>
            <w:bottom w:val="none" w:sz="0" w:space="0" w:color="auto"/>
            <w:right w:val="none" w:sz="0" w:space="0" w:color="auto"/>
          </w:divBdr>
        </w:div>
        <w:div w:id="615716115">
          <w:marLeft w:val="0"/>
          <w:marRight w:val="0"/>
          <w:marTop w:val="0"/>
          <w:marBottom w:val="0"/>
          <w:divBdr>
            <w:top w:val="none" w:sz="0" w:space="0" w:color="auto"/>
            <w:left w:val="none" w:sz="0" w:space="0" w:color="auto"/>
            <w:bottom w:val="none" w:sz="0" w:space="0" w:color="auto"/>
            <w:right w:val="none" w:sz="0" w:space="0" w:color="auto"/>
          </w:divBdr>
        </w:div>
        <w:div w:id="2072077965">
          <w:marLeft w:val="0"/>
          <w:marRight w:val="0"/>
          <w:marTop w:val="0"/>
          <w:marBottom w:val="0"/>
          <w:divBdr>
            <w:top w:val="none" w:sz="0" w:space="0" w:color="auto"/>
            <w:left w:val="none" w:sz="0" w:space="0" w:color="auto"/>
            <w:bottom w:val="none" w:sz="0" w:space="0" w:color="auto"/>
            <w:right w:val="none" w:sz="0" w:space="0" w:color="auto"/>
          </w:divBdr>
        </w:div>
      </w:divsChild>
    </w:div>
    <w:div w:id="1283266782">
      <w:bodyDiv w:val="1"/>
      <w:marLeft w:val="0"/>
      <w:marRight w:val="0"/>
      <w:marTop w:val="0"/>
      <w:marBottom w:val="0"/>
      <w:divBdr>
        <w:top w:val="none" w:sz="0" w:space="0" w:color="auto"/>
        <w:left w:val="none" w:sz="0" w:space="0" w:color="auto"/>
        <w:bottom w:val="none" w:sz="0" w:space="0" w:color="auto"/>
        <w:right w:val="none" w:sz="0" w:space="0" w:color="auto"/>
      </w:divBdr>
      <w:divsChild>
        <w:div w:id="1118329294">
          <w:marLeft w:val="0"/>
          <w:marRight w:val="0"/>
          <w:marTop w:val="0"/>
          <w:marBottom w:val="0"/>
          <w:divBdr>
            <w:top w:val="none" w:sz="0" w:space="0" w:color="auto"/>
            <w:left w:val="none" w:sz="0" w:space="0" w:color="auto"/>
            <w:bottom w:val="none" w:sz="0" w:space="0" w:color="auto"/>
            <w:right w:val="none" w:sz="0" w:space="0" w:color="auto"/>
          </w:divBdr>
          <w:divsChild>
            <w:div w:id="561212623">
              <w:marLeft w:val="0"/>
              <w:marRight w:val="0"/>
              <w:marTop w:val="0"/>
              <w:marBottom w:val="0"/>
              <w:divBdr>
                <w:top w:val="none" w:sz="0" w:space="0" w:color="auto"/>
                <w:left w:val="none" w:sz="0" w:space="0" w:color="auto"/>
                <w:bottom w:val="none" w:sz="0" w:space="0" w:color="auto"/>
                <w:right w:val="none" w:sz="0" w:space="0" w:color="auto"/>
              </w:divBdr>
            </w:div>
            <w:div w:id="594367732">
              <w:marLeft w:val="0"/>
              <w:marRight w:val="0"/>
              <w:marTop w:val="0"/>
              <w:marBottom w:val="0"/>
              <w:divBdr>
                <w:top w:val="none" w:sz="0" w:space="0" w:color="auto"/>
                <w:left w:val="none" w:sz="0" w:space="0" w:color="auto"/>
                <w:bottom w:val="none" w:sz="0" w:space="0" w:color="auto"/>
                <w:right w:val="none" w:sz="0" w:space="0" w:color="auto"/>
              </w:divBdr>
            </w:div>
            <w:div w:id="781412249">
              <w:marLeft w:val="0"/>
              <w:marRight w:val="0"/>
              <w:marTop w:val="0"/>
              <w:marBottom w:val="0"/>
              <w:divBdr>
                <w:top w:val="none" w:sz="0" w:space="0" w:color="auto"/>
                <w:left w:val="none" w:sz="0" w:space="0" w:color="auto"/>
                <w:bottom w:val="none" w:sz="0" w:space="0" w:color="auto"/>
                <w:right w:val="none" w:sz="0" w:space="0" w:color="auto"/>
              </w:divBdr>
            </w:div>
            <w:div w:id="1120108345">
              <w:marLeft w:val="0"/>
              <w:marRight w:val="0"/>
              <w:marTop w:val="0"/>
              <w:marBottom w:val="0"/>
              <w:divBdr>
                <w:top w:val="none" w:sz="0" w:space="0" w:color="auto"/>
                <w:left w:val="none" w:sz="0" w:space="0" w:color="auto"/>
                <w:bottom w:val="none" w:sz="0" w:space="0" w:color="auto"/>
                <w:right w:val="none" w:sz="0" w:space="0" w:color="auto"/>
              </w:divBdr>
            </w:div>
            <w:div w:id="1189565644">
              <w:marLeft w:val="0"/>
              <w:marRight w:val="0"/>
              <w:marTop w:val="0"/>
              <w:marBottom w:val="0"/>
              <w:divBdr>
                <w:top w:val="none" w:sz="0" w:space="0" w:color="auto"/>
                <w:left w:val="none" w:sz="0" w:space="0" w:color="auto"/>
                <w:bottom w:val="none" w:sz="0" w:space="0" w:color="auto"/>
                <w:right w:val="none" w:sz="0" w:space="0" w:color="auto"/>
              </w:divBdr>
            </w:div>
            <w:div w:id="1617367975">
              <w:marLeft w:val="0"/>
              <w:marRight w:val="0"/>
              <w:marTop w:val="0"/>
              <w:marBottom w:val="0"/>
              <w:divBdr>
                <w:top w:val="none" w:sz="0" w:space="0" w:color="auto"/>
                <w:left w:val="none" w:sz="0" w:space="0" w:color="auto"/>
                <w:bottom w:val="none" w:sz="0" w:space="0" w:color="auto"/>
                <w:right w:val="none" w:sz="0" w:space="0" w:color="auto"/>
              </w:divBdr>
            </w:div>
            <w:div w:id="1757508540">
              <w:marLeft w:val="0"/>
              <w:marRight w:val="0"/>
              <w:marTop w:val="0"/>
              <w:marBottom w:val="0"/>
              <w:divBdr>
                <w:top w:val="none" w:sz="0" w:space="0" w:color="auto"/>
                <w:left w:val="none" w:sz="0" w:space="0" w:color="auto"/>
                <w:bottom w:val="none" w:sz="0" w:space="0" w:color="auto"/>
                <w:right w:val="none" w:sz="0" w:space="0" w:color="auto"/>
              </w:divBdr>
            </w:div>
            <w:div w:id="1912042104">
              <w:marLeft w:val="0"/>
              <w:marRight w:val="0"/>
              <w:marTop w:val="0"/>
              <w:marBottom w:val="0"/>
              <w:divBdr>
                <w:top w:val="none" w:sz="0" w:space="0" w:color="auto"/>
                <w:left w:val="none" w:sz="0" w:space="0" w:color="auto"/>
                <w:bottom w:val="none" w:sz="0" w:space="0" w:color="auto"/>
                <w:right w:val="none" w:sz="0" w:space="0" w:color="auto"/>
              </w:divBdr>
            </w:div>
            <w:div w:id="1921253785">
              <w:marLeft w:val="0"/>
              <w:marRight w:val="0"/>
              <w:marTop w:val="0"/>
              <w:marBottom w:val="0"/>
              <w:divBdr>
                <w:top w:val="none" w:sz="0" w:space="0" w:color="auto"/>
                <w:left w:val="none" w:sz="0" w:space="0" w:color="auto"/>
                <w:bottom w:val="none" w:sz="0" w:space="0" w:color="auto"/>
                <w:right w:val="none" w:sz="0" w:space="0" w:color="auto"/>
              </w:divBdr>
            </w:div>
            <w:div w:id="200153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236842">
      <w:bodyDiv w:val="1"/>
      <w:marLeft w:val="0"/>
      <w:marRight w:val="0"/>
      <w:marTop w:val="0"/>
      <w:marBottom w:val="0"/>
      <w:divBdr>
        <w:top w:val="none" w:sz="0" w:space="0" w:color="auto"/>
        <w:left w:val="none" w:sz="0" w:space="0" w:color="auto"/>
        <w:bottom w:val="none" w:sz="0" w:space="0" w:color="auto"/>
        <w:right w:val="none" w:sz="0" w:space="0" w:color="auto"/>
      </w:divBdr>
    </w:div>
    <w:div w:id="1341272570">
      <w:bodyDiv w:val="1"/>
      <w:marLeft w:val="0"/>
      <w:marRight w:val="0"/>
      <w:marTop w:val="0"/>
      <w:marBottom w:val="0"/>
      <w:divBdr>
        <w:top w:val="none" w:sz="0" w:space="0" w:color="auto"/>
        <w:left w:val="none" w:sz="0" w:space="0" w:color="auto"/>
        <w:bottom w:val="none" w:sz="0" w:space="0" w:color="auto"/>
        <w:right w:val="none" w:sz="0" w:space="0" w:color="auto"/>
      </w:divBdr>
    </w:div>
    <w:div w:id="1376346920">
      <w:bodyDiv w:val="1"/>
      <w:marLeft w:val="0"/>
      <w:marRight w:val="0"/>
      <w:marTop w:val="0"/>
      <w:marBottom w:val="0"/>
      <w:divBdr>
        <w:top w:val="none" w:sz="0" w:space="0" w:color="auto"/>
        <w:left w:val="none" w:sz="0" w:space="0" w:color="auto"/>
        <w:bottom w:val="none" w:sz="0" w:space="0" w:color="auto"/>
        <w:right w:val="none" w:sz="0" w:space="0" w:color="auto"/>
      </w:divBdr>
    </w:div>
    <w:div w:id="1376932403">
      <w:bodyDiv w:val="1"/>
      <w:marLeft w:val="0"/>
      <w:marRight w:val="0"/>
      <w:marTop w:val="0"/>
      <w:marBottom w:val="0"/>
      <w:divBdr>
        <w:top w:val="none" w:sz="0" w:space="0" w:color="auto"/>
        <w:left w:val="none" w:sz="0" w:space="0" w:color="auto"/>
        <w:bottom w:val="none" w:sz="0" w:space="0" w:color="auto"/>
        <w:right w:val="none" w:sz="0" w:space="0" w:color="auto"/>
      </w:divBdr>
      <w:divsChild>
        <w:div w:id="1511874353">
          <w:marLeft w:val="0"/>
          <w:marRight w:val="0"/>
          <w:marTop w:val="0"/>
          <w:marBottom w:val="0"/>
          <w:divBdr>
            <w:top w:val="none" w:sz="0" w:space="0" w:color="auto"/>
            <w:left w:val="none" w:sz="0" w:space="0" w:color="auto"/>
            <w:bottom w:val="none" w:sz="0" w:space="0" w:color="auto"/>
            <w:right w:val="none" w:sz="0" w:space="0" w:color="auto"/>
          </w:divBdr>
        </w:div>
        <w:div w:id="260993183">
          <w:marLeft w:val="0"/>
          <w:marRight w:val="0"/>
          <w:marTop w:val="0"/>
          <w:marBottom w:val="0"/>
          <w:divBdr>
            <w:top w:val="none" w:sz="0" w:space="0" w:color="auto"/>
            <w:left w:val="none" w:sz="0" w:space="0" w:color="auto"/>
            <w:bottom w:val="none" w:sz="0" w:space="0" w:color="auto"/>
            <w:right w:val="none" w:sz="0" w:space="0" w:color="auto"/>
          </w:divBdr>
        </w:div>
        <w:div w:id="822354639">
          <w:marLeft w:val="0"/>
          <w:marRight w:val="0"/>
          <w:marTop w:val="0"/>
          <w:marBottom w:val="0"/>
          <w:divBdr>
            <w:top w:val="none" w:sz="0" w:space="0" w:color="auto"/>
            <w:left w:val="none" w:sz="0" w:space="0" w:color="auto"/>
            <w:bottom w:val="none" w:sz="0" w:space="0" w:color="auto"/>
            <w:right w:val="none" w:sz="0" w:space="0" w:color="auto"/>
          </w:divBdr>
        </w:div>
        <w:div w:id="1955281713">
          <w:marLeft w:val="0"/>
          <w:marRight w:val="0"/>
          <w:marTop w:val="0"/>
          <w:marBottom w:val="0"/>
          <w:divBdr>
            <w:top w:val="none" w:sz="0" w:space="0" w:color="auto"/>
            <w:left w:val="none" w:sz="0" w:space="0" w:color="auto"/>
            <w:bottom w:val="none" w:sz="0" w:space="0" w:color="auto"/>
            <w:right w:val="none" w:sz="0" w:space="0" w:color="auto"/>
          </w:divBdr>
        </w:div>
        <w:div w:id="1727484773">
          <w:marLeft w:val="0"/>
          <w:marRight w:val="0"/>
          <w:marTop w:val="0"/>
          <w:marBottom w:val="0"/>
          <w:divBdr>
            <w:top w:val="none" w:sz="0" w:space="0" w:color="auto"/>
            <w:left w:val="none" w:sz="0" w:space="0" w:color="auto"/>
            <w:bottom w:val="none" w:sz="0" w:space="0" w:color="auto"/>
            <w:right w:val="none" w:sz="0" w:space="0" w:color="auto"/>
          </w:divBdr>
        </w:div>
        <w:div w:id="1559976170">
          <w:marLeft w:val="0"/>
          <w:marRight w:val="0"/>
          <w:marTop w:val="0"/>
          <w:marBottom w:val="0"/>
          <w:divBdr>
            <w:top w:val="none" w:sz="0" w:space="0" w:color="auto"/>
            <w:left w:val="none" w:sz="0" w:space="0" w:color="auto"/>
            <w:bottom w:val="none" w:sz="0" w:space="0" w:color="auto"/>
            <w:right w:val="none" w:sz="0" w:space="0" w:color="auto"/>
          </w:divBdr>
        </w:div>
        <w:div w:id="473333260">
          <w:marLeft w:val="0"/>
          <w:marRight w:val="0"/>
          <w:marTop w:val="0"/>
          <w:marBottom w:val="0"/>
          <w:divBdr>
            <w:top w:val="none" w:sz="0" w:space="0" w:color="auto"/>
            <w:left w:val="none" w:sz="0" w:space="0" w:color="auto"/>
            <w:bottom w:val="none" w:sz="0" w:space="0" w:color="auto"/>
            <w:right w:val="none" w:sz="0" w:space="0" w:color="auto"/>
          </w:divBdr>
        </w:div>
        <w:div w:id="1067922571">
          <w:marLeft w:val="0"/>
          <w:marRight w:val="0"/>
          <w:marTop w:val="0"/>
          <w:marBottom w:val="0"/>
          <w:divBdr>
            <w:top w:val="none" w:sz="0" w:space="0" w:color="auto"/>
            <w:left w:val="none" w:sz="0" w:space="0" w:color="auto"/>
            <w:bottom w:val="none" w:sz="0" w:space="0" w:color="auto"/>
            <w:right w:val="none" w:sz="0" w:space="0" w:color="auto"/>
          </w:divBdr>
        </w:div>
        <w:div w:id="1120685501">
          <w:marLeft w:val="0"/>
          <w:marRight w:val="0"/>
          <w:marTop w:val="0"/>
          <w:marBottom w:val="0"/>
          <w:divBdr>
            <w:top w:val="none" w:sz="0" w:space="0" w:color="auto"/>
            <w:left w:val="none" w:sz="0" w:space="0" w:color="auto"/>
            <w:bottom w:val="none" w:sz="0" w:space="0" w:color="auto"/>
            <w:right w:val="none" w:sz="0" w:space="0" w:color="auto"/>
          </w:divBdr>
        </w:div>
        <w:div w:id="2090034701">
          <w:marLeft w:val="0"/>
          <w:marRight w:val="0"/>
          <w:marTop w:val="0"/>
          <w:marBottom w:val="0"/>
          <w:divBdr>
            <w:top w:val="none" w:sz="0" w:space="0" w:color="auto"/>
            <w:left w:val="none" w:sz="0" w:space="0" w:color="auto"/>
            <w:bottom w:val="none" w:sz="0" w:space="0" w:color="auto"/>
            <w:right w:val="none" w:sz="0" w:space="0" w:color="auto"/>
          </w:divBdr>
        </w:div>
        <w:div w:id="524293759">
          <w:marLeft w:val="0"/>
          <w:marRight w:val="0"/>
          <w:marTop w:val="0"/>
          <w:marBottom w:val="0"/>
          <w:divBdr>
            <w:top w:val="none" w:sz="0" w:space="0" w:color="auto"/>
            <w:left w:val="none" w:sz="0" w:space="0" w:color="auto"/>
            <w:bottom w:val="none" w:sz="0" w:space="0" w:color="auto"/>
            <w:right w:val="none" w:sz="0" w:space="0" w:color="auto"/>
          </w:divBdr>
        </w:div>
        <w:div w:id="546185144">
          <w:marLeft w:val="0"/>
          <w:marRight w:val="0"/>
          <w:marTop w:val="0"/>
          <w:marBottom w:val="0"/>
          <w:divBdr>
            <w:top w:val="none" w:sz="0" w:space="0" w:color="auto"/>
            <w:left w:val="none" w:sz="0" w:space="0" w:color="auto"/>
            <w:bottom w:val="none" w:sz="0" w:space="0" w:color="auto"/>
            <w:right w:val="none" w:sz="0" w:space="0" w:color="auto"/>
          </w:divBdr>
        </w:div>
        <w:div w:id="1678849513">
          <w:marLeft w:val="0"/>
          <w:marRight w:val="0"/>
          <w:marTop w:val="0"/>
          <w:marBottom w:val="0"/>
          <w:divBdr>
            <w:top w:val="none" w:sz="0" w:space="0" w:color="auto"/>
            <w:left w:val="none" w:sz="0" w:space="0" w:color="auto"/>
            <w:bottom w:val="none" w:sz="0" w:space="0" w:color="auto"/>
            <w:right w:val="none" w:sz="0" w:space="0" w:color="auto"/>
          </w:divBdr>
        </w:div>
        <w:div w:id="955211738">
          <w:marLeft w:val="0"/>
          <w:marRight w:val="0"/>
          <w:marTop w:val="0"/>
          <w:marBottom w:val="0"/>
          <w:divBdr>
            <w:top w:val="none" w:sz="0" w:space="0" w:color="auto"/>
            <w:left w:val="none" w:sz="0" w:space="0" w:color="auto"/>
            <w:bottom w:val="none" w:sz="0" w:space="0" w:color="auto"/>
            <w:right w:val="none" w:sz="0" w:space="0" w:color="auto"/>
          </w:divBdr>
        </w:div>
        <w:div w:id="1412659690">
          <w:marLeft w:val="0"/>
          <w:marRight w:val="0"/>
          <w:marTop w:val="0"/>
          <w:marBottom w:val="0"/>
          <w:divBdr>
            <w:top w:val="none" w:sz="0" w:space="0" w:color="auto"/>
            <w:left w:val="none" w:sz="0" w:space="0" w:color="auto"/>
            <w:bottom w:val="none" w:sz="0" w:space="0" w:color="auto"/>
            <w:right w:val="none" w:sz="0" w:space="0" w:color="auto"/>
          </w:divBdr>
        </w:div>
        <w:div w:id="861820832">
          <w:marLeft w:val="0"/>
          <w:marRight w:val="0"/>
          <w:marTop w:val="0"/>
          <w:marBottom w:val="0"/>
          <w:divBdr>
            <w:top w:val="none" w:sz="0" w:space="0" w:color="auto"/>
            <w:left w:val="none" w:sz="0" w:space="0" w:color="auto"/>
            <w:bottom w:val="none" w:sz="0" w:space="0" w:color="auto"/>
            <w:right w:val="none" w:sz="0" w:space="0" w:color="auto"/>
          </w:divBdr>
        </w:div>
        <w:div w:id="942881007">
          <w:marLeft w:val="0"/>
          <w:marRight w:val="0"/>
          <w:marTop w:val="0"/>
          <w:marBottom w:val="0"/>
          <w:divBdr>
            <w:top w:val="none" w:sz="0" w:space="0" w:color="auto"/>
            <w:left w:val="none" w:sz="0" w:space="0" w:color="auto"/>
            <w:bottom w:val="none" w:sz="0" w:space="0" w:color="auto"/>
            <w:right w:val="none" w:sz="0" w:space="0" w:color="auto"/>
          </w:divBdr>
        </w:div>
        <w:div w:id="1005398238">
          <w:marLeft w:val="0"/>
          <w:marRight w:val="0"/>
          <w:marTop w:val="0"/>
          <w:marBottom w:val="0"/>
          <w:divBdr>
            <w:top w:val="none" w:sz="0" w:space="0" w:color="auto"/>
            <w:left w:val="none" w:sz="0" w:space="0" w:color="auto"/>
            <w:bottom w:val="none" w:sz="0" w:space="0" w:color="auto"/>
            <w:right w:val="none" w:sz="0" w:space="0" w:color="auto"/>
          </w:divBdr>
        </w:div>
      </w:divsChild>
    </w:div>
    <w:div w:id="1400253418">
      <w:bodyDiv w:val="1"/>
      <w:marLeft w:val="0"/>
      <w:marRight w:val="0"/>
      <w:marTop w:val="0"/>
      <w:marBottom w:val="0"/>
      <w:divBdr>
        <w:top w:val="none" w:sz="0" w:space="0" w:color="auto"/>
        <w:left w:val="none" w:sz="0" w:space="0" w:color="auto"/>
        <w:bottom w:val="none" w:sz="0" w:space="0" w:color="auto"/>
        <w:right w:val="none" w:sz="0" w:space="0" w:color="auto"/>
      </w:divBdr>
      <w:divsChild>
        <w:div w:id="31536027">
          <w:marLeft w:val="0"/>
          <w:marRight w:val="0"/>
          <w:marTop w:val="0"/>
          <w:marBottom w:val="0"/>
          <w:divBdr>
            <w:top w:val="none" w:sz="0" w:space="0" w:color="auto"/>
            <w:left w:val="none" w:sz="0" w:space="0" w:color="auto"/>
            <w:bottom w:val="none" w:sz="0" w:space="0" w:color="auto"/>
            <w:right w:val="none" w:sz="0" w:space="0" w:color="auto"/>
          </w:divBdr>
        </w:div>
        <w:div w:id="580873015">
          <w:marLeft w:val="0"/>
          <w:marRight w:val="0"/>
          <w:marTop w:val="0"/>
          <w:marBottom w:val="0"/>
          <w:divBdr>
            <w:top w:val="none" w:sz="0" w:space="0" w:color="auto"/>
            <w:left w:val="none" w:sz="0" w:space="0" w:color="auto"/>
            <w:bottom w:val="none" w:sz="0" w:space="0" w:color="auto"/>
            <w:right w:val="none" w:sz="0" w:space="0" w:color="auto"/>
          </w:divBdr>
        </w:div>
        <w:div w:id="899906487">
          <w:marLeft w:val="0"/>
          <w:marRight w:val="0"/>
          <w:marTop w:val="0"/>
          <w:marBottom w:val="0"/>
          <w:divBdr>
            <w:top w:val="none" w:sz="0" w:space="0" w:color="auto"/>
            <w:left w:val="none" w:sz="0" w:space="0" w:color="auto"/>
            <w:bottom w:val="none" w:sz="0" w:space="0" w:color="auto"/>
            <w:right w:val="none" w:sz="0" w:space="0" w:color="auto"/>
          </w:divBdr>
        </w:div>
        <w:div w:id="1024669371">
          <w:marLeft w:val="0"/>
          <w:marRight w:val="0"/>
          <w:marTop w:val="0"/>
          <w:marBottom w:val="0"/>
          <w:divBdr>
            <w:top w:val="none" w:sz="0" w:space="0" w:color="auto"/>
            <w:left w:val="none" w:sz="0" w:space="0" w:color="auto"/>
            <w:bottom w:val="none" w:sz="0" w:space="0" w:color="auto"/>
            <w:right w:val="none" w:sz="0" w:space="0" w:color="auto"/>
          </w:divBdr>
        </w:div>
        <w:div w:id="1155341922">
          <w:marLeft w:val="0"/>
          <w:marRight w:val="0"/>
          <w:marTop w:val="0"/>
          <w:marBottom w:val="0"/>
          <w:divBdr>
            <w:top w:val="none" w:sz="0" w:space="0" w:color="auto"/>
            <w:left w:val="none" w:sz="0" w:space="0" w:color="auto"/>
            <w:bottom w:val="none" w:sz="0" w:space="0" w:color="auto"/>
            <w:right w:val="none" w:sz="0" w:space="0" w:color="auto"/>
          </w:divBdr>
        </w:div>
        <w:div w:id="1493981048">
          <w:marLeft w:val="0"/>
          <w:marRight w:val="0"/>
          <w:marTop w:val="0"/>
          <w:marBottom w:val="0"/>
          <w:divBdr>
            <w:top w:val="none" w:sz="0" w:space="0" w:color="auto"/>
            <w:left w:val="none" w:sz="0" w:space="0" w:color="auto"/>
            <w:bottom w:val="none" w:sz="0" w:space="0" w:color="auto"/>
            <w:right w:val="none" w:sz="0" w:space="0" w:color="auto"/>
          </w:divBdr>
        </w:div>
        <w:div w:id="1654986395">
          <w:marLeft w:val="0"/>
          <w:marRight w:val="0"/>
          <w:marTop w:val="0"/>
          <w:marBottom w:val="0"/>
          <w:divBdr>
            <w:top w:val="none" w:sz="0" w:space="0" w:color="auto"/>
            <w:left w:val="none" w:sz="0" w:space="0" w:color="auto"/>
            <w:bottom w:val="none" w:sz="0" w:space="0" w:color="auto"/>
            <w:right w:val="none" w:sz="0" w:space="0" w:color="auto"/>
          </w:divBdr>
        </w:div>
      </w:divsChild>
    </w:div>
    <w:div w:id="1401320144">
      <w:bodyDiv w:val="1"/>
      <w:marLeft w:val="0"/>
      <w:marRight w:val="0"/>
      <w:marTop w:val="0"/>
      <w:marBottom w:val="0"/>
      <w:divBdr>
        <w:top w:val="none" w:sz="0" w:space="0" w:color="auto"/>
        <w:left w:val="none" w:sz="0" w:space="0" w:color="auto"/>
        <w:bottom w:val="none" w:sz="0" w:space="0" w:color="auto"/>
        <w:right w:val="none" w:sz="0" w:space="0" w:color="auto"/>
      </w:divBdr>
    </w:div>
    <w:div w:id="1415274516">
      <w:bodyDiv w:val="1"/>
      <w:marLeft w:val="0"/>
      <w:marRight w:val="0"/>
      <w:marTop w:val="0"/>
      <w:marBottom w:val="0"/>
      <w:divBdr>
        <w:top w:val="none" w:sz="0" w:space="0" w:color="auto"/>
        <w:left w:val="none" w:sz="0" w:space="0" w:color="auto"/>
        <w:bottom w:val="none" w:sz="0" w:space="0" w:color="auto"/>
        <w:right w:val="none" w:sz="0" w:space="0" w:color="auto"/>
      </w:divBdr>
      <w:divsChild>
        <w:div w:id="77102092">
          <w:marLeft w:val="0"/>
          <w:marRight w:val="0"/>
          <w:marTop w:val="0"/>
          <w:marBottom w:val="0"/>
          <w:divBdr>
            <w:top w:val="none" w:sz="0" w:space="0" w:color="auto"/>
            <w:left w:val="none" w:sz="0" w:space="0" w:color="auto"/>
            <w:bottom w:val="none" w:sz="0" w:space="0" w:color="auto"/>
            <w:right w:val="none" w:sz="0" w:space="0" w:color="auto"/>
          </w:divBdr>
        </w:div>
        <w:div w:id="77870415">
          <w:marLeft w:val="0"/>
          <w:marRight w:val="0"/>
          <w:marTop w:val="0"/>
          <w:marBottom w:val="0"/>
          <w:divBdr>
            <w:top w:val="none" w:sz="0" w:space="0" w:color="auto"/>
            <w:left w:val="none" w:sz="0" w:space="0" w:color="auto"/>
            <w:bottom w:val="none" w:sz="0" w:space="0" w:color="auto"/>
            <w:right w:val="none" w:sz="0" w:space="0" w:color="auto"/>
          </w:divBdr>
        </w:div>
        <w:div w:id="458568757">
          <w:marLeft w:val="0"/>
          <w:marRight w:val="0"/>
          <w:marTop w:val="0"/>
          <w:marBottom w:val="0"/>
          <w:divBdr>
            <w:top w:val="none" w:sz="0" w:space="0" w:color="auto"/>
            <w:left w:val="none" w:sz="0" w:space="0" w:color="auto"/>
            <w:bottom w:val="none" w:sz="0" w:space="0" w:color="auto"/>
            <w:right w:val="none" w:sz="0" w:space="0" w:color="auto"/>
          </w:divBdr>
        </w:div>
        <w:div w:id="711227206">
          <w:marLeft w:val="0"/>
          <w:marRight w:val="0"/>
          <w:marTop w:val="0"/>
          <w:marBottom w:val="0"/>
          <w:divBdr>
            <w:top w:val="none" w:sz="0" w:space="0" w:color="auto"/>
            <w:left w:val="none" w:sz="0" w:space="0" w:color="auto"/>
            <w:bottom w:val="none" w:sz="0" w:space="0" w:color="auto"/>
            <w:right w:val="none" w:sz="0" w:space="0" w:color="auto"/>
          </w:divBdr>
        </w:div>
        <w:div w:id="1436948548">
          <w:marLeft w:val="0"/>
          <w:marRight w:val="0"/>
          <w:marTop w:val="0"/>
          <w:marBottom w:val="0"/>
          <w:divBdr>
            <w:top w:val="none" w:sz="0" w:space="0" w:color="auto"/>
            <w:left w:val="none" w:sz="0" w:space="0" w:color="auto"/>
            <w:bottom w:val="none" w:sz="0" w:space="0" w:color="auto"/>
            <w:right w:val="none" w:sz="0" w:space="0" w:color="auto"/>
          </w:divBdr>
        </w:div>
        <w:div w:id="1713454603">
          <w:marLeft w:val="0"/>
          <w:marRight w:val="0"/>
          <w:marTop w:val="0"/>
          <w:marBottom w:val="0"/>
          <w:divBdr>
            <w:top w:val="none" w:sz="0" w:space="0" w:color="auto"/>
            <w:left w:val="none" w:sz="0" w:space="0" w:color="auto"/>
            <w:bottom w:val="none" w:sz="0" w:space="0" w:color="auto"/>
            <w:right w:val="none" w:sz="0" w:space="0" w:color="auto"/>
          </w:divBdr>
        </w:div>
        <w:div w:id="1830056909">
          <w:marLeft w:val="0"/>
          <w:marRight w:val="0"/>
          <w:marTop w:val="0"/>
          <w:marBottom w:val="0"/>
          <w:divBdr>
            <w:top w:val="none" w:sz="0" w:space="0" w:color="auto"/>
            <w:left w:val="none" w:sz="0" w:space="0" w:color="auto"/>
            <w:bottom w:val="none" w:sz="0" w:space="0" w:color="auto"/>
            <w:right w:val="none" w:sz="0" w:space="0" w:color="auto"/>
          </w:divBdr>
        </w:div>
      </w:divsChild>
    </w:div>
    <w:div w:id="1458644235">
      <w:bodyDiv w:val="1"/>
      <w:marLeft w:val="0"/>
      <w:marRight w:val="0"/>
      <w:marTop w:val="0"/>
      <w:marBottom w:val="0"/>
      <w:divBdr>
        <w:top w:val="none" w:sz="0" w:space="0" w:color="auto"/>
        <w:left w:val="none" w:sz="0" w:space="0" w:color="auto"/>
        <w:bottom w:val="none" w:sz="0" w:space="0" w:color="auto"/>
        <w:right w:val="none" w:sz="0" w:space="0" w:color="auto"/>
      </w:divBdr>
      <w:divsChild>
        <w:div w:id="771557602">
          <w:marLeft w:val="0"/>
          <w:marRight w:val="0"/>
          <w:marTop w:val="0"/>
          <w:marBottom w:val="0"/>
          <w:divBdr>
            <w:top w:val="none" w:sz="0" w:space="0" w:color="auto"/>
            <w:left w:val="none" w:sz="0" w:space="0" w:color="auto"/>
            <w:bottom w:val="none" w:sz="0" w:space="0" w:color="auto"/>
            <w:right w:val="none" w:sz="0" w:space="0" w:color="auto"/>
          </w:divBdr>
        </w:div>
        <w:div w:id="1125928911">
          <w:marLeft w:val="0"/>
          <w:marRight w:val="0"/>
          <w:marTop w:val="0"/>
          <w:marBottom w:val="0"/>
          <w:divBdr>
            <w:top w:val="none" w:sz="0" w:space="0" w:color="auto"/>
            <w:left w:val="none" w:sz="0" w:space="0" w:color="auto"/>
            <w:bottom w:val="none" w:sz="0" w:space="0" w:color="auto"/>
            <w:right w:val="none" w:sz="0" w:space="0" w:color="auto"/>
          </w:divBdr>
        </w:div>
        <w:div w:id="1287005958">
          <w:marLeft w:val="0"/>
          <w:marRight w:val="0"/>
          <w:marTop w:val="0"/>
          <w:marBottom w:val="0"/>
          <w:divBdr>
            <w:top w:val="none" w:sz="0" w:space="0" w:color="auto"/>
            <w:left w:val="none" w:sz="0" w:space="0" w:color="auto"/>
            <w:bottom w:val="none" w:sz="0" w:space="0" w:color="auto"/>
            <w:right w:val="none" w:sz="0" w:space="0" w:color="auto"/>
          </w:divBdr>
        </w:div>
        <w:div w:id="1610744537">
          <w:marLeft w:val="0"/>
          <w:marRight w:val="0"/>
          <w:marTop w:val="0"/>
          <w:marBottom w:val="0"/>
          <w:divBdr>
            <w:top w:val="none" w:sz="0" w:space="0" w:color="auto"/>
            <w:left w:val="none" w:sz="0" w:space="0" w:color="auto"/>
            <w:bottom w:val="none" w:sz="0" w:space="0" w:color="auto"/>
            <w:right w:val="none" w:sz="0" w:space="0" w:color="auto"/>
          </w:divBdr>
        </w:div>
      </w:divsChild>
    </w:div>
    <w:div w:id="1471635340">
      <w:bodyDiv w:val="1"/>
      <w:marLeft w:val="0"/>
      <w:marRight w:val="0"/>
      <w:marTop w:val="0"/>
      <w:marBottom w:val="0"/>
      <w:divBdr>
        <w:top w:val="none" w:sz="0" w:space="0" w:color="auto"/>
        <w:left w:val="none" w:sz="0" w:space="0" w:color="auto"/>
        <w:bottom w:val="none" w:sz="0" w:space="0" w:color="auto"/>
        <w:right w:val="none" w:sz="0" w:space="0" w:color="auto"/>
      </w:divBdr>
      <w:divsChild>
        <w:div w:id="317734375">
          <w:marLeft w:val="0"/>
          <w:marRight w:val="0"/>
          <w:marTop w:val="0"/>
          <w:marBottom w:val="0"/>
          <w:divBdr>
            <w:top w:val="none" w:sz="0" w:space="0" w:color="auto"/>
            <w:left w:val="none" w:sz="0" w:space="0" w:color="auto"/>
            <w:bottom w:val="none" w:sz="0" w:space="0" w:color="auto"/>
            <w:right w:val="none" w:sz="0" w:space="0" w:color="auto"/>
          </w:divBdr>
        </w:div>
        <w:div w:id="406810793">
          <w:marLeft w:val="0"/>
          <w:marRight w:val="0"/>
          <w:marTop w:val="0"/>
          <w:marBottom w:val="0"/>
          <w:divBdr>
            <w:top w:val="none" w:sz="0" w:space="0" w:color="auto"/>
            <w:left w:val="none" w:sz="0" w:space="0" w:color="auto"/>
            <w:bottom w:val="none" w:sz="0" w:space="0" w:color="auto"/>
            <w:right w:val="none" w:sz="0" w:space="0" w:color="auto"/>
          </w:divBdr>
        </w:div>
        <w:div w:id="766969256">
          <w:marLeft w:val="0"/>
          <w:marRight w:val="0"/>
          <w:marTop w:val="0"/>
          <w:marBottom w:val="0"/>
          <w:divBdr>
            <w:top w:val="none" w:sz="0" w:space="0" w:color="auto"/>
            <w:left w:val="none" w:sz="0" w:space="0" w:color="auto"/>
            <w:bottom w:val="none" w:sz="0" w:space="0" w:color="auto"/>
            <w:right w:val="none" w:sz="0" w:space="0" w:color="auto"/>
          </w:divBdr>
        </w:div>
        <w:div w:id="809175426">
          <w:marLeft w:val="0"/>
          <w:marRight w:val="0"/>
          <w:marTop w:val="0"/>
          <w:marBottom w:val="0"/>
          <w:divBdr>
            <w:top w:val="none" w:sz="0" w:space="0" w:color="auto"/>
            <w:left w:val="none" w:sz="0" w:space="0" w:color="auto"/>
            <w:bottom w:val="none" w:sz="0" w:space="0" w:color="auto"/>
            <w:right w:val="none" w:sz="0" w:space="0" w:color="auto"/>
          </w:divBdr>
        </w:div>
        <w:div w:id="1306623128">
          <w:marLeft w:val="0"/>
          <w:marRight w:val="0"/>
          <w:marTop w:val="0"/>
          <w:marBottom w:val="0"/>
          <w:divBdr>
            <w:top w:val="none" w:sz="0" w:space="0" w:color="auto"/>
            <w:left w:val="none" w:sz="0" w:space="0" w:color="auto"/>
            <w:bottom w:val="none" w:sz="0" w:space="0" w:color="auto"/>
            <w:right w:val="none" w:sz="0" w:space="0" w:color="auto"/>
          </w:divBdr>
        </w:div>
        <w:div w:id="1374957970">
          <w:marLeft w:val="0"/>
          <w:marRight w:val="0"/>
          <w:marTop w:val="0"/>
          <w:marBottom w:val="0"/>
          <w:divBdr>
            <w:top w:val="none" w:sz="0" w:space="0" w:color="auto"/>
            <w:left w:val="none" w:sz="0" w:space="0" w:color="auto"/>
            <w:bottom w:val="none" w:sz="0" w:space="0" w:color="auto"/>
            <w:right w:val="none" w:sz="0" w:space="0" w:color="auto"/>
          </w:divBdr>
        </w:div>
        <w:div w:id="1477868017">
          <w:marLeft w:val="0"/>
          <w:marRight w:val="0"/>
          <w:marTop w:val="0"/>
          <w:marBottom w:val="0"/>
          <w:divBdr>
            <w:top w:val="none" w:sz="0" w:space="0" w:color="auto"/>
            <w:left w:val="none" w:sz="0" w:space="0" w:color="auto"/>
            <w:bottom w:val="none" w:sz="0" w:space="0" w:color="auto"/>
            <w:right w:val="none" w:sz="0" w:space="0" w:color="auto"/>
          </w:divBdr>
        </w:div>
        <w:div w:id="1840388257">
          <w:marLeft w:val="0"/>
          <w:marRight w:val="0"/>
          <w:marTop w:val="0"/>
          <w:marBottom w:val="0"/>
          <w:divBdr>
            <w:top w:val="none" w:sz="0" w:space="0" w:color="auto"/>
            <w:left w:val="none" w:sz="0" w:space="0" w:color="auto"/>
            <w:bottom w:val="none" w:sz="0" w:space="0" w:color="auto"/>
            <w:right w:val="none" w:sz="0" w:space="0" w:color="auto"/>
          </w:divBdr>
        </w:div>
      </w:divsChild>
    </w:div>
    <w:div w:id="1487474784">
      <w:bodyDiv w:val="1"/>
      <w:marLeft w:val="0"/>
      <w:marRight w:val="0"/>
      <w:marTop w:val="0"/>
      <w:marBottom w:val="0"/>
      <w:divBdr>
        <w:top w:val="none" w:sz="0" w:space="0" w:color="auto"/>
        <w:left w:val="none" w:sz="0" w:space="0" w:color="auto"/>
        <w:bottom w:val="none" w:sz="0" w:space="0" w:color="auto"/>
        <w:right w:val="none" w:sz="0" w:space="0" w:color="auto"/>
      </w:divBdr>
      <w:divsChild>
        <w:div w:id="1047413773">
          <w:marLeft w:val="0"/>
          <w:marRight w:val="0"/>
          <w:marTop w:val="0"/>
          <w:marBottom w:val="0"/>
          <w:divBdr>
            <w:top w:val="none" w:sz="0" w:space="0" w:color="auto"/>
            <w:left w:val="none" w:sz="0" w:space="0" w:color="auto"/>
            <w:bottom w:val="none" w:sz="0" w:space="0" w:color="auto"/>
            <w:right w:val="none" w:sz="0" w:space="0" w:color="auto"/>
          </w:divBdr>
        </w:div>
        <w:div w:id="1212814813">
          <w:marLeft w:val="0"/>
          <w:marRight w:val="0"/>
          <w:marTop w:val="0"/>
          <w:marBottom w:val="0"/>
          <w:divBdr>
            <w:top w:val="none" w:sz="0" w:space="0" w:color="auto"/>
            <w:left w:val="none" w:sz="0" w:space="0" w:color="auto"/>
            <w:bottom w:val="none" w:sz="0" w:space="0" w:color="auto"/>
            <w:right w:val="none" w:sz="0" w:space="0" w:color="auto"/>
          </w:divBdr>
        </w:div>
        <w:div w:id="1298531431">
          <w:marLeft w:val="0"/>
          <w:marRight w:val="0"/>
          <w:marTop w:val="0"/>
          <w:marBottom w:val="0"/>
          <w:divBdr>
            <w:top w:val="none" w:sz="0" w:space="0" w:color="auto"/>
            <w:left w:val="none" w:sz="0" w:space="0" w:color="auto"/>
            <w:bottom w:val="none" w:sz="0" w:space="0" w:color="auto"/>
            <w:right w:val="none" w:sz="0" w:space="0" w:color="auto"/>
          </w:divBdr>
        </w:div>
        <w:div w:id="1593901878">
          <w:marLeft w:val="0"/>
          <w:marRight w:val="0"/>
          <w:marTop w:val="0"/>
          <w:marBottom w:val="0"/>
          <w:divBdr>
            <w:top w:val="none" w:sz="0" w:space="0" w:color="auto"/>
            <w:left w:val="none" w:sz="0" w:space="0" w:color="auto"/>
            <w:bottom w:val="none" w:sz="0" w:space="0" w:color="auto"/>
            <w:right w:val="none" w:sz="0" w:space="0" w:color="auto"/>
          </w:divBdr>
        </w:div>
        <w:div w:id="1663268194">
          <w:marLeft w:val="0"/>
          <w:marRight w:val="0"/>
          <w:marTop w:val="0"/>
          <w:marBottom w:val="0"/>
          <w:divBdr>
            <w:top w:val="none" w:sz="0" w:space="0" w:color="auto"/>
            <w:left w:val="none" w:sz="0" w:space="0" w:color="auto"/>
            <w:bottom w:val="none" w:sz="0" w:space="0" w:color="auto"/>
            <w:right w:val="none" w:sz="0" w:space="0" w:color="auto"/>
          </w:divBdr>
        </w:div>
      </w:divsChild>
    </w:div>
    <w:div w:id="1490443628">
      <w:bodyDiv w:val="1"/>
      <w:marLeft w:val="0"/>
      <w:marRight w:val="0"/>
      <w:marTop w:val="0"/>
      <w:marBottom w:val="0"/>
      <w:divBdr>
        <w:top w:val="none" w:sz="0" w:space="0" w:color="auto"/>
        <w:left w:val="none" w:sz="0" w:space="0" w:color="auto"/>
        <w:bottom w:val="none" w:sz="0" w:space="0" w:color="auto"/>
        <w:right w:val="none" w:sz="0" w:space="0" w:color="auto"/>
      </w:divBdr>
    </w:div>
    <w:div w:id="1495147772">
      <w:bodyDiv w:val="1"/>
      <w:marLeft w:val="0"/>
      <w:marRight w:val="0"/>
      <w:marTop w:val="0"/>
      <w:marBottom w:val="0"/>
      <w:divBdr>
        <w:top w:val="none" w:sz="0" w:space="0" w:color="auto"/>
        <w:left w:val="none" w:sz="0" w:space="0" w:color="auto"/>
        <w:bottom w:val="none" w:sz="0" w:space="0" w:color="auto"/>
        <w:right w:val="none" w:sz="0" w:space="0" w:color="auto"/>
      </w:divBdr>
      <w:divsChild>
        <w:div w:id="190608507">
          <w:marLeft w:val="0"/>
          <w:marRight w:val="0"/>
          <w:marTop w:val="0"/>
          <w:marBottom w:val="0"/>
          <w:divBdr>
            <w:top w:val="none" w:sz="0" w:space="0" w:color="auto"/>
            <w:left w:val="none" w:sz="0" w:space="0" w:color="auto"/>
            <w:bottom w:val="none" w:sz="0" w:space="0" w:color="auto"/>
            <w:right w:val="none" w:sz="0" w:space="0" w:color="auto"/>
          </w:divBdr>
        </w:div>
        <w:div w:id="415786195">
          <w:marLeft w:val="0"/>
          <w:marRight w:val="0"/>
          <w:marTop w:val="0"/>
          <w:marBottom w:val="0"/>
          <w:divBdr>
            <w:top w:val="none" w:sz="0" w:space="0" w:color="auto"/>
            <w:left w:val="none" w:sz="0" w:space="0" w:color="auto"/>
            <w:bottom w:val="none" w:sz="0" w:space="0" w:color="auto"/>
            <w:right w:val="none" w:sz="0" w:space="0" w:color="auto"/>
          </w:divBdr>
        </w:div>
        <w:div w:id="1053509075">
          <w:marLeft w:val="0"/>
          <w:marRight w:val="0"/>
          <w:marTop w:val="0"/>
          <w:marBottom w:val="0"/>
          <w:divBdr>
            <w:top w:val="none" w:sz="0" w:space="0" w:color="auto"/>
            <w:left w:val="none" w:sz="0" w:space="0" w:color="auto"/>
            <w:bottom w:val="none" w:sz="0" w:space="0" w:color="auto"/>
            <w:right w:val="none" w:sz="0" w:space="0" w:color="auto"/>
          </w:divBdr>
        </w:div>
        <w:div w:id="2057048609">
          <w:marLeft w:val="0"/>
          <w:marRight w:val="0"/>
          <w:marTop w:val="0"/>
          <w:marBottom w:val="0"/>
          <w:divBdr>
            <w:top w:val="none" w:sz="0" w:space="0" w:color="auto"/>
            <w:left w:val="none" w:sz="0" w:space="0" w:color="auto"/>
            <w:bottom w:val="none" w:sz="0" w:space="0" w:color="auto"/>
            <w:right w:val="none" w:sz="0" w:space="0" w:color="auto"/>
          </w:divBdr>
        </w:div>
      </w:divsChild>
    </w:div>
    <w:div w:id="1533420444">
      <w:bodyDiv w:val="1"/>
      <w:marLeft w:val="0"/>
      <w:marRight w:val="0"/>
      <w:marTop w:val="0"/>
      <w:marBottom w:val="0"/>
      <w:divBdr>
        <w:top w:val="none" w:sz="0" w:space="0" w:color="auto"/>
        <w:left w:val="none" w:sz="0" w:space="0" w:color="auto"/>
        <w:bottom w:val="none" w:sz="0" w:space="0" w:color="auto"/>
        <w:right w:val="none" w:sz="0" w:space="0" w:color="auto"/>
      </w:divBdr>
    </w:div>
    <w:div w:id="1540124207">
      <w:bodyDiv w:val="1"/>
      <w:marLeft w:val="0"/>
      <w:marRight w:val="0"/>
      <w:marTop w:val="0"/>
      <w:marBottom w:val="0"/>
      <w:divBdr>
        <w:top w:val="none" w:sz="0" w:space="0" w:color="auto"/>
        <w:left w:val="none" w:sz="0" w:space="0" w:color="auto"/>
        <w:bottom w:val="none" w:sz="0" w:space="0" w:color="auto"/>
        <w:right w:val="none" w:sz="0" w:space="0" w:color="auto"/>
      </w:divBdr>
    </w:div>
    <w:div w:id="1551725363">
      <w:bodyDiv w:val="1"/>
      <w:marLeft w:val="0"/>
      <w:marRight w:val="0"/>
      <w:marTop w:val="0"/>
      <w:marBottom w:val="0"/>
      <w:divBdr>
        <w:top w:val="none" w:sz="0" w:space="0" w:color="auto"/>
        <w:left w:val="none" w:sz="0" w:space="0" w:color="auto"/>
        <w:bottom w:val="none" w:sz="0" w:space="0" w:color="auto"/>
        <w:right w:val="none" w:sz="0" w:space="0" w:color="auto"/>
      </w:divBdr>
      <w:divsChild>
        <w:div w:id="510996646">
          <w:marLeft w:val="0"/>
          <w:marRight w:val="0"/>
          <w:marTop w:val="0"/>
          <w:marBottom w:val="0"/>
          <w:divBdr>
            <w:top w:val="none" w:sz="0" w:space="0" w:color="auto"/>
            <w:left w:val="none" w:sz="0" w:space="0" w:color="auto"/>
            <w:bottom w:val="none" w:sz="0" w:space="0" w:color="auto"/>
            <w:right w:val="none" w:sz="0" w:space="0" w:color="auto"/>
          </w:divBdr>
        </w:div>
        <w:div w:id="575172159">
          <w:marLeft w:val="0"/>
          <w:marRight w:val="0"/>
          <w:marTop w:val="0"/>
          <w:marBottom w:val="0"/>
          <w:divBdr>
            <w:top w:val="none" w:sz="0" w:space="0" w:color="auto"/>
            <w:left w:val="none" w:sz="0" w:space="0" w:color="auto"/>
            <w:bottom w:val="none" w:sz="0" w:space="0" w:color="auto"/>
            <w:right w:val="none" w:sz="0" w:space="0" w:color="auto"/>
          </w:divBdr>
        </w:div>
        <w:div w:id="1930429941">
          <w:marLeft w:val="0"/>
          <w:marRight w:val="0"/>
          <w:marTop w:val="0"/>
          <w:marBottom w:val="0"/>
          <w:divBdr>
            <w:top w:val="none" w:sz="0" w:space="0" w:color="auto"/>
            <w:left w:val="none" w:sz="0" w:space="0" w:color="auto"/>
            <w:bottom w:val="none" w:sz="0" w:space="0" w:color="auto"/>
            <w:right w:val="none" w:sz="0" w:space="0" w:color="auto"/>
          </w:divBdr>
        </w:div>
      </w:divsChild>
    </w:div>
    <w:div w:id="1559243270">
      <w:bodyDiv w:val="1"/>
      <w:marLeft w:val="0"/>
      <w:marRight w:val="0"/>
      <w:marTop w:val="0"/>
      <w:marBottom w:val="0"/>
      <w:divBdr>
        <w:top w:val="none" w:sz="0" w:space="0" w:color="auto"/>
        <w:left w:val="none" w:sz="0" w:space="0" w:color="auto"/>
        <w:bottom w:val="none" w:sz="0" w:space="0" w:color="auto"/>
        <w:right w:val="none" w:sz="0" w:space="0" w:color="auto"/>
      </w:divBdr>
      <w:divsChild>
        <w:div w:id="1163009966">
          <w:marLeft w:val="0"/>
          <w:marRight w:val="0"/>
          <w:marTop w:val="0"/>
          <w:marBottom w:val="0"/>
          <w:divBdr>
            <w:top w:val="none" w:sz="0" w:space="0" w:color="auto"/>
            <w:left w:val="none" w:sz="0" w:space="0" w:color="auto"/>
            <w:bottom w:val="none" w:sz="0" w:space="0" w:color="auto"/>
            <w:right w:val="none" w:sz="0" w:space="0" w:color="auto"/>
          </w:divBdr>
        </w:div>
        <w:div w:id="1349480895">
          <w:marLeft w:val="0"/>
          <w:marRight w:val="0"/>
          <w:marTop w:val="0"/>
          <w:marBottom w:val="0"/>
          <w:divBdr>
            <w:top w:val="none" w:sz="0" w:space="0" w:color="auto"/>
            <w:left w:val="none" w:sz="0" w:space="0" w:color="auto"/>
            <w:bottom w:val="none" w:sz="0" w:space="0" w:color="auto"/>
            <w:right w:val="none" w:sz="0" w:space="0" w:color="auto"/>
          </w:divBdr>
        </w:div>
      </w:divsChild>
    </w:div>
    <w:div w:id="1583679326">
      <w:bodyDiv w:val="1"/>
      <w:marLeft w:val="0"/>
      <w:marRight w:val="0"/>
      <w:marTop w:val="0"/>
      <w:marBottom w:val="0"/>
      <w:divBdr>
        <w:top w:val="none" w:sz="0" w:space="0" w:color="auto"/>
        <w:left w:val="none" w:sz="0" w:space="0" w:color="auto"/>
        <w:bottom w:val="none" w:sz="0" w:space="0" w:color="auto"/>
        <w:right w:val="none" w:sz="0" w:space="0" w:color="auto"/>
      </w:divBdr>
      <w:divsChild>
        <w:div w:id="129901522">
          <w:marLeft w:val="0"/>
          <w:marRight w:val="0"/>
          <w:marTop w:val="0"/>
          <w:marBottom w:val="0"/>
          <w:divBdr>
            <w:top w:val="none" w:sz="0" w:space="0" w:color="auto"/>
            <w:left w:val="none" w:sz="0" w:space="0" w:color="auto"/>
            <w:bottom w:val="none" w:sz="0" w:space="0" w:color="auto"/>
            <w:right w:val="none" w:sz="0" w:space="0" w:color="auto"/>
          </w:divBdr>
        </w:div>
        <w:div w:id="1423336607">
          <w:marLeft w:val="0"/>
          <w:marRight w:val="0"/>
          <w:marTop w:val="0"/>
          <w:marBottom w:val="0"/>
          <w:divBdr>
            <w:top w:val="none" w:sz="0" w:space="0" w:color="auto"/>
            <w:left w:val="none" w:sz="0" w:space="0" w:color="auto"/>
            <w:bottom w:val="none" w:sz="0" w:space="0" w:color="auto"/>
            <w:right w:val="none" w:sz="0" w:space="0" w:color="auto"/>
          </w:divBdr>
        </w:div>
      </w:divsChild>
    </w:div>
    <w:div w:id="1585147082">
      <w:bodyDiv w:val="1"/>
      <w:marLeft w:val="0"/>
      <w:marRight w:val="0"/>
      <w:marTop w:val="0"/>
      <w:marBottom w:val="0"/>
      <w:divBdr>
        <w:top w:val="none" w:sz="0" w:space="0" w:color="auto"/>
        <w:left w:val="none" w:sz="0" w:space="0" w:color="auto"/>
        <w:bottom w:val="none" w:sz="0" w:space="0" w:color="auto"/>
        <w:right w:val="none" w:sz="0" w:space="0" w:color="auto"/>
      </w:divBdr>
    </w:div>
    <w:div w:id="1626036574">
      <w:bodyDiv w:val="1"/>
      <w:marLeft w:val="0"/>
      <w:marRight w:val="0"/>
      <w:marTop w:val="0"/>
      <w:marBottom w:val="0"/>
      <w:divBdr>
        <w:top w:val="none" w:sz="0" w:space="0" w:color="auto"/>
        <w:left w:val="none" w:sz="0" w:space="0" w:color="auto"/>
        <w:bottom w:val="none" w:sz="0" w:space="0" w:color="auto"/>
        <w:right w:val="none" w:sz="0" w:space="0" w:color="auto"/>
      </w:divBdr>
      <w:divsChild>
        <w:div w:id="575749043">
          <w:marLeft w:val="0"/>
          <w:marRight w:val="0"/>
          <w:marTop w:val="0"/>
          <w:marBottom w:val="0"/>
          <w:divBdr>
            <w:top w:val="none" w:sz="0" w:space="0" w:color="auto"/>
            <w:left w:val="none" w:sz="0" w:space="0" w:color="auto"/>
            <w:bottom w:val="none" w:sz="0" w:space="0" w:color="auto"/>
            <w:right w:val="none" w:sz="0" w:space="0" w:color="auto"/>
          </w:divBdr>
          <w:divsChild>
            <w:div w:id="256065531">
              <w:marLeft w:val="0"/>
              <w:marRight w:val="0"/>
              <w:marTop w:val="0"/>
              <w:marBottom w:val="0"/>
              <w:divBdr>
                <w:top w:val="none" w:sz="0" w:space="0" w:color="auto"/>
                <w:left w:val="none" w:sz="0" w:space="0" w:color="auto"/>
                <w:bottom w:val="none" w:sz="0" w:space="0" w:color="auto"/>
                <w:right w:val="none" w:sz="0" w:space="0" w:color="auto"/>
              </w:divBdr>
            </w:div>
            <w:div w:id="462695685">
              <w:marLeft w:val="0"/>
              <w:marRight w:val="0"/>
              <w:marTop w:val="0"/>
              <w:marBottom w:val="0"/>
              <w:divBdr>
                <w:top w:val="none" w:sz="0" w:space="0" w:color="auto"/>
                <w:left w:val="none" w:sz="0" w:space="0" w:color="auto"/>
                <w:bottom w:val="none" w:sz="0" w:space="0" w:color="auto"/>
                <w:right w:val="none" w:sz="0" w:space="0" w:color="auto"/>
              </w:divBdr>
            </w:div>
            <w:div w:id="507598641">
              <w:marLeft w:val="0"/>
              <w:marRight w:val="0"/>
              <w:marTop w:val="0"/>
              <w:marBottom w:val="0"/>
              <w:divBdr>
                <w:top w:val="none" w:sz="0" w:space="0" w:color="auto"/>
                <w:left w:val="none" w:sz="0" w:space="0" w:color="auto"/>
                <w:bottom w:val="none" w:sz="0" w:space="0" w:color="auto"/>
                <w:right w:val="none" w:sz="0" w:space="0" w:color="auto"/>
              </w:divBdr>
            </w:div>
            <w:div w:id="526411710">
              <w:marLeft w:val="0"/>
              <w:marRight w:val="0"/>
              <w:marTop w:val="0"/>
              <w:marBottom w:val="0"/>
              <w:divBdr>
                <w:top w:val="none" w:sz="0" w:space="0" w:color="auto"/>
                <w:left w:val="none" w:sz="0" w:space="0" w:color="auto"/>
                <w:bottom w:val="none" w:sz="0" w:space="0" w:color="auto"/>
                <w:right w:val="none" w:sz="0" w:space="0" w:color="auto"/>
              </w:divBdr>
            </w:div>
            <w:div w:id="575020347">
              <w:marLeft w:val="0"/>
              <w:marRight w:val="0"/>
              <w:marTop w:val="0"/>
              <w:marBottom w:val="0"/>
              <w:divBdr>
                <w:top w:val="none" w:sz="0" w:space="0" w:color="auto"/>
                <w:left w:val="none" w:sz="0" w:space="0" w:color="auto"/>
                <w:bottom w:val="none" w:sz="0" w:space="0" w:color="auto"/>
                <w:right w:val="none" w:sz="0" w:space="0" w:color="auto"/>
              </w:divBdr>
            </w:div>
            <w:div w:id="595945032">
              <w:marLeft w:val="0"/>
              <w:marRight w:val="0"/>
              <w:marTop w:val="0"/>
              <w:marBottom w:val="0"/>
              <w:divBdr>
                <w:top w:val="none" w:sz="0" w:space="0" w:color="auto"/>
                <w:left w:val="none" w:sz="0" w:space="0" w:color="auto"/>
                <w:bottom w:val="none" w:sz="0" w:space="0" w:color="auto"/>
                <w:right w:val="none" w:sz="0" w:space="0" w:color="auto"/>
              </w:divBdr>
            </w:div>
            <w:div w:id="749037670">
              <w:marLeft w:val="0"/>
              <w:marRight w:val="0"/>
              <w:marTop w:val="0"/>
              <w:marBottom w:val="0"/>
              <w:divBdr>
                <w:top w:val="none" w:sz="0" w:space="0" w:color="auto"/>
                <w:left w:val="none" w:sz="0" w:space="0" w:color="auto"/>
                <w:bottom w:val="none" w:sz="0" w:space="0" w:color="auto"/>
                <w:right w:val="none" w:sz="0" w:space="0" w:color="auto"/>
              </w:divBdr>
            </w:div>
            <w:div w:id="1013531502">
              <w:marLeft w:val="0"/>
              <w:marRight w:val="0"/>
              <w:marTop w:val="0"/>
              <w:marBottom w:val="0"/>
              <w:divBdr>
                <w:top w:val="none" w:sz="0" w:space="0" w:color="auto"/>
                <w:left w:val="none" w:sz="0" w:space="0" w:color="auto"/>
                <w:bottom w:val="none" w:sz="0" w:space="0" w:color="auto"/>
                <w:right w:val="none" w:sz="0" w:space="0" w:color="auto"/>
              </w:divBdr>
            </w:div>
            <w:div w:id="1157258271">
              <w:marLeft w:val="0"/>
              <w:marRight w:val="0"/>
              <w:marTop w:val="0"/>
              <w:marBottom w:val="0"/>
              <w:divBdr>
                <w:top w:val="none" w:sz="0" w:space="0" w:color="auto"/>
                <w:left w:val="none" w:sz="0" w:space="0" w:color="auto"/>
                <w:bottom w:val="none" w:sz="0" w:space="0" w:color="auto"/>
                <w:right w:val="none" w:sz="0" w:space="0" w:color="auto"/>
              </w:divBdr>
            </w:div>
            <w:div w:id="1471363624">
              <w:marLeft w:val="0"/>
              <w:marRight w:val="0"/>
              <w:marTop w:val="0"/>
              <w:marBottom w:val="0"/>
              <w:divBdr>
                <w:top w:val="none" w:sz="0" w:space="0" w:color="auto"/>
                <w:left w:val="none" w:sz="0" w:space="0" w:color="auto"/>
                <w:bottom w:val="none" w:sz="0" w:space="0" w:color="auto"/>
                <w:right w:val="none" w:sz="0" w:space="0" w:color="auto"/>
              </w:divBdr>
            </w:div>
            <w:div w:id="1811241335">
              <w:marLeft w:val="0"/>
              <w:marRight w:val="0"/>
              <w:marTop w:val="0"/>
              <w:marBottom w:val="0"/>
              <w:divBdr>
                <w:top w:val="none" w:sz="0" w:space="0" w:color="auto"/>
                <w:left w:val="none" w:sz="0" w:space="0" w:color="auto"/>
                <w:bottom w:val="none" w:sz="0" w:space="0" w:color="auto"/>
                <w:right w:val="none" w:sz="0" w:space="0" w:color="auto"/>
              </w:divBdr>
            </w:div>
            <w:div w:id="1915238611">
              <w:marLeft w:val="0"/>
              <w:marRight w:val="0"/>
              <w:marTop w:val="0"/>
              <w:marBottom w:val="0"/>
              <w:divBdr>
                <w:top w:val="none" w:sz="0" w:space="0" w:color="auto"/>
                <w:left w:val="none" w:sz="0" w:space="0" w:color="auto"/>
                <w:bottom w:val="none" w:sz="0" w:space="0" w:color="auto"/>
                <w:right w:val="none" w:sz="0" w:space="0" w:color="auto"/>
              </w:divBdr>
            </w:div>
            <w:div w:id="1954633867">
              <w:marLeft w:val="0"/>
              <w:marRight w:val="0"/>
              <w:marTop w:val="0"/>
              <w:marBottom w:val="0"/>
              <w:divBdr>
                <w:top w:val="none" w:sz="0" w:space="0" w:color="auto"/>
                <w:left w:val="none" w:sz="0" w:space="0" w:color="auto"/>
                <w:bottom w:val="none" w:sz="0" w:space="0" w:color="auto"/>
                <w:right w:val="none" w:sz="0" w:space="0" w:color="auto"/>
              </w:divBdr>
            </w:div>
            <w:div w:id="2030520735">
              <w:marLeft w:val="0"/>
              <w:marRight w:val="0"/>
              <w:marTop w:val="0"/>
              <w:marBottom w:val="0"/>
              <w:divBdr>
                <w:top w:val="none" w:sz="0" w:space="0" w:color="auto"/>
                <w:left w:val="none" w:sz="0" w:space="0" w:color="auto"/>
                <w:bottom w:val="none" w:sz="0" w:space="0" w:color="auto"/>
                <w:right w:val="none" w:sz="0" w:space="0" w:color="auto"/>
              </w:divBdr>
            </w:div>
            <w:div w:id="2057002106">
              <w:marLeft w:val="0"/>
              <w:marRight w:val="0"/>
              <w:marTop w:val="0"/>
              <w:marBottom w:val="0"/>
              <w:divBdr>
                <w:top w:val="none" w:sz="0" w:space="0" w:color="auto"/>
                <w:left w:val="none" w:sz="0" w:space="0" w:color="auto"/>
                <w:bottom w:val="none" w:sz="0" w:space="0" w:color="auto"/>
                <w:right w:val="none" w:sz="0" w:space="0" w:color="auto"/>
              </w:divBdr>
            </w:div>
            <w:div w:id="2064596285">
              <w:marLeft w:val="0"/>
              <w:marRight w:val="0"/>
              <w:marTop w:val="0"/>
              <w:marBottom w:val="0"/>
              <w:divBdr>
                <w:top w:val="none" w:sz="0" w:space="0" w:color="auto"/>
                <w:left w:val="none" w:sz="0" w:space="0" w:color="auto"/>
                <w:bottom w:val="none" w:sz="0" w:space="0" w:color="auto"/>
                <w:right w:val="none" w:sz="0" w:space="0" w:color="auto"/>
              </w:divBdr>
            </w:div>
            <w:div w:id="2109302478">
              <w:marLeft w:val="0"/>
              <w:marRight w:val="0"/>
              <w:marTop w:val="0"/>
              <w:marBottom w:val="0"/>
              <w:divBdr>
                <w:top w:val="none" w:sz="0" w:space="0" w:color="auto"/>
                <w:left w:val="none" w:sz="0" w:space="0" w:color="auto"/>
                <w:bottom w:val="none" w:sz="0" w:space="0" w:color="auto"/>
                <w:right w:val="none" w:sz="0" w:space="0" w:color="auto"/>
              </w:divBdr>
            </w:div>
            <w:div w:id="213031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7082224">
      <w:bodyDiv w:val="1"/>
      <w:marLeft w:val="0"/>
      <w:marRight w:val="0"/>
      <w:marTop w:val="0"/>
      <w:marBottom w:val="0"/>
      <w:divBdr>
        <w:top w:val="none" w:sz="0" w:space="0" w:color="auto"/>
        <w:left w:val="none" w:sz="0" w:space="0" w:color="auto"/>
        <w:bottom w:val="none" w:sz="0" w:space="0" w:color="auto"/>
        <w:right w:val="none" w:sz="0" w:space="0" w:color="auto"/>
      </w:divBdr>
      <w:divsChild>
        <w:div w:id="21178096">
          <w:marLeft w:val="0"/>
          <w:marRight w:val="0"/>
          <w:marTop w:val="0"/>
          <w:marBottom w:val="0"/>
          <w:divBdr>
            <w:top w:val="none" w:sz="0" w:space="0" w:color="auto"/>
            <w:left w:val="none" w:sz="0" w:space="0" w:color="auto"/>
            <w:bottom w:val="none" w:sz="0" w:space="0" w:color="auto"/>
            <w:right w:val="none" w:sz="0" w:space="0" w:color="auto"/>
          </w:divBdr>
        </w:div>
        <w:div w:id="91363613">
          <w:marLeft w:val="0"/>
          <w:marRight w:val="0"/>
          <w:marTop w:val="0"/>
          <w:marBottom w:val="0"/>
          <w:divBdr>
            <w:top w:val="none" w:sz="0" w:space="0" w:color="auto"/>
            <w:left w:val="none" w:sz="0" w:space="0" w:color="auto"/>
            <w:bottom w:val="none" w:sz="0" w:space="0" w:color="auto"/>
            <w:right w:val="none" w:sz="0" w:space="0" w:color="auto"/>
          </w:divBdr>
        </w:div>
        <w:div w:id="314534607">
          <w:marLeft w:val="0"/>
          <w:marRight w:val="0"/>
          <w:marTop w:val="0"/>
          <w:marBottom w:val="0"/>
          <w:divBdr>
            <w:top w:val="none" w:sz="0" w:space="0" w:color="auto"/>
            <w:left w:val="none" w:sz="0" w:space="0" w:color="auto"/>
            <w:bottom w:val="none" w:sz="0" w:space="0" w:color="auto"/>
            <w:right w:val="none" w:sz="0" w:space="0" w:color="auto"/>
          </w:divBdr>
        </w:div>
        <w:div w:id="838427878">
          <w:marLeft w:val="0"/>
          <w:marRight w:val="0"/>
          <w:marTop w:val="0"/>
          <w:marBottom w:val="0"/>
          <w:divBdr>
            <w:top w:val="none" w:sz="0" w:space="0" w:color="auto"/>
            <w:left w:val="none" w:sz="0" w:space="0" w:color="auto"/>
            <w:bottom w:val="none" w:sz="0" w:space="0" w:color="auto"/>
            <w:right w:val="none" w:sz="0" w:space="0" w:color="auto"/>
          </w:divBdr>
        </w:div>
        <w:div w:id="943148961">
          <w:marLeft w:val="0"/>
          <w:marRight w:val="0"/>
          <w:marTop w:val="0"/>
          <w:marBottom w:val="0"/>
          <w:divBdr>
            <w:top w:val="none" w:sz="0" w:space="0" w:color="auto"/>
            <w:left w:val="none" w:sz="0" w:space="0" w:color="auto"/>
            <w:bottom w:val="none" w:sz="0" w:space="0" w:color="auto"/>
            <w:right w:val="none" w:sz="0" w:space="0" w:color="auto"/>
          </w:divBdr>
        </w:div>
        <w:div w:id="1363046330">
          <w:marLeft w:val="0"/>
          <w:marRight w:val="0"/>
          <w:marTop w:val="0"/>
          <w:marBottom w:val="0"/>
          <w:divBdr>
            <w:top w:val="none" w:sz="0" w:space="0" w:color="auto"/>
            <w:left w:val="none" w:sz="0" w:space="0" w:color="auto"/>
            <w:bottom w:val="none" w:sz="0" w:space="0" w:color="auto"/>
            <w:right w:val="none" w:sz="0" w:space="0" w:color="auto"/>
          </w:divBdr>
        </w:div>
        <w:div w:id="1619871922">
          <w:marLeft w:val="0"/>
          <w:marRight w:val="0"/>
          <w:marTop w:val="0"/>
          <w:marBottom w:val="0"/>
          <w:divBdr>
            <w:top w:val="none" w:sz="0" w:space="0" w:color="auto"/>
            <w:left w:val="none" w:sz="0" w:space="0" w:color="auto"/>
            <w:bottom w:val="none" w:sz="0" w:space="0" w:color="auto"/>
            <w:right w:val="none" w:sz="0" w:space="0" w:color="auto"/>
          </w:divBdr>
        </w:div>
        <w:div w:id="1670987341">
          <w:marLeft w:val="0"/>
          <w:marRight w:val="0"/>
          <w:marTop w:val="0"/>
          <w:marBottom w:val="0"/>
          <w:divBdr>
            <w:top w:val="none" w:sz="0" w:space="0" w:color="auto"/>
            <w:left w:val="none" w:sz="0" w:space="0" w:color="auto"/>
            <w:bottom w:val="none" w:sz="0" w:space="0" w:color="auto"/>
            <w:right w:val="none" w:sz="0" w:space="0" w:color="auto"/>
          </w:divBdr>
        </w:div>
        <w:div w:id="1712073887">
          <w:marLeft w:val="0"/>
          <w:marRight w:val="0"/>
          <w:marTop w:val="0"/>
          <w:marBottom w:val="0"/>
          <w:divBdr>
            <w:top w:val="none" w:sz="0" w:space="0" w:color="auto"/>
            <w:left w:val="none" w:sz="0" w:space="0" w:color="auto"/>
            <w:bottom w:val="none" w:sz="0" w:space="0" w:color="auto"/>
            <w:right w:val="none" w:sz="0" w:space="0" w:color="auto"/>
          </w:divBdr>
        </w:div>
        <w:div w:id="1945260228">
          <w:marLeft w:val="0"/>
          <w:marRight w:val="0"/>
          <w:marTop w:val="0"/>
          <w:marBottom w:val="0"/>
          <w:divBdr>
            <w:top w:val="none" w:sz="0" w:space="0" w:color="auto"/>
            <w:left w:val="none" w:sz="0" w:space="0" w:color="auto"/>
            <w:bottom w:val="none" w:sz="0" w:space="0" w:color="auto"/>
            <w:right w:val="none" w:sz="0" w:space="0" w:color="auto"/>
          </w:divBdr>
        </w:div>
      </w:divsChild>
    </w:div>
    <w:div w:id="1647201265">
      <w:bodyDiv w:val="1"/>
      <w:marLeft w:val="0"/>
      <w:marRight w:val="0"/>
      <w:marTop w:val="0"/>
      <w:marBottom w:val="0"/>
      <w:divBdr>
        <w:top w:val="none" w:sz="0" w:space="0" w:color="auto"/>
        <w:left w:val="none" w:sz="0" w:space="0" w:color="auto"/>
        <w:bottom w:val="none" w:sz="0" w:space="0" w:color="auto"/>
        <w:right w:val="none" w:sz="0" w:space="0" w:color="auto"/>
      </w:divBdr>
    </w:div>
    <w:div w:id="1671910389">
      <w:bodyDiv w:val="1"/>
      <w:marLeft w:val="0"/>
      <w:marRight w:val="0"/>
      <w:marTop w:val="0"/>
      <w:marBottom w:val="0"/>
      <w:divBdr>
        <w:top w:val="none" w:sz="0" w:space="0" w:color="auto"/>
        <w:left w:val="none" w:sz="0" w:space="0" w:color="auto"/>
        <w:bottom w:val="none" w:sz="0" w:space="0" w:color="auto"/>
        <w:right w:val="none" w:sz="0" w:space="0" w:color="auto"/>
      </w:divBdr>
      <w:divsChild>
        <w:div w:id="168374974">
          <w:marLeft w:val="0"/>
          <w:marRight w:val="0"/>
          <w:marTop w:val="0"/>
          <w:marBottom w:val="0"/>
          <w:divBdr>
            <w:top w:val="none" w:sz="0" w:space="0" w:color="auto"/>
            <w:left w:val="none" w:sz="0" w:space="0" w:color="auto"/>
            <w:bottom w:val="none" w:sz="0" w:space="0" w:color="auto"/>
            <w:right w:val="none" w:sz="0" w:space="0" w:color="auto"/>
          </w:divBdr>
        </w:div>
        <w:div w:id="567227478">
          <w:marLeft w:val="0"/>
          <w:marRight w:val="0"/>
          <w:marTop w:val="0"/>
          <w:marBottom w:val="0"/>
          <w:divBdr>
            <w:top w:val="none" w:sz="0" w:space="0" w:color="auto"/>
            <w:left w:val="none" w:sz="0" w:space="0" w:color="auto"/>
            <w:bottom w:val="none" w:sz="0" w:space="0" w:color="auto"/>
            <w:right w:val="none" w:sz="0" w:space="0" w:color="auto"/>
          </w:divBdr>
        </w:div>
        <w:div w:id="668213235">
          <w:marLeft w:val="0"/>
          <w:marRight w:val="0"/>
          <w:marTop w:val="0"/>
          <w:marBottom w:val="0"/>
          <w:divBdr>
            <w:top w:val="none" w:sz="0" w:space="0" w:color="auto"/>
            <w:left w:val="none" w:sz="0" w:space="0" w:color="auto"/>
            <w:bottom w:val="none" w:sz="0" w:space="0" w:color="auto"/>
            <w:right w:val="none" w:sz="0" w:space="0" w:color="auto"/>
          </w:divBdr>
        </w:div>
        <w:div w:id="736129134">
          <w:marLeft w:val="0"/>
          <w:marRight w:val="0"/>
          <w:marTop w:val="0"/>
          <w:marBottom w:val="0"/>
          <w:divBdr>
            <w:top w:val="none" w:sz="0" w:space="0" w:color="auto"/>
            <w:left w:val="none" w:sz="0" w:space="0" w:color="auto"/>
            <w:bottom w:val="none" w:sz="0" w:space="0" w:color="auto"/>
            <w:right w:val="none" w:sz="0" w:space="0" w:color="auto"/>
          </w:divBdr>
        </w:div>
        <w:div w:id="982855334">
          <w:marLeft w:val="0"/>
          <w:marRight w:val="0"/>
          <w:marTop w:val="0"/>
          <w:marBottom w:val="0"/>
          <w:divBdr>
            <w:top w:val="none" w:sz="0" w:space="0" w:color="auto"/>
            <w:left w:val="none" w:sz="0" w:space="0" w:color="auto"/>
            <w:bottom w:val="none" w:sz="0" w:space="0" w:color="auto"/>
            <w:right w:val="none" w:sz="0" w:space="0" w:color="auto"/>
          </w:divBdr>
        </w:div>
        <w:div w:id="1423142436">
          <w:marLeft w:val="0"/>
          <w:marRight w:val="0"/>
          <w:marTop w:val="0"/>
          <w:marBottom w:val="0"/>
          <w:divBdr>
            <w:top w:val="none" w:sz="0" w:space="0" w:color="auto"/>
            <w:left w:val="none" w:sz="0" w:space="0" w:color="auto"/>
            <w:bottom w:val="none" w:sz="0" w:space="0" w:color="auto"/>
            <w:right w:val="none" w:sz="0" w:space="0" w:color="auto"/>
          </w:divBdr>
        </w:div>
        <w:div w:id="2023315126">
          <w:marLeft w:val="0"/>
          <w:marRight w:val="0"/>
          <w:marTop w:val="0"/>
          <w:marBottom w:val="0"/>
          <w:divBdr>
            <w:top w:val="none" w:sz="0" w:space="0" w:color="auto"/>
            <w:left w:val="none" w:sz="0" w:space="0" w:color="auto"/>
            <w:bottom w:val="none" w:sz="0" w:space="0" w:color="auto"/>
            <w:right w:val="none" w:sz="0" w:space="0" w:color="auto"/>
          </w:divBdr>
        </w:div>
      </w:divsChild>
    </w:div>
    <w:div w:id="1738163000">
      <w:bodyDiv w:val="1"/>
      <w:marLeft w:val="0"/>
      <w:marRight w:val="0"/>
      <w:marTop w:val="0"/>
      <w:marBottom w:val="0"/>
      <w:divBdr>
        <w:top w:val="none" w:sz="0" w:space="0" w:color="auto"/>
        <w:left w:val="none" w:sz="0" w:space="0" w:color="auto"/>
        <w:bottom w:val="none" w:sz="0" w:space="0" w:color="auto"/>
        <w:right w:val="none" w:sz="0" w:space="0" w:color="auto"/>
      </w:divBdr>
      <w:divsChild>
        <w:div w:id="143355917">
          <w:marLeft w:val="0"/>
          <w:marRight w:val="0"/>
          <w:marTop w:val="0"/>
          <w:marBottom w:val="0"/>
          <w:divBdr>
            <w:top w:val="none" w:sz="0" w:space="0" w:color="auto"/>
            <w:left w:val="none" w:sz="0" w:space="0" w:color="auto"/>
            <w:bottom w:val="none" w:sz="0" w:space="0" w:color="auto"/>
            <w:right w:val="none" w:sz="0" w:space="0" w:color="auto"/>
          </w:divBdr>
        </w:div>
        <w:div w:id="282805125">
          <w:marLeft w:val="0"/>
          <w:marRight w:val="0"/>
          <w:marTop w:val="0"/>
          <w:marBottom w:val="0"/>
          <w:divBdr>
            <w:top w:val="none" w:sz="0" w:space="0" w:color="auto"/>
            <w:left w:val="none" w:sz="0" w:space="0" w:color="auto"/>
            <w:bottom w:val="none" w:sz="0" w:space="0" w:color="auto"/>
            <w:right w:val="none" w:sz="0" w:space="0" w:color="auto"/>
          </w:divBdr>
        </w:div>
        <w:div w:id="326981161">
          <w:marLeft w:val="0"/>
          <w:marRight w:val="0"/>
          <w:marTop w:val="0"/>
          <w:marBottom w:val="0"/>
          <w:divBdr>
            <w:top w:val="none" w:sz="0" w:space="0" w:color="auto"/>
            <w:left w:val="none" w:sz="0" w:space="0" w:color="auto"/>
            <w:bottom w:val="none" w:sz="0" w:space="0" w:color="auto"/>
            <w:right w:val="none" w:sz="0" w:space="0" w:color="auto"/>
          </w:divBdr>
        </w:div>
        <w:div w:id="518007802">
          <w:marLeft w:val="0"/>
          <w:marRight w:val="0"/>
          <w:marTop w:val="0"/>
          <w:marBottom w:val="0"/>
          <w:divBdr>
            <w:top w:val="none" w:sz="0" w:space="0" w:color="auto"/>
            <w:left w:val="none" w:sz="0" w:space="0" w:color="auto"/>
            <w:bottom w:val="none" w:sz="0" w:space="0" w:color="auto"/>
            <w:right w:val="none" w:sz="0" w:space="0" w:color="auto"/>
          </w:divBdr>
        </w:div>
        <w:div w:id="531841785">
          <w:marLeft w:val="0"/>
          <w:marRight w:val="0"/>
          <w:marTop w:val="0"/>
          <w:marBottom w:val="0"/>
          <w:divBdr>
            <w:top w:val="none" w:sz="0" w:space="0" w:color="auto"/>
            <w:left w:val="none" w:sz="0" w:space="0" w:color="auto"/>
            <w:bottom w:val="none" w:sz="0" w:space="0" w:color="auto"/>
            <w:right w:val="none" w:sz="0" w:space="0" w:color="auto"/>
          </w:divBdr>
        </w:div>
        <w:div w:id="630289488">
          <w:marLeft w:val="0"/>
          <w:marRight w:val="0"/>
          <w:marTop w:val="0"/>
          <w:marBottom w:val="0"/>
          <w:divBdr>
            <w:top w:val="none" w:sz="0" w:space="0" w:color="auto"/>
            <w:left w:val="none" w:sz="0" w:space="0" w:color="auto"/>
            <w:bottom w:val="none" w:sz="0" w:space="0" w:color="auto"/>
            <w:right w:val="none" w:sz="0" w:space="0" w:color="auto"/>
          </w:divBdr>
        </w:div>
        <w:div w:id="646397269">
          <w:marLeft w:val="0"/>
          <w:marRight w:val="0"/>
          <w:marTop w:val="0"/>
          <w:marBottom w:val="0"/>
          <w:divBdr>
            <w:top w:val="none" w:sz="0" w:space="0" w:color="auto"/>
            <w:left w:val="none" w:sz="0" w:space="0" w:color="auto"/>
            <w:bottom w:val="none" w:sz="0" w:space="0" w:color="auto"/>
            <w:right w:val="none" w:sz="0" w:space="0" w:color="auto"/>
          </w:divBdr>
        </w:div>
        <w:div w:id="653877584">
          <w:marLeft w:val="0"/>
          <w:marRight w:val="0"/>
          <w:marTop w:val="0"/>
          <w:marBottom w:val="0"/>
          <w:divBdr>
            <w:top w:val="none" w:sz="0" w:space="0" w:color="auto"/>
            <w:left w:val="none" w:sz="0" w:space="0" w:color="auto"/>
            <w:bottom w:val="none" w:sz="0" w:space="0" w:color="auto"/>
            <w:right w:val="none" w:sz="0" w:space="0" w:color="auto"/>
          </w:divBdr>
        </w:div>
        <w:div w:id="728844149">
          <w:marLeft w:val="0"/>
          <w:marRight w:val="0"/>
          <w:marTop w:val="0"/>
          <w:marBottom w:val="0"/>
          <w:divBdr>
            <w:top w:val="none" w:sz="0" w:space="0" w:color="auto"/>
            <w:left w:val="none" w:sz="0" w:space="0" w:color="auto"/>
            <w:bottom w:val="none" w:sz="0" w:space="0" w:color="auto"/>
            <w:right w:val="none" w:sz="0" w:space="0" w:color="auto"/>
          </w:divBdr>
        </w:div>
        <w:div w:id="762919681">
          <w:marLeft w:val="0"/>
          <w:marRight w:val="0"/>
          <w:marTop w:val="0"/>
          <w:marBottom w:val="0"/>
          <w:divBdr>
            <w:top w:val="none" w:sz="0" w:space="0" w:color="auto"/>
            <w:left w:val="none" w:sz="0" w:space="0" w:color="auto"/>
            <w:bottom w:val="none" w:sz="0" w:space="0" w:color="auto"/>
            <w:right w:val="none" w:sz="0" w:space="0" w:color="auto"/>
          </w:divBdr>
        </w:div>
        <w:div w:id="796529926">
          <w:marLeft w:val="0"/>
          <w:marRight w:val="0"/>
          <w:marTop w:val="0"/>
          <w:marBottom w:val="0"/>
          <w:divBdr>
            <w:top w:val="none" w:sz="0" w:space="0" w:color="auto"/>
            <w:left w:val="none" w:sz="0" w:space="0" w:color="auto"/>
            <w:bottom w:val="none" w:sz="0" w:space="0" w:color="auto"/>
            <w:right w:val="none" w:sz="0" w:space="0" w:color="auto"/>
          </w:divBdr>
        </w:div>
        <w:div w:id="868371391">
          <w:marLeft w:val="0"/>
          <w:marRight w:val="0"/>
          <w:marTop w:val="0"/>
          <w:marBottom w:val="0"/>
          <w:divBdr>
            <w:top w:val="none" w:sz="0" w:space="0" w:color="auto"/>
            <w:left w:val="none" w:sz="0" w:space="0" w:color="auto"/>
            <w:bottom w:val="none" w:sz="0" w:space="0" w:color="auto"/>
            <w:right w:val="none" w:sz="0" w:space="0" w:color="auto"/>
          </w:divBdr>
        </w:div>
        <w:div w:id="909000058">
          <w:marLeft w:val="0"/>
          <w:marRight w:val="0"/>
          <w:marTop w:val="0"/>
          <w:marBottom w:val="0"/>
          <w:divBdr>
            <w:top w:val="none" w:sz="0" w:space="0" w:color="auto"/>
            <w:left w:val="none" w:sz="0" w:space="0" w:color="auto"/>
            <w:bottom w:val="none" w:sz="0" w:space="0" w:color="auto"/>
            <w:right w:val="none" w:sz="0" w:space="0" w:color="auto"/>
          </w:divBdr>
        </w:div>
        <w:div w:id="917328108">
          <w:marLeft w:val="0"/>
          <w:marRight w:val="0"/>
          <w:marTop w:val="0"/>
          <w:marBottom w:val="0"/>
          <w:divBdr>
            <w:top w:val="none" w:sz="0" w:space="0" w:color="auto"/>
            <w:left w:val="none" w:sz="0" w:space="0" w:color="auto"/>
            <w:bottom w:val="none" w:sz="0" w:space="0" w:color="auto"/>
            <w:right w:val="none" w:sz="0" w:space="0" w:color="auto"/>
          </w:divBdr>
        </w:div>
        <w:div w:id="953709694">
          <w:marLeft w:val="0"/>
          <w:marRight w:val="0"/>
          <w:marTop w:val="0"/>
          <w:marBottom w:val="0"/>
          <w:divBdr>
            <w:top w:val="none" w:sz="0" w:space="0" w:color="auto"/>
            <w:left w:val="none" w:sz="0" w:space="0" w:color="auto"/>
            <w:bottom w:val="none" w:sz="0" w:space="0" w:color="auto"/>
            <w:right w:val="none" w:sz="0" w:space="0" w:color="auto"/>
          </w:divBdr>
        </w:div>
        <w:div w:id="978875176">
          <w:marLeft w:val="0"/>
          <w:marRight w:val="0"/>
          <w:marTop w:val="0"/>
          <w:marBottom w:val="0"/>
          <w:divBdr>
            <w:top w:val="none" w:sz="0" w:space="0" w:color="auto"/>
            <w:left w:val="none" w:sz="0" w:space="0" w:color="auto"/>
            <w:bottom w:val="none" w:sz="0" w:space="0" w:color="auto"/>
            <w:right w:val="none" w:sz="0" w:space="0" w:color="auto"/>
          </w:divBdr>
        </w:div>
        <w:div w:id="1017971610">
          <w:marLeft w:val="0"/>
          <w:marRight w:val="0"/>
          <w:marTop w:val="0"/>
          <w:marBottom w:val="0"/>
          <w:divBdr>
            <w:top w:val="none" w:sz="0" w:space="0" w:color="auto"/>
            <w:left w:val="none" w:sz="0" w:space="0" w:color="auto"/>
            <w:bottom w:val="none" w:sz="0" w:space="0" w:color="auto"/>
            <w:right w:val="none" w:sz="0" w:space="0" w:color="auto"/>
          </w:divBdr>
        </w:div>
        <w:div w:id="1075467409">
          <w:marLeft w:val="0"/>
          <w:marRight w:val="0"/>
          <w:marTop w:val="0"/>
          <w:marBottom w:val="0"/>
          <w:divBdr>
            <w:top w:val="none" w:sz="0" w:space="0" w:color="auto"/>
            <w:left w:val="none" w:sz="0" w:space="0" w:color="auto"/>
            <w:bottom w:val="none" w:sz="0" w:space="0" w:color="auto"/>
            <w:right w:val="none" w:sz="0" w:space="0" w:color="auto"/>
          </w:divBdr>
        </w:div>
        <w:div w:id="1087850399">
          <w:marLeft w:val="0"/>
          <w:marRight w:val="0"/>
          <w:marTop w:val="0"/>
          <w:marBottom w:val="0"/>
          <w:divBdr>
            <w:top w:val="none" w:sz="0" w:space="0" w:color="auto"/>
            <w:left w:val="none" w:sz="0" w:space="0" w:color="auto"/>
            <w:bottom w:val="none" w:sz="0" w:space="0" w:color="auto"/>
            <w:right w:val="none" w:sz="0" w:space="0" w:color="auto"/>
          </w:divBdr>
        </w:div>
        <w:div w:id="1156187515">
          <w:marLeft w:val="0"/>
          <w:marRight w:val="0"/>
          <w:marTop w:val="0"/>
          <w:marBottom w:val="0"/>
          <w:divBdr>
            <w:top w:val="none" w:sz="0" w:space="0" w:color="auto"/>
            <w:left w:val="none" w:sz="0" w:space="0" w:color="auto"/>
            <w:bottom w:val="none" w:sz="0" w:space="0" w:color="auto"/>
            <w:right w:val="none" w:sz="0" w:space="0" w:color="auto"/>
          </w:divBdr>
        </w:div>
        <w:div w:id="1195314346">
          <w:marLeft w:val="0"/>
          <w:marRight w:val="0"/>
          <w:marTop w:val="0"/>
          <w:marBottom w:val="0"/>
          <w:divBdr>
            <w:top w:val="none" w:sz="0" w:space="0" w:color="auto"/>
            <w:left w:val="none" w:sz="0" w:space="0" w:color="auto"/>
            <w:bottom w:val="none" w:sz="0" w:space="0" w:color="auto"/>
            <w:right w:val="none" w:sz="0" w:space="0" w:color="auto"/>
          </w:divBdr>
        </w:div>
        <w:div w:id="1268543483">
          <w:marLeft w:val="0"/>
          <w:marRight w:val="0"/>
          <w:marTop w:val="0"/>
          <w:marBottom w:val="0"/>
          <w:divBdr>
            <w:top w:val="none" w:sz="0" w:space="0" w:color="auto"/>
            <w:left w:val="none" w:sz="0" w:space="0" w:color="auto"/>
            <w:bottom w:val="none" w:sz="0" w:space="0" w:color="auto"/>
            <w:right w:val="none" w:sz="0" w:space="0" w:color="auto"/>
          </w:divBdr>
        </w:div>
        <w:div w:id="1290085700">
          <w:marLeft w:val="0"/>
          <w:marRight w:val="0"/>
          <w:marTop w:val="0"/>
          <w:marBottom w:val="0"/>
          <w:divBdr>
            <w:top w:val="none" w:sz="0" w:space="0" w:color="auto"/>
            <w:left w:val="none" w:sz="0" w:space="0" w:color="auto"/>
            <w:bottom w:val="none" w:sz="0" w:space="0" w:color="auto"/>
            <w:right w:val="none" w:sz="0" w:space="0" w:color="auto"/>
          </w:divBdr>
        </w:div>
        <w:div w:id="1309942471">
          <w:marLeft w:val="0"/>
          <w:marRight w:val="0"/>
          <w:marTop w:val="0"/>
          <w:marBottom w:val="0"/>
          <w:divBdr>
            <w:top w:val="none" w:sz="0" w:space="0" w:color="auto"/>
            <w:left w:val="none" w:sz="0" w:space="0" w:color="auto"/>
            <w:bottom w:val="none" w:sz="0" w:space="0" w:color="auto"/>
            <w:right w:val="none" w:sz="0" w:space="0" w:color="auto"/>
          </w:divBdr>
        </w:div>
        <w:div w:id="1343706341">
          <w:marLeft w:val="0"/>
          <w:marRight w:val="0"/>
          <w:marTop w:val="0"/>
          <w:marBottom w:val="0"/>
          <w:divBdr>
            <w:top w:val="none" w:sz="0" w:space="0" w:color="auto"/>
            <w:left w:val="none" w:sz="0" w:space="0" w:color="auto"/>
            <w:bottom w:val="none" w:sz="0" w:space="0" w:color="auto"/>
            <w:right w:val="none" w:sz="0" w:space="0" w:color="auto"/>
          </w:divBdr>
        </w:div>
        <w:div w:id="1356270027">
          <w:marLeft w:val="0"/>
          <w:marRight w:val="0"/>
          <w:marTop w:val="0"/>
          <w:marBottom w:val="0"/>
          <w:divBdr>
            <w:top w:val="none" w:sz="0" w:space="0" w:color="auto"/>
            <w:left w:val="none" w:sz="0" w:space="0" w:color="auto"/>
            <w:bottom w:val="none" w:sz="0" w:space="0" w:color="auto"/>
            <w:right w:val="none" w:sz="0" w:space="0" w:color="auto"/>
          </w:divBdr>
        </w:div>
        <w:div w:id="1379472794">
          <w:marLeft w:val="0"/>
          <w:marRight w:val="0"/>
          <w:marTop w:val="0"/>
          <w:marBottom w:val="0"/>
          <w:divBdr>
            <w:top w:val="none" w:sz="0" w:space="0" w:color="auto"/>
            <w:left w:val="none" w:sz="0" w:space="0" w:color="auto"/>
            <w:bottom w:val="none" w:sz="0" w:space="0" w:color="auto"/>
            <w:right w:val="none" w:sz="0" w:space="0" w:color="auto"/>
          </w:divBdr>
        </w:div>
        <w:div w:id="1579485707">
          <w:marLeft w:val="0"/>
          <w:marRight w:val="0"/>
          <w:marTop w:val="0"/>
          <w:marBottom w:val="0"/>
          <w:divBdr>
            <w:top w:val="none" w:sz="0" w:space="0" w:color="auto"/>
            <w:left w:val="none" w:sz="0" w:space="0" w:color="auto"/>
            <w:bottom w:val="none" w:sz="0" w:space="0" w:color="auto"/>
            <w:right w:val="none" w:sz="0" w:space="0" w:color="auto"/>
          </w:divBdr>
        </w:div>
        <w:div w:id="1651328773">
          <w:marLeft w:val="0"/>
          <w:marRight w:val="0"/>
          <w:marTop w:val="0"/>
          <w:marBottom w:val="0"/>
          <w:divBdr>
            <w:top w:val="none" w:sz="0" w:space="0" w:color="auto"/>
            <w:left w:val="none" w:sz="0" w:space="0" w:color="auto"/>
            <w:bottom w:val="none" w:sz="0" w:space="0" w:color="auto"/>
            <w:right w:val="none" w:sz="0" w:space="0" w:color="auto"/>
          </w:divBdr>
        </w:div>
        <w:div w:id="1687094241">
          <w:marLeft w:val="0"/>
          <w:marRight w:val="0"/>
          <w:marTop w:val="0"/>
          <w:marBottom w:val="0"/>
          <w:divBdr>
            <w:top w:val="none" w:sz="0" w:space="0" w:color="auto"/>
            <w:left w:val="none" w:sz="0" w:space="0" w:color="auto"/>
            <w:bottom w:val="none" w:sz="0" w:space="0" w:color="auto"/>
            <w:right w:val="none" w:sz="0" w:space="0" w:color="auto"/>
          </w:divBdr>
        </w:div>
        <w:div w:id="1691569208">
          <w:marLeft w:val="0"/>
          <w:marRight w:val="0"/>
          <w:marTop w:val="0"/>
          <w:marBottom w:val="0"/>
          <w:divBdr>
            <w:top w:val="none" w:sz="0" w:space="0" w:color="auto"/>
            <w:left w:val="none" w:sz="0" w:space="0" w:color="auto"/>
            <w:bottom w:val="none" w:sz="0" w:space="0" w:color="auto"/>
            <w:right w:val="none" w:sz="0" w:space="0" w:color="auto"/>
          </w:divBdr>
        </w:div>
        <w:div w:id="1704745652">
          <w:marLeft w:val="0"/>
          <w:marRight w:val="0"/>
          <w:marTop w:val="0"/>
          <w:marBottom w:val="0"/>
          <w:divBdr>
            <w:top w:val="none" w:sz="0" w:space="0" w:color="auto"/>
            <w:left w:val="none" w:sz="0" w:space="0" w:color="auto"/>
            <w:bottom w:val="none" w:sz="0" w:space="0" w:color="auto"/>
            <w:right w:val="none" w:sz="0" w:space="0" w:color="auto"/>
          </w:divBdr>
        </w:div>
        <w:div w:id="1711832533">
          <w:marLeft w:val="0"/>
          <w:marRight w:val="0"/>
          <w:marTop w:val="0"/>
          <w:marBottom w:val="0"/>
          <w:divBdr>
            <w:top w:val="none" w:sz="0" w:space="0" w:color="auto"/>
            <w:left w:val="none" w:sz="0" w:space="0" w:color="auto"/>
            <w:bottom w:val="none" w:sz="0" w:space="0" w:color="auto"/>
            <w:right w:val="none" w:sz="0" w:space="0" w:color="auto"/>
          </w:divBdr>
        </w:div>
        <w:div w:id="1800297748">
          <w:marLeft w:val="0"/>
          <w:marRight w:val="0"/>
          <w:marTop w:val="0"/>
          <w:marBottom w:val="0"/>
          <w:divBdr>
            <w:top w:val="none" w:sz="0" w:space="0" w:color="auto"/>
            <w:left w:val="none" w:sz="0" w:space="0" w:color="auto"/>
            <w:bottom w:val="none" w:sz="0" w:space="0" w:color="auto"/>
            <w:right w:val="none" w:sz="0" w:space="0" w:color="auto"/>
          </w:divBdr>
        </w:div>
        <w:div w:id="1814642747">
          <w:marLeft w:val="0"/>
          <w:marRight w:val="0"/>
          <w:marTop w:val="0"/>
          <w:marBottom w:val="0"/>
          <w:divBdr>
            <w:top w:val="none" w:sz="0" w:space="0" w:color="auto"/>
            <w:left w:val="none" w:sz="0" w:space="0" w:color="auto"/>
            <w:bottom w:val="none" w:sz="0" w:space="0" w:color="auto"/>
            <w:right w:val="none" w:sz="0" w:space="0" w:color="auto"/>
          </w:divBdr>
        </w:div>
        <w:div w:id="1856966208">
          <w:marLeft w:val="0"/>
          <w:marRight w:val="0"/>
          <w:marTop w:val="0"/>
          <w:marBottom w:val="0"/>
          <w:divBdr>
            <w:top w:val="none" w:sz="0" w:space="0" w:color="auto"/>
            <w:left w:val="none" w:sz="0" w:space="0" w:color="auto"/>
            <w:bottom w:val="none" w:sz="0" w:space="0" w:color="auto"/>
            <w:right w:val="none" w:sz="0" w:space="0" w:color="auto"/>
          </w:divBdr>
        </w:div>
        <w:div w:id="1991590111">
          <w:marLeft w:val="0"/>
          <w:marRight w:val="0"/>
          <w:marTop w:val="0"/>
          <w:marBottom w:val="0"/>
          <w:divBdr>
            <w:top w:val="none" w:sz="0" w:space="0" w:color="auto"/>
            <w:left w:val="none" w:sz="0" w:space="0" w:color="auto"/>
            <w:bottom w:val="none" w:sz="0" w:space="0" w:color="auto"/>
            <w:right w:val="none" w:sz="0" w:space="0" w:color="auto"/>
          </w:divBdr>
        </w:div>
        <w:div w:id="2092696601">
          <w:marLeft w:val="0"/>
          <w:marRight w:val="0"/>
          <w:marTop w:val="0"/>
          <w:marBottom w:val="0"/>
          <w:divBdr>
            <w:top w:val="none" w:sz="0" w:space="0" w:color="auto"/>
            <w:left w:val="none" w:sz="0" w:space="0" w:color="auto"/>
            <w:bottom w:val="none" w:sz="0" w:space="0" w:color="auto"/>
            <w:right w:val="none" w:sz="0" w:space="0" w:color="auto"/>
          </w:divBdr>
        </w:div>
        <w:div w:id="2101019445">
          <w:marLeft w:val="0"/>
          <w:marRight w:val="0"/>
          <w:marTop w:val="0"/>
          <w:marBottom w:val="0"/>
          <w:divBdr>
            <w:top w:val="none" w:sz="0" w:space="0" w:color="auto"/>
            <w:left w:val="none" w:sz="0" w:space="0" w:color="auto"/>
            <w:bottom w:val="none" w:sz="0" w:space="0" w:color="auto"/>
            <w:right w:val="none" w:sz="0" w:space="0" w:color="auto"/>
          </w:divBdr>
        </w:div>
        <w:div w:id="2128695670">
          <w:marLeft w:val="0"/>
          <w:marRight w:val="0"/>
          <w:marTop w:val="0"/>
          <w:marBottom w:val="0"/>
          <w:divBdr>
            <w:top w:val="none" w:sz="0" w:space="0" w:color="auto"/>
            <w:left w:val="none" w:sz="0" w:space="0" w:color="auto"/>
            <w:bottom w:val="none" w:sz="0" w:space="0" w:color="auto"/>
            <w:right w:val="none" w:sz="0" w:space="0" w:color="auto"/>
          </w:divBdr>
        </w:div>
      </w:divsChild>
    </w:div>
    <w:div w:id="1745686662">
      <w:bodyDiv w:val="1"/>
      <w:marLeft w:val="0"/>
      <w:marRight w:val="0"/>
      <w:marTop w:val="0"/>
      <w:marBottom w:val="0"/>
      <w:divBdr>
        <w:top w:val="none" w:sz="0" w:space="0" w:color="auto"/>
        <w:left w:val="none" w:sz="0" w:space="0" w:color="auto"/>
        <w:bottom w:val="none" w:sz="0" w:space="0" w:color="auto"/>
        <w:right w:val="none" w:sz="0" w:space="0" w:color="auto"/>
      </w:divBdr>
      <w:divsChild>
        <w:div w:id="1039355125">
          <w:marLeft w:val="0"/>
          <w:marRight w:val="0"/>
          <w:marTop w:val="0"/>
          <w:marBottom w:val="0"/>
          <w:divBdr>
            <w:top w:val="none" w:sz="0" w:space="0" w:color="auto"/>
            <w:left w:val="none" w:sz="0" w:space="0" w:color="auto"/>
            <w:bottom w:val="none" w:sz="0" w:space="0" w:color="auto"/>
            <w:right w:val="none" w:sz="0" w:space="0" w:color="auto"/>
          </w:divBdr>
        </w:div>
        <w:div w:id="1805538616">
          <w:marLeft w:val="0"/>
          <w:marRight w:val="0"/>
          <w:marTop w:val="0"/>
          <w:marBottom w:val="0"/>
          <w:divBdr>
            <w:top w:val="none" w:sz="0" w:space="0" w:color="auto"/>
            <w:left w:val="none" w:sz="0" w:space="0" w:color="auto"/>
            <w:bottom w:val="none" w:sz="0" w:space="0" w:color="auto"/>
            <w:right w:val="none" w:sz="0" w:space="0" w:color="auto"/>
          </w:divBdr>
        </w:div>
      </w:divsChild>
    </w:div>
    <w:div w:id="1835299208">
      <w:bodyDiv w:val="1"/>
      <w:marLeft w:val="0"/>
      <w:marRight w:val="0"/>
      <w:marTop w:val="0"/>
      <w:marBottom w:val="0"/>
      <w:divBdr>
        <w:top w:val="none" w:sz="0" w:space="0" w:color="auto"/>
        <w:left w:val="none" w:sz="0" w:space="0" w:color="auto"/>
        <w:bottom w:val="none" w:sz="0" w:space="0" w:color="auto"/>
        <w:right w:val="none" w:sz="0" w:space="0" w:color="auto"/>
      </w:divBdr>
      <w:divsChild>
        <w:div w:id="25259836">
          <w:marLeft w:val="0"/>
          <w:marRight w:val="0"/>
          <w:marTop w:val="0"/>
          <w:marBottom w:val="0"/>
          <w:divBdr>
            <w:top w:val="none" w:sz="0" w:space="0" w:color="auto"/>
            <w:left w:val="none" w:sz="0" w:space="0" w:color="auto"/>
            <w:bottom w:val="none" w:sz="0" w:space="0" w:color="auto"/>
            <w:right w:val="none" w:sz="0" w:space="0" w:color="auto"/>
          </w:divBdr>
        </w:div>
        <w:div w:id="778597644">
          <w:marLeft w:val="0"/>
          <w:marRight w:val="0"/>
          <w:marTop w:val="0"/>
          <w:marBottom w:val="0"/>
          <w:divBdr>
            <w:top w:val="none" w:sz="0" w:space="0" w:color="auto"/>
            <w:left w:val="none" w:sz="0" w:space="0" w:color="auto"/>
            <w:bottom w:val="none" w:sz="0" w:space="0" w:color="auto"/>
            <w:right w:val="none" w:sz="0" w:space="0" w:color="auto"/>
          </w:divBdr>
        </w:div>
        <w:div w:id="1740902454">
          <w:marLeft w:val="0"/>
          <w:marRight w:val="0"/>
          <w:marTop w:val="0"/>
          <w:marBottom w:val="0"/>
          <w:divBdr>
            <w:top w:val="none" w:sz="0" w:space="0" w:color="auto"/>
            <w:left w:val="none" w:sz="0" w:space="0" w:color="auto"/>
            <w:bottom w:val="none" w:sz="0" w:space="0" w:color="auto"/>
            <w:right w:val="none" w:sz="0" w:space="0" w:color="auto"/>
          </w:divBdr>
        </w:div>
      </w:divsChild>
    </w:div>
    <w:div w:id="1843006882">
      <w:bodyDiv w:val="1"/>
      <w:marLeft w:val="0"/>
      <w:marRight w:val="0"/>
      <w:marTop w:val="0"/>
      <w:marBottom w:val="0"/>
      <w:divBdr>
        <w:top w:val="none" w:sz="0" w:space="0" w:color="auto"/>
        <w:left w:val="none" w:sz="0" w:space="0" w:color="auto"/>
        <w:bottom w:val="none" w:sz="0" w:space="0" w:color="auto"/>
        <w:right w:val="none" w:sz="0" w:space="0" w:color="auto"/>
      </w:divBdr>
    </w:div>
    <w:div w:id="1845893231">
      <w:bodyDiv w:val="1"/>
      <w:marLeft w:val="0"/>
      <w:marRight w:val="0"/>
      <w:marTop w:val="0"/>
      <w:marBottom w:val="0"/>
      <w:divBdr>
        <w:top w:val="none" w:sz="0" w:space="0" w:color="auto"/>
        <w:left w:val="none" w:sz="0" w:space="0" w:color="auto"/>
        <w:bottom w:val="none" w:sz="0" w:space="0" w:color="auto"/>
        <w:right w:val="none" w:sz="0" w:space="0" w:color="auto"/>
      </w:divBdr>
    </w:div>
    <w:div w:id="1863862152">
      <w:bodyDiv w:val="1"/>
      <w:marLeft w:val="0"/>
      <w:marRight w:val="0"/>
      <w:marTop w:val="0"/>
      <w:marBottom w:val="0"/>
      <w:divBdr>
        <w:top w:val="none" w:sz="0" w:space="0" w:color="auto"/>
        <w:left w:val="none" w:sz="0" w:space="0" w:color="auto"/>
        <w:bottom w:val="none" w:sz="0" w:space="0" w:color="auto"/>
        <w:right w:val="none" w:sz="0" w:space="0" w:color="auto"/>
      </w:divBdr>
    </w:div>
    <w:div w:id="1884245970">
      <w:bodyDiv w:val="1"/>
      <w:marLeft w:val="0"/>
      <w:marRight w:val="0"/>
      <w:marTop w:val="0"/>
      <w:marBottom w:val="0"/>
      <w:divBdr>
        <w:top w:val="none" w:sz="0" w:space="0" w:color="auto"/>
        <w:left w:val="none" w:sz="0" w:space="0" w:color="auto"/>
        <w:bottom w:val="none" w:sz="0" w:space="0" w:color="auto"/>
        <w:right w:val="none" w:sz="0" w:space="0" w:color="auto"/>
      </w:divBdr>
    </w:div>
    <w:div w:id="1887182641">
      <w:bodyDiv w:val="1"/>
      <w:marLeft w:val="0"/>
      <w:marRight w:val="0"/>
      <w:marTop w:val="0"/>
      <w:marBottom w:val="0"/>
      <w:divBdr>
        <w:top w:val="none" w:sz="0" w:space="0" w:color="auto"/>
        <w:left w:val="none" w:sz="0" w:space="0" w:color="auto"/>
        <w:bottom w:val="none" w:sz="0" w:space="0" w:color="auto"/>
        <w:right w:val="none" w:sz="0" w:space="0" w:color="auto"/>
      </w:divBdr>
      <w:divsChild>
        <w:div w:id="298073479">
          <w:marLeft w:val="0"/>
          <w:marRight w:val="0"/>
          <w:marTop w:val="0"/>
          <w:marBottom w:val="0"/>
          <w:divBdr>
            <w:top w:val="none" w:sz="0" w:space="0" w:color="auto"/>
            <w:left w:val="none" w:sz="0" w:space="0" w:color="auto"/>
            <w:bottom w:val="none" w:sz="0" w:space="0" w:color="auto"/>
            <w:right w:val="none" w:sz="0" w:space="0" w:color="auto"/>
          </w:divBdr>
        </w:div>
        <w:div w:id="859012058">
          <w:marLeft w:val="0"/>
          <w:marRight w:val="0"/>
          <w:marTop w:val="0"/>
          <w:marBottom w:val="0"/>
          <w:divBdr>
            <w:top w:val="none" w:sz="0" w:space="0" w:color="auto"/>
            <w:left w:val="none" w:sz="0" w:space="0" w:color="auto"/>
            <w:bottom w:val="none" w:sz="0" w:space="0" w:color="auto"/>
            <w:right w:val="none" w:sz="0" w:space="0" w:color="auto"/>
          </w:divBdr>
        </w:div>
      </w:divsChild>
    </w:div>
    <w:div w:id="1918705156">
      <w:bodyDiv w:val="1"/>
      <w:marLeft w:val="0"/>
      <w:marRight w:val="0"/>
      <w:marTop w:val="0"/>
      <w:marBottom w:val="0"/>
      <w:divBdr>
        <w:top w:val="none" w:sz="0" w:space="0" w:color="auto"/>
        <w:left w:val="none" w:sz="0" w:space="0" w:color="auto"/>
        <w:bottom w:val="none" w:sz="0" w:space="0" w:color="auto"/>
        <w:right w:val="none" w:sz="0" w:space="0" w:color="auto"/>
      </w:divBdr>
      <w:divsChild>
        <w:div w:id="1365667657">
          <w:marLeft w:val="0"/>
          <w:marRight w:val="0"/>
          <w:marTop w:val="0"/>
          <w:marBottom w:val="0"/>
          <w:divBdr>
            <w:top w:val="none" w:sz="0" w:space="0" w:color="auto"/>
            <w:left w:val="none" w:sz="0" w:space="0" w:color="auto"/>
            <w:bottom w:val="none" w:sz="0" w:space="0" w:color="auto"/>
            <w:right w:val="none" w:sz="0" w:space="0" w:color="auto"/>
          </w:divBdr>
        </w:div>
        <w:div w:id="1842815315">
          <w:marLeft w:val="0"/>
          <w:marRight w:val="0"/>
          <w:marTop w:val="0"/>
          <w:marBottom w:val="0"/>
          <w:divBdr>
            <w:top w:val="none" w:sz="0" w:space="0" w:color="auto"/>
            <w:left w:val="none" w:sz="0" w:space="0" w:color="auto"/>
            <w:bottom w:val="none" w:sz="0" w:space="0" w:color="auto"/>
            <w:right w:val="none" w:sz="0" w:space="0" w:color="auto"/>
          </w:divBdr>
        </w:div>
      </w:divsChild>
    </w:div>
    <w:div w:id="1921598511">
      <w:bodyDiv w:val="1"/>
      <w:marLeft w:val="0"/>
      <w:marRight w:val="0"/>
      <w:marTop w:val="0"/>
      <w:marBottom w:val="0"/>
      <w:divBdr>
        <w:top w:val="none" w:sz="0" w:space="0" w:color="auto"/>
        <w:left w:val="none" w:sz="0" w:space="0" w:color="auto"/>
        <w:bottom w:val="none" w:sz="0" w:space="0" w:color="auto"/>
        <w:right w:val="none" w:sz="0" w:space="0" w:color="auto"/>
      </w:divBdr>
    </w:div>
    <w:div w:id="1926113730">
      <w:bodyDiv w:val="1"/>
      <w:marLeft w:val="0"/>
      <w:marRight w:val="0"/>
      <w:marTop w:val="0"/>
      <w:marBottom w:val="0"/>
      <w:divBdr>
        <w:top w:val="none" w:sz="0" w:space="0" w:color="auto"/>
        <w:left w:val="none" w:sz="0" w:space="0" w:color="auto"/>
        <w:bottom w:val="none" w:sz="0" w:space="0" w:color="auto"/>
        <w:right w:val="none" w:sz="0" w:space="0" w:color="auto"/>
      </w:divBdr>
      <w:divsChild>
        <w:div w:id="712268482">
          <w:marLeft w:val="0"/>
          <w:marRight w:val="0"/>
          <w:marTop w:val="0"/>
          <w:marBottom w:val="0"/>
          <w:divBdr>
            <w:top w:val="none" w:sz="0" w:space="0" w:color="auto"/>
            <w:left w:val="none" w:sz="0" w:space="0" w:color="auto"/>
            <w:bottom w:val="none" w:sz="0" w:space="0" w:color="auto"/>
            <w:right w:val="none" w:sz="0" w:space="0" w:color="auto"/>
          </w:divBdr>
        </w:div>
        <w:div w:id="1806973456">
          <w:marLeft w:val="0"/>
          <w:marRight w:val="0"/>
          <w:marTop w:val="0"/>
          <w:marBottom w:val="0"/>
          <w:divBdr>
            <w:top w:val="none" w:sz="0" w:space="0" w:color="auto"/>
            <w:left w:val="none" w:sz="0" w:space="0" w:color="auto"/>
            <w:bottom w:val="none" w:sz="0" w:space="0" w:color="auto"/>
            <w:right w:val="none" w:sz="0" w:space="0" w:color="auto"/>
          </w:divBdr>
        </w:div>
        <w:div w:id="160854767">
          <w:marLeft w:val="0"/>
          <w:marRight w:val="0"/>
          <w:marTop w:val="0"/>
          <w:marBottom w:val="0"/>
          <w:divBdr>
            <w:top w:val="none" w:sz="0" w:space="0" w:color="auto"/>
            <w:left w:val="none" w:sz="0" w:space="0" w:color="auto"/>
            <w:bottom w:val="none" w:sz="0" w:space="0" w:color="auto"/>
            <w:right w:val="none" w:sz="0" w:space="0" w:color="auto"/>
          </w:divBdr>
        </w:div>
      </w:divsChild>
    </w:div>
    <w:div w:id="1943567810">
      <w:bodyDiv w:val="1"/>
      <w:marLeft w:val="0"/>
      <w:marRight w:val="0"/>
      <w:marTop w:val="0"/>
      <w:marBottom w:val="0"/>
      <w:divBdr>
        <w:top w:val="none" w:sz="0" w:space="0" w:color="auto"/>
        <w:left w:val="none" w:sz="0" w:space="0" w:color="auto"/>
        <w:bottom w:val="none" w:sz="0" w:space="0" w:color="auto"/>
        <w:right w:val="none" w:sz="0" w:space="0" w:color="auto"/>
      </w:divBdr>
    </w:div>
    <w:div w:id="1979063728">
      <w:bodyDiv w:val="1"/>
      <w:marLeft w:val="0"/>
      <w:marRight w:val="0"/>
      <w:marTop w:val="0"/>
      <w:marBottom w:val="0"/>
      <w:divBdr>
        <w:top w:val="none" w:sz="0" w:space="0" w:color="auto"/>
        <w:left w:val="none" w:sz="0" w:space="0" w:color="auto"/>
        <w:bottom w:val="none" w:sz="0" w:space="0" w:color="auto"/>
        <w:right w:val="none" w:sz="0" w:space="0" w:color="auto"/>
      </w:divBdr>
      <w:divsChild>
        <w:div w:id="85923961">
          <w:marLeft w:val="0"/>
          <w:marRight w:val="0"/>
          <w:marTop w:val="0"/>
          <w:marBottom w:val="0"/>
          <w:divBdr>
            <w:top w:val="none" w:sz="0" w:space="0" w:color="auto"/>
            <w:left w:val="none" w:sz="0" w:space="0" w:color="auto"/>
            <w:bottom w:val="none" w:sz="0" w:space="0" w:color="auto"/>
            <w:right w:val="none" w:sz="0" w:space="0" w:color="auto"/>
          </w:divBdr>
        </w:div>
        <w:div w:id="587352406">
          <w:marLeft w:val="0"/>
          <w:marRight w:val="0"/>
          <w:marTop w:val="0"/>
          <w:marBottom w:val="0"/>
          <w:divBdr>
            <w:top w:val="none" w:sz="0" w:space="0" w:color="auto"/>
            <w:left w:val="none" w:sz="0" w:space="0" w:color="auto"/>
            <w:bottom w:val="none" w:sz="0" w:space="0" w:color="auto"/>
            <w:right w:val="none" w:sz="0" w:space="0" w:color="auto"/>
          </w:divBdr>
        </w:div>
      </w:divsChild>
    </w:div>
    <w:div w:id="2006277797">
      <w:bodyDiv w:val="1"/>
      <w:marLeft w:val="0"/>
      <w:marRight w:val="0"/>
      <w:marTop w:val="0"/>
      <w:marBottom w:val="0"/>
      <w:divBdr>
        <w:top w:val="none" w:sz="0" w:space="0" w:color="auto"/>
        <w:left w:val="none" w:sz="0" w:space="0" w:color="auto"/>
        <w:bottom w:val="none" w:sz="0" w:space="0" w:color="auto"/>
        <w:right w:val="none" w:sz="0" w:space="0" w:color="auto"/>
      </w:divBdr>
    </w:div>
    <w:div w:id="2046782685">
      <w:bodyDiv w:val="1"/>
      <w:marLeft w:val="0"/>
      <w:marRight w:val="0"/>
      <w:marTop w:val="0"/>
      <w:marBottom w:val="0"/>
      <w:divBdr>
        <w:top w:val="none" w:sz="0" w:space="0" w:color="auto"/>
        <w:left w:val="none" w:sz="0" w:space="0" w:color="auto"/>
        <w:bottom w:val="none" w:sz="0" w:space="0" w:color="auto"/>
        <w:right w:val="none" w:sz="0" w:space="0" w:color="auto"/>
      </w:divBdr>
      <w:divsChild>
        <w:div w:id="802115470">
          <w:marLeft w:val="0"/>
          <w:marRight w:val="0"/>
          <w:marTop w:val="0"/>
          <w:marBottom w:val="0"/>
          <w:divBdr>
            <w:top w:val="none" w:sz="0" w:space="0" w:color="auto"/>
            <w:left w:val="none" w:sz="0" w:space="0" w:color="auto"/>
            <w:bottom w:val="none" w:sz="0" w:space="0" w:color="auto"/>
            <w:right w:val="none" w:sz="0" w:space="0" w:color="auto"/>
          </w:divBdr>
        </w:div>
        <w:div w:id="264383647">
          <w:marLeft w:val="0"/>
          <w:marRight w:val="0"/>
          <w:marTop w:val="0"/>
          <w:marBottom w:val="0"/>
          <w:divBdr>
            <w:top w:val="none" w:sz="0" w:space="0" w:color="auto"/>
            <w:left w:val="none" w:sz="0" w:space="0" w:color="auto"/>
            <w:bottom w:val="none" w:sz="0" w:space="0" w:color="auto"/>
            <w:right w:val="none" w:sz="0" w:space="0" w:color="auto"/>
          </w:divBdr>
        </w:div>
        <w:div w:id="1995791255">
          <w:marLeft w:val="0"/>
          <w:marRight w:val="0"/>
          <w:marTop w:val="0"/>
          <w:marBottom w:val="0"/>
          <w:divBdr>
            <w:top w:val="none" w:sz="0" w:space="0" w:color="auto"/>
            <w:left w:val="none" w:sz="0" w:space="0" w:color="auto"/>
            <w:bottom w:val="none" w:sz="0" w:space="0" w:color="auto"/>
            <w:right w:val="none" w:sz="0" w:space="0" w:color="auto"/>
          </w:divBdr>
        </w:div>
        <w:div w:id="1198620012">
          <w:marLeft w:val="0"/>
          <w:marRight w:val="0"/>
          <w:marTop w:val="0"/>
          <w:marBottom w:val="0"/>
          <w:divBdr>
            <w:top w:val="none" w:sz="0" w:space="0" w:color="auto"/>
            <w:left w:val="none" w:sz="0" w:space="0" w:color="auto"/>
            <w:bottom w:val="none" w:sz="0" w:space="0" w:color="auto"/>
            <w:right w:val="none" w:sz="0" w:space="0" w:color="auto"/>
          </w:divBdr>
        </w:div>
        <w:div w:id="1347291583">
          <w:marLeft w:val="0"/>
          <w:marRight w:val="0"/>
          <w:marTop w:val="0"/>
          <w:marBottom w:val="0"/>
          <w:divBdr>
            <w:top w:val="none" w:sz="0" w:space="0" w:color="auto"/>
            <w:left w:val="none" w:sz="0" w:space="0" w:color="auto"/>
            <w:bottom w:val="none" w:sz="0" w:space="0" w:color="auto"/>
            <w:right w:val="none" w:sz="0" w:space="0" w:color="auto"/>
          </w:divBdr>
        </w:div>
      </w:divsChild>
    </w:div>
    <w:div w:id="2095741471">
      <w:bodyDiv w:val="1"/>
      <w:marLeft w:val="0"/>
      <w:marRight w:val="0"/>
      <w:marTop w:val="0"/>
      <w:marBottom w:val="0"/>
      <w:divBdr>
        <w:top w:val="none" w:sz="0" w:space="0" w:color="auto"/>
        <w:left w:val="none" w:sz="0" w:space="0" w:color="auto"/>
        <w:bottom w:val="none" w:sz="0" w:space="0" w:color="auto"/>
        <w:right w:val="none" w:sz="0" w:space="0" w:color="auto"/>
      </w:divBdr>
    </w:div>
    <w:div w:id="2138454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olar.google.com.br/citations?user=KuziIIQAAAAJ&amp;hl=pt-BR&amp;oi=sra" TargetMode="External"/><Relationship Id="rId13" Type="http://schemas.openxmlformats.org/officeDocument/2006/relationships/chart" Target="charts/chart3.xml"/><Relationship Id="rId18" Type="http://schemas.openxmlformats.org/officeDocument/2006/relationships/image" Target="media/image4.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image" Target="media/image3.png"/><Relationship Id="rId25" Type="http://schemas.openxmlformats.org/officeDocument/2006/relationships/hyperlink" Target="http://www.afdb.org/fileadmin/uploads/afdb/Documents/Knowledge/30754246-EN-3.1.3-BOLY-CAN-CORRUPTION-BE-STUDIED-IN-THE-LAB-BOLY-AUGUST-08.PDF" TargetMode="Externa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chart" Target="charts/chart4.xml"/><Relationship Id="rId23" Type="http://schemas.microsoft.com/office/2007/relationships/hdphoto" Target="media/hdphoto1.wdp"/><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scholar.google.com.br/citations?user=KuziIIQAAAAJ&amp;hl=pt-BR&amp;oi=sra" TargetMode="External"/><Relationship Id="rId14" Type="http://schemas.openxmlformats.org/officeDocument/2006/relationships/image" Target="media/image2.png"/><Relationship Id="rId22" Type="http://schemas.openxmlformats.org/officeDocument/2006/relationships/image" Target="media/image6.pn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Pedro\Desktop\Disserta&#231;&#227;o\Disserta&#231;&#227;o\Bancos\WVS-%20Argentin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Pedro\Desktop\Disserta&#231;&#227;o\Disserta&#231;&#227;o\Bancos\WVS%20-%20M&#233;xic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edro\Desktop\Disserta&#231;&#227;o\Disserta&#231;&#227;o\Bancos\WVS%20-%20Chile.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edro\Desktop\Disserta&#231;&#227;o\Disserta&#231;&#227;o\Bancos\Dados%20de%20aceita&#231;&#227;o%20SURVEY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Pedro\Desktop\Disserta&#231;&#227;o\Disserta&#231;&#227;o\Bancos\Dados%20de%20aceita&#231;&#227;o%20SURVEY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Pedro\Desktop\Disserta&#231;&#227;o\Disserta&#231;&#227;o\Bancos\Dados%20de%20aceita&#231;&#227;o%20SURVEY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Pedro\Desktop\Disserta&#231;&#227;o\Disserta&#231;&#227;o\Bancos\Dados%20de%20aceita&#231;&#227;o%20SURVEYS.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0" i="0" u="none" strike="noStrike" kern="1200" cap="all" spc="120" normalizeH="0" baseline="0">
                <a:solidFill>
                  <a:schemeClr val="tx1">
                    <a:lumMod val="65000"/>
                    <a:lumOff val="35000"/>
                  </a:schemeClr>
                </a:solidFill>
                <a:latin typeface="+mn-lt"/>
                <a:ea typeface="+mn-ea"/>
                <a:cs typeface="+mn-cs"/>
              </a:defRPr>
            </a:pPr>
            <a:r>
              <a:rPr lang="pt-BR" sz="1200" b="0"/>
              <a:t>Não-resposta</a:t>
            </a:r>
            <a:r>
              <a:rPr lang="pt-BR" sz="1200" b="0" baseline="0"/>
              <a:t> Argentina</a:t>
            </a:r>
            <a:endParaRPr lang="pt-BR" sz="1200" b="0"/>
          </a:p>
        </c:rich>
      </c:tx>
      <c:overlay val="0"/>
      <c:spPr>
        <a:noFill/>
        <a:ln>
          <a:noFill/>
        </a:ln>
        <a:effectLst/>
      </c:spPr>
      <c:txPr>
        <a:bodyPr rot="0" spcFirstLastPara="1" vertOverflow="ellipsis" vert="horz" wrap="square" anchor="ctr" anchorCtr="1"/>
        <a:lstStyle/>
        <a:p>
          <a:pPr>
            <a:defRPr sz="1200" b="0" i="0" u="none" strike="noStrike" kern="1200" cap="all" spc="120" normalizeH="0" baseline="0">
              <a:solidFill>
                <a:schemeClr val="tx1">
                  <a:lumMod val="65000"/>
                  <a:lumOff val="35000"/>
                </a:schemeClr>
              </a:solidFill>
              <a:latin typeface="+mn-lt"/>
              <a:ea typeface="+mn-ea"/>
              <a:cs typeface="+mn-cs"/>
            </a:defRPr>
          </a:pPr>
          <a:endParaRPr lang="pt-BR"/>
        </a:p>
      </c:txPr>
    </c:title>
    <c:autoTitleDeleted val="0"/>
    <c:plotArea>
      <c:layout/>
      <c:barChart>
        <c:barDir val="col"/>
        <c:grouping val="clustered"/>
        <c:varyColors val="0"/>
        <c:ser>
          <c:idx val="0"/>
          <c:order val="0"/>
          <c:tx>
            <c:strRef>
              <c:f>'Descritivos - WVS'!$C$57</c:f>
              <c:strCache>
                <c:ptCount val="1"/>
                <c:pt idx="0">
                  <c:v>Propina</c:v>
                </c:pt>
              </c:strCache>
            </c:strRef>
          </c:tx>
          <c:spPr>
            <a:solidFill>
              <a:schemeClr val="dk1">
                <a:tint val="88500"/>
              </a:schemeClr>
            </a:solidFill>
            <a:ln>
              <a:noFill/>
            </a:ln>
            <a:effectLst/>
          </c:spPr>
          <c:invertIfNegative val="0"/>
          <c:dLbls>
            <c:dLbl>
              <c:idx val="0"/>
              <c:layout>
                <c:manualLayout>
                  <c:x val="-1.1111111111111115E-2"/>
                  <c:y val="4.6296296296296294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2DA-4892-9134-4882D5DE71A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'Descritivos - WVS'!$B$58:$B$63</c:f>
              <c:numCache>
                <c:formatCode>General</c:formatCode>
                <c:ptCount val="6"/>
                <c:pt idx="0">
                  <c:v>1981</c:v>
                </c:pt>
                <c:pt idx="1">
                  <c:v>1989</c:v>
                </c:pt>
                <c:pt idx="2">
                  <c:v>1994</c:v>
                </c:pt>
                <c:pt idx="3">
                  <c:v>1999</c:v>
                </c:pt>
                <c:pt idx="4">
                  <c:v>2005</c:v>
                </c:pt>
                <c:pt idx="5">
                  <c:v>2010</c:v>
                </c:pt>
              </c:numCache>
            </c:numRef>
          </c:cat>
          <c:val>
            <c:numRef>
              <c:f>'Descritivos - WVS'!$C$58:$C$63</c:f>
              <c:numCache>
                <c:formatCode>0%</c:formatCode>
                <c:ptCount val="6"/>
                <c:pt idx="0">
                  <c:v>0.12</c:v>
                </c:pt>
                <c:pt idx="1">
                  <c:v>0.02</c:v>
                </c:pt>
                <c:pt idx="2">
                  <c:v>0.01</c:v>
                </c:pt>
                <c:pt idx="3">
                  <c:v>0.02</c:v>
                </c:pt>
                <c:pt idx="4">
                  <c:v>0.02</c:v>
                </c:pt>
                <c:pt idx="5">
                  <c:v>0.02</c:v>
                </c:pt>
              </c:numCache>
            </c:numRef>
          </c:val>
          <c:extLst xmlns:c16r2="http://schemas.microsoft.com/office/drawing/2015/06/chart">
            <c:ext xmlns:c16="http://schemas.microsoft.com/office/drawing/2014/chart" uri="{C3380CC4-5D6E-409C-BE32-E72D297353CC}">
              <c16:uniqueId val="{00000001-62DA-4892-9134-4882D5DE71A7}"/>
            </c:ext>
          </c:extLst>
        </c:ser>
        <c:ser>
          <c:idx val="1"/>
          <c:order val="1"/>
          <c:tx>
            <c:strRef>
              <c:f>'Descritivos - WVS'!$D$57</c:f>
              <c:strCache>
                <c:ptCount val="1"/>
                <c:pt idx="0">
                  <c:v>Impostos</c:v>
                </c:pt>
              </c:strCache>
            </c:strRef>
          </c:tx>
          <c:spPr>
            <a:solidFill>
              <a:schemeClr val="dk1">
                <a:tint val="55000"/>
              </a:schemeClr>
            </a:solidFill>
            <a:ln>
              <a:noFill/>
            </a:ln>
            <a:effectLst/>
          </c:spPr>
          <c:invertIfNegative val="0"/>
          <c:dLbls>
            <c:dLbl>
              <c:idx val="0"/>
              <c:layout>
                <c:manualLayout>
                  <c:x val="-1.1111111111111117E-2"/>
                  <c:y val="1.388888888888888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2DA-4892-9134-4882D5DE71A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'Descritivos - WVS'!$B$58:$B$63</c:f>
              <c:numCache>
                <c:formatCode>General</c:formatCode>
                <c:ptCount val="6"/>
                <c:pt idx="0">
                  <c:v>1981</c:v>
                </c:pt>
                <c:pt idx="1">
                  <c:v>1989</c:v>
                </c:pt>
                <c:pt idx="2">
                  <c:v>1994</c:v>
                </c:pt>
                <c:pt idx="3">
                  <c:v>1999</c:v>
                </c:pt>
                <c:pt idx="4">
                  <c:v>2005</c:v>
                </c:pt>
                <c:pt idx="5">
                  <c:v>2010</c:v>
                </c:pt>
              </c:numCache>
            </c:numRef>
          </c:cat>
          <c:val>
            <c:numRef>
              <c:f>'Descritivos - WVS'!$D$58:$D$63</c:f>
              <c:numCache>
                <c:formatCode>0%</c:formatCode>
                <c:ptCount val="6"/>
                <c:pt idx="0">
                  <c:v>0.14000000000000001</c:v>
                </c:pt>
                <c:pt idx="1">
                  <c:v>0.01</c:v>
                </c:pt>
                <c:pt idx="2">
                  <c:v>0.01</c:v>
                </c:pt>
                <c:pt idx="3">
                  <c:v>0.01</c:v>
                </c:pt>
                <c:pt idx="4">
                  <c:v>0.02</c:v>
                </c:pt>
                <c:pt idx="5">
                  <c:v>0.01</c:v>
                </c:pt>
              </c:numCache>
            </c:numRef>
          </c:val>
          <c:extLst xmlns:c16r2="http://schemas.microsoft.com/office/drawing/2015/06/chart">
            <c:ext xmlns:c16="http://schemas.microsoft.com/office/drawing/2014/chart" uri="{C3380CC4-5D6E-409C-BE32-E72D297353CC}">
              <c16:uniqueId val="{00000003-62DA-4892-9134-4882D5DE71A7}"/>
            </c:ext>
          </c:extLst>
        </c:ser>
        <c:ser>
          <c:idx val="2"/>
          <c:order val="2"/>
          <c:tx>
            <c:strRef>
              <c:f>'Descritivos - WVS'!$E$57</c:f>
              <c:strCache>
                <c:ptCount val="1"/>
                <c:pt idx="0">
                  <c:v>Transporte</c:v>
                </c:pt>
              </c:strCache>
            </c:strRef>
          </c:tx>
          <c:spPr>
            <a:solidFill>
              <a:schemeClr val="dk1">
                <a:tint val="75000"/>
              </a:schemeClr>
            </a:solidFill>
            <a:ln>
              <a:noFill/>
            </a:ln>
            <a:effectLst/>
          </c:spPr>
          <c:invertIfNegative val="0"/>
          <c:dLbls>
            <c:dLbl>
              <c:idx val="0"/>
              <c:layout>
                <c:manualLayout>
                  <c:x val="2.7777777777777649E-3"/>
                  <c:y val="9.259259259259258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62DA-4892-9134-4882D5DE71A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'Descritivos - WVS'!$B$58:$B$63</c:f>
              <c:numCache>
                <c:formatCode>General</c:formatCode>
                <c:ptCount val="6"/>
                <c:pt idx="0">
                  <c:v>1981</c:v>
                </c:pt>
                <c:pt idx="1">
                  <c:v>1989</c:v>
                </c:pt>
                <c:pt idx="2">
                  <c:v>1994</c:v>
                </c:pt>
                <c:pt idx="3">
                  <c:v>1999</c:v>
                </c:pt>
                <c:pt idx="4">
                  <c:v>2005</c:v>
                </c:pt>
                <c:pt idx="5">
                  <c:v>2010</c:v>
                </c:pt>
              </c:numCache>
            </c:numRef>
          </c:cat>
          <c:val>
            <c:numRef>
              <c:f>'Descritivos - WVS'!$E$58:$E$63</c:f>
              <c:numCache>
                <c:formatCode>0%</c:formatCode>
                <c:ptCount val="6"/>
                <c:pt idx="0">
                  <c:v>0.14000000000000001</c:v>
                </c:pt>
                <c:pt idx="1">
                  <c:v>0.01</c:v>
                </c:pt>
                <c:pt idx="2">
                  <c:v>0.01</c:v>
                </c:pt>
                <c:pt idx="3">
                  <c:v>0.01</c:v>
                </c:pt>
                <c:pt idx="4">
                  <c:v>0.03</c:v>
                </c:pt>
                <c:pt idx="5">
                  <c:v>0.02</c:v>
                </c:pt>
              </c:numCache>
            </c:numRef>
          </c:val>
          <c:extLst xmlns:c16r2="http://schemas.microsoft.com/office/drawing/2015/06/chart">
            <c:ext xmlns:c16="http://schemas.microsoft.com/office/drawing/2014/chart" uri="{C3380CC4-5D6E-409C-BE32-E72D297353CC}">
              <c16:uniqueId val="{00000005-62DA-4892-9134-4882D5DE71A7}"/>
            </c:ext>
          </c:extLst>
        </c:ser>
        <c:ser>
          <c:idx val="3"/>
          <c:order val="3"/>
          <c:tx>
            <c:strRef>
              <c:f>'Descritivos - WVS'!$F$57</c:f>
              <c:strCache>
                <c:ptCount val="1"/>
                <c:pt idx="0">
                  <c:v>Benefícios</c:v>
                </c:pt>
              </c:strCache>
            </c:strRef>
          </c:tx>
          <c:spPr>
            <a:solidFill>
              <a:schemeClr val="dk1">
                <a:tint val="9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'Descritivos - WVS'!$B$58:$B$63</c:f>
              <c:numCache>
                <c:formatCode>General</c:formatCode>
                <c:ptCount val="6"/>
                <c:pt idx="0">
                  <c:v>1981</c:v>
                </c:pt>
                <c:pt idx="1">
                  <c:v>1989</c:v>
                </c:pt>
                <c:pt idx="2">
                  <c:v>1994</c:v>
                </c:pt>
                <c:pt idx="3">
                  <c:v>1999</c:v>
                </c:pt>
                <c:pt idx="4">
                  <c:v>2005</c:v>
                </c:pt>
                <c:pt idx="5">
                  <c:v>2010</c:v>
                </c:pt>
              </c:numCache>
            </c:numRef>
          </c:cat>
          <c:val>
            <c:numRef>
              <c:f>'Descritivos - WVS'!$F$58:$F$63</c:f>
              <c:numCache>
                <c:formatCode>0%</c:formatCode>
                <c:ptCount val="6"/>
                <c:pt idx="0">
                  <c:v>0.17</c:v>
                </c:pt>
                <c:pt idx="1">
                  <c:v>0.02</c:v>
                </c:pt>
                <c:pt idx="2">
                  <c:v>0.02</c:v>
                </c:pt>
                <c:pt idx="3">
                  <c:v>0.03</c:v>
                </c:pt>
                <c:pt idx="4">
                  <c:v>0.06</c:v>
                </c:pt>
                <c:pt idx="5">
                  <c:v>0.03</c:v>
                </c:pt>
              </c:numCache>
            </c:numRef>
          </c:val>
          <c:extLst xmlns:c16r2="http://schemas.microsoft.com/office/drawing/2015/06/chart">
            <c:ext xmlns:c16="http://schemas.microsoft.com/office/drawing/2014/chart" uri="{C3380CC4-5D6E-409C-BE32-E72D297353CC}">
              <c16:uniqueId val="{00000006-62DA-4892-9134-4882D5DE71A7}"/>
            </c:ext>
          </c:extLst>
        </c:ser>
        <c:dLbls>
          <c:showLegendKey val="0"/>
          <c:showVal val="1"/>
          <c:showCatName val="0"/>
          <c:showSerName val="0"/>
          <c:showPercent val="0"/>
          <c:showBubbleSize val="0"/>
        </c:dLbls>
        <c:gapWidth val="150"/>
        <c:overlap val="-25"/>
        <c:axId val="18075576"/>
        <c:axId val="18074792"/>
      </c:barChart>
      <c:catAx>
        <c:axId val="18075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t-BR"/>
          </a:p>
        </c:txPr>
        <c:crossAx val="18074792"/>
        <c:crosses val="autoZero"/>
        <c:auto val="1"/>
        <c:lblAlgn val="ctr"/>
        <c:lblOffset val="100"/>
        <c:noMultiLvlLbl val="0"/>
      </c:catAx>
      <c:valAx>
        <c:axId val="18074792"/>
        <c:scaling>
          <c:orientation val="minMax"/>
        </c:scaling>
        <c:delete val="1"/>
        <c:axPos val="l"/>
        <c:numFmt formatCode="0%" sourceLinked="1"/>
        <c:majorTickMark val="none"/>
        <c:minorTickMark val="none"/>
        <c:tickLblPos val="nextTo"/>
        <c:crossAx val="180755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pt-BR" sz="1200"/>
              <a:t>NÃO-RESPOSTA NO MÉXICO</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pt-BR"/>
        </a:p>
      </c:txPr>
    </c:title>
    <c:autoTitleDeleted val="0"/>
    <c:plotArea>
      <c:layout/>
      <c:barChart>
        <c:barDir val="col"/>
        <c:grouping val="clustered"/>
        <c:varyColors val="0"/>
        <c:ser>
          <c:idx val="0"/>
          <c:order val="0"/>
          <c:tx>
            <c:strRef>
              <c:f>Descritivo!$B$55</c:f>
              <c:strCache>
                <c:ptCount val="1"/>
                <c:pt idx="0">
                  <c:v>Propina</c:v>
                </c:pt>
              </c:strCache>
            </c:strRef>
          </c:tx>
          <c:spPr>
            <a:solidFill>
              <a:schemeClr val="dk1">
                <a:tint val="88500"/>
              </a:schemeClr>
            </a:solidFill>
            <a:ln>
              <a:noFill/>
            </a:ln>
            <a:effectLst/>
          </c:spPr>
          <c:invertIfNegative val="0"/>
          <c:dLbls>
            <c:dLbl>
              <c:idx val="0"/>
              <c:delete val="1"/>
              <c:extLst xmlns:c16r2="http://schemas.microsoft.com/office/drawing/2015/06/chart">
                <c:ext xmlns:c16="http://schemas.microsoft.com/office/drawing/2014/chart" uri="{C3380CC4-5D6E-409C-BE32-E72D297353CC}">
                  <c16:uniqueId val="{00000000-FF47-4613-8F55-CADC641DC3C8}"/>
                </c:ext>
                <c:ext xmlns:c15="http://schemas.microsoft.com/office/drawing/2012/chart" uri="{CE6537A1-D6FC-4f65-9D91-7224C49458BB}"/>
              </c:extLst>
            </c:dLbl>
            <c:dLbl>
              <c:idx val="5"/>
              <c:delete val="1"/>
              <c:extLst xmlns:c16r2="http://schemas.microsoft.com/office/drawing/2015/06/chart">
                <c:ext xmlns:c16="http://schemas.microsoft.com/office/drawing/2014/chart" uri="{C3380CC4-5D6E-409C-BE32-E72D297353CC}">
                  <c16:uniqueId val="{00000001-FF47-4613-8F55-CADC641DC3C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Descritivo!$A$56:$A$61</c:f>
              <c:numCache>
                <c:formatCode>General</c:formatCode>
                <c:ptCount val="6"/>
                <c:pt idx="0">
                  <c:v>1981</c:v>
                </c:pt>
                <c:pt idx="1">
                  <c:v>1989</c:v>
                </c:pt>
                <c:pt idx="2">
                  <c:v>1994</c:v>
                </c:pt>
                <c:pt idx="3">
                  <c:v>1999</c:v>
                </c:pt>
                <c:pt idx="4">
                  <c:v>2005</c:v>
                </c:pt>
                <c:pt idx="5">
                  <c:v>2010</c:v>
                </c:pt>
              </c:numCache>
            </c:numRef>
          </c:cat>
          <c:val>
            <c:numRef>
              <c:f>Descritivo!$B$56:$B$61</c:f>
              <c:numCache>
                <c:formatCode>0%</c:formatCode>
                <c:ptCount val="6"/>
                <c:pt idx="0">
                  <c:v>0</c:v>
                </c:pt>
                <c:pt idx="1">
                  <c:v>0.02</c:v>
                </c:pt>
                <c:pt idx="2">
                  <c:v>0.03</c:v>
                </c:pt>
                <c:pt idx="3">
                  <c:v>7.0000000000000007E-2</c:v>
                </c:pt>
                <c:pt idx="4">
                  <c:v>0.04</c:v>
                </c:pt>
                <c:pt idx="5">
                  <c:v>0</c:v>
                </c:pt>
              </c:numCache>
            </c:numRef>
          </c:val>
          <c:extLst xmlns:c16r2="http://schemas.microsoft.com/office/drawing/2015/06/chart">
            <c:ext xmlns:c16="http://schemas.microsoft.com/office/drawing/2014/chart" uri="{C3380CC4-5D6E-409C-BE32-E72D297353CC}">
              <c16:uniqueId val="{00000002-FF47-4613-8F55-CADC641DC3C8}"/>
            </c:ext>
          </c:extLst>
        </c:ser>
        <c:ser>
          <c:idx val="1"/>
          <c:order val="1"/>
          <c:tx>
            <c:strRef>
              <c:f>Descritivo!$C$55</c:f>
              <c:strCache>
                <c:ptCount val="1"/>
                <c:pt idx="0">
                  <c:v>Impostos</c:v>
                </c:pt>
              </c:strCache>
            </c:strRef>
          </c:tx>
          <c:spPr>
            <a:solidFill>
              <a:schemeClr val="dk1">
                <a:tint val="55000"/>
              </a:schemeClr>
            </a:solidFill>
            <a:ln>
              <a:noFill/>
            </a:ln>
            <a:effectLst/>
          </c:spPr>
          <c:invertIfNegative val="0"/>
          <c:dLbls>
            <c:dLbl>
              <c:idx val="0"/>
              <c:delete val="1"/>
              <c:extLst xmlns:c16r2="http://schemas.microsoft.com/office/drawing/2015/06/chart">
                <c:ext xmlns:c16="http://schemas.microsoft.com/office/drawing/2014/chart" uri="{C3380CC4-5D6E-409C-BE32-E72D297353CC}">
                  <c16:uniqueId val="{00000003-FF47-4613-8F55-CADC641DC3C8}"/>
                </c:ext>
                <c:ext xmlns:c15="http://schemas.microsoft.com/office/drawing/2012/chart" uri="{CE6537A1-D6FC-4f65-9D91-7224C49458BB}"/>
              </c:extLst>
            </c:dLbl>
            <c:dLbl>
              <c:idx val="5"/>
              <c:delete val="1"/>
              <c:extLst xmlns:c16r2="http://schemas.microsoft.com/office/drawing/2015/06/chart">
                <c:ext xmlns:c16="http://schemas.microsoft.com/office/drawing/2014/chart" uri="{C3380CC4-5D6E-409C-BE32-E72D297353CC}">
                  <c16:uniqueId val="{00000004-FF47-4613-8F55-CADC641DC3C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Descritivo!$A$56:$A$61</c:f>
              <c:numCache>
                <c:formatCode>General</c:formatCode>
                <c:ptCount val="6"/>
                <c:pt idx="0">
                  <c:v>1981</c:v>
                </c:pt>
                <c:pt idx="1">
                  <c:v>1989</c:v>
                </c:pt>
                <c:pt idx="2">
                  <c:v>1994</c:v>
                </c:pt>
                <c:pt idx="3">
                  <c:v>1999</c:v>
                </c:pt>
                <c:pt idx="4">
                  <c:v>2005</c:v>
                </c:pt>
                <c:pt idx="5">
                  <c:v>2010</c:v>
                </c:pt>
              </c:numCache>
            </c:numRef>
          </c:cat>
          <c:val>
            <c:numRef>
              <c:f>Descritivo!$C$56:$C$61</c:f>
              <c:numCache>
                <c:formatCode>0%</c:formatCode>
                <c:ptCount val="6"/>
                <c:pt idx="0">
                  <c:v>0</c:v>
                </c:pt>
                <c:pt idx="1">
                  <c:v>0.02</c:v>
                </c:pt>
                <c:pt idx="2">
                  <c:v>0.03</c:v>
                </c:pt>
                <c:pt idx="3">
                  <c:v>0.06</c:v>
                </c:pt>
                <c:pt idx="4">
                  <c:v>0.03</c:v>
                </c:pt>
                <c:pt idx="5">
                  <c:v>0</c:v>
                </c:pt>
              </c:numCache>
            </c:numRef>
          </c:val>
          <c:extLst xmlns:c16r2="http://schemas.microsoft.com/office/drawing/2015/06/chart">
            <c:ext xmlns:c16="http://schemas.microsoft.com/office/drawing/2014/chart" uri="{C3380CC4-5D6E-409C-BE32-E72D297353CC}">
              <c16:uniqueId val="{00000005-FF47-4613-8F55-CADC641DC3C8}"/>
            </c:ext>
          </c:extLst>
        </c:ser>
        <c:ser>
          <c:idx val="2"/>
          <c:order val="2"/>
          <c:tx>
            <c:strRef>
              <c:f>Descritivo!$D$55</c:f>
              <c:strCache>
                <c:ptCount val="1"/>
                <c:pt idx="0">
                  <c:v>Transporte</c:v>
                </c:pt>
              </c:strCache>
            </c:strRef>
          </c:tx>
          <c:spPr>
            <a:solidFill>
              <a:schemeClr val="dk1">
                <a:tint val="75000"/>
              </a:schemeClr>
            </a:solidFill>
            <a:ln>
              <a:noFill/>
            </a:ln>
            <a:effectLst/>
          </c:spPr>
          <c:invertIfNegative val="0"/>
          <c:dLbls>
            <c:dLbl>
              <c:idx val="0"/>
              <c:delete val="1"/>
              <c:extLst xmlns:c16r2="http://schemas.microsoft.com/office/drawing/2015/06/chart">
                <c:ext xmlns:c16="http://schemas.microsoft.com/office/drawing/2014/chart" uri="{C3380CC4-5D6E-409C-BE32-E72D297353CC}">
                  <c16:uniqueId val="{00000006-FF47-4613-8F55-CADC641DC3C8}"/>
                </c:ext>
                <c:ext xmlns:c15="http://schemas.microsoft.com/office/drawing/2012/chart" uri="{CE6537A1-D6FC-4f65-9D91-7224C49458BB}"/>
              </c:extLst>
            </c:dLbl>
            <c:dLbl>
              <c:idx val="5"/>
              <c:delete val="1"/>
              <c:extLst xmlns:c16r2="http://schemas.microsoft.com/office/drawing/2015/06/chart">
                <c:ext xmlns:c16="http://schemas.microsoft.com/office/drawing/2014/chart" uri="{C3380CC4-5D6E-409C-BE32-E72D297353CC}">
                  <c16:uniqueId val="{00000007-FF47-4613-8F55-CADC641DC3C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Descritivo!$A$56:$A$61</c:f>
              <c:numCache>
                <c:formatCode>General</c:formatCode>
                <c:ptCount val="6"/>
                <c:pt idx="0">
                  <c:v>1981</c:v>
                </c:pt>
                <c:pt idx="1">
                  <c:v>1989</c:v>
                </c:pt>
                <c:pt idx="2">
                  <c:v>1994</c:v>
                </c:pt>
                <c:pt idx="3">
                  <c:v>1999</c:v>
                </c:pt>
                <c:pt idx="4">
                  <c:v>2005</c:v>
                </c:pt>
                <c:pt idx="5">
                  <c:v>2010</c:v>
                </c:pt>
              </c:numCache>
            </c:numRef>
          </c:cat>
          <c:val>
            <c:numRef>
              <c:f>Descritivo!$D$56:$D$61</c:f>
              <c:numCache>
                <c:formatCode>0%</c:formatCode>
                <c:ptCount val="6"/>
                <c:pt idx="0">
                  <c:v>0</c:v>
                </c:pt>
                <c:pt idx="1">
                  <c:v>0.01</c:v>
                </c:pt>
                <c:pt idx="2">
                  <c:v>0.02</c:v>
                </c:pt>
                <c:pt idx="3">
                  <c:v>0.05</c:v>
                </c:pt>
                <c:pt idx="4">
                  <c:v>0.05</c:v>
                </c:pt>
                <c:pt idx="5">
                  <c:v>0</c:v>
                </c:pt>
              </c:numCache>
            </c:numRef>
          </c:val>
          <c:extLst xmlns:c16r2="http://schemas.microsoft.com/office/drawing/2015/06/chart">
            <c:ext xmlns:c16="http://schemas.microsoft.com/office/drawing/2014/chart" uri="{C3380CC4-5D6E-409C-BE32-E72D297353CC}">
              <c16:uniqueId val="{00000008-FF47-4613-8F55-CADC641DC3C8}"/>
            </c:ext>
          </c:extLst>
        </c:ser>
        <c:ser>
          <c:idx val="3"/>
          <c:order val="3"/>
          <c:tx>
            <c:strRef>
              <c:f>Descritivo!$E$55</c:f>
              <c:strCache>
                <c:ptCount val="1"/>
                <c:pt idx="0">
                  <c:v>Benefícios</c:v>
                </c:pt>
              </c:strCache>
            </c:strRef>
          </c:tx>
          <c:spPr>
            <a:solidFill>
              <a:schemeClr val="dk1">
                <a:tint val="98500"/>
              </a:schemeClr>
            </a:solidFill>
            <a:ln>
              <a:noFill/>
            </a:ln>
            <a:effectLst/>
          </c:spPr>
          <c:invertIfNegative val="0"/>
          <c:dLbls>
            <c:dLbl>
              <c:idx val="0"/>
              <c:delete val="1"/>
              <c:extLst xmlns:c16r2="http://schemas.microsoft.com/office/drawing/2015/06/chart">
                <c:ext xmlns:c16="http://schemas.microsoft.com/office/drawing/2014/chart" uri="{C3380CC4-5D6E-409C-BE32-E72D297353CC}">
                  <c16:uniqueId val="{00000009-FF47-4613-8F55-CADC641DC3C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Descritivo!$A$56:$A$61</c:f>
              <c:numCache>
                <c:formatCode>General</c:formatCode>
                <c:ptCount val="6"/>
                <c:pt idx="0">
                  <c:v>1981</c:v>
                </c:pt>
                <c:pt idx="1">
                  <c:v>1989</c:v>
                </c:pt>
                <c:pt idx="2">
                  <c:v>1994</c:v>
                </c:pt>
                <c:pt idx="3">
                  <c:v>1999</c:v>
                </c:pt>
                <c:pt idx="4">
                  <c:v>2005</c:v>
                </c:pt>
                <c:pt idx="5">
                  <c:v>2010</c:v>
                </c:pt>
              </c:numCache>
            </c:numRef>
          </c:cat>
          <c:val>
            <c:numRef>
              <c:f>Descritivo!$E$56:$E$61</c:f>
              <c:numCache>
                <c:formatCode>0%</c:formatCode>
                <c:ptCount val="6"/>
                <c:pt idx="0">
                  <c:v>0</c:v>
                </c:pt>
                <c:pt idx="1">
                  <c:v>7.0000000000000007E-2</c:v>
                </c:pt>
                <c:pt idx="2">
                  <c:v>0.04</c:v>
                </c:pt>
                <c:pt idx="3">
                  <c:v>0.17</c:v>
                </c:pt>
                <c:pt idx="4">
                  <c:v>0.05</c:v>
                </c:pt>
                <c:pt idx="5">
                  <c:v>0.01</c:v>
                </c:pt>
              </c:numCache>
            </c:numRef>
          </c:val>
          <c:extLst xmlns:c16r2="http://schemas.microsoft.com/office/drawing/2015/06/chart">
            <c:ext xmlns:c16="http://schemas.microsoft.com/office/drawing/2014/chart" uri="{C3380CC4-5D6E-409C-BE32-E72D297353CC}">
              <c16:uniqueId val="{0000000A-FF47-4613-8F55-CADC641DC3C8}"/>
            </c:ext>
          </c:extLst>
        </c:ser>
        <c:dLbls>
          <c:showLegendKey val="0"/>
          <c:showVal val="1"/>
          <c:showCatName val="0"/>
          <c:showSerName val="0"/>
          <c:showPercent val="0"/>
          <c:showBubbleSize val="0"/>
        </c:dLbls>
        <c:gapWidth val="150"/>
        <c:overlap val="-25"/>
        <c:axId val="18079104"/>
        <c:axId val="18077928"/>
      </c:barChart>
      <c:catAx>
        <c:axId val="18079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8077928"/>
        <c:crosses val="autoZero"/>
        <c:auto val="1"/>
        <c:lblAlgn val="ctr"/>
        <c:lblOffset val="100"/>
        <c:noMultiLvlLbl val="0"/>
      </c:catAx>
      <c:valAx>
        <c:axId val="18077928"/>
        <c:scaling>
          <c:orientation val="minMax"/>
        </c:scaling>
        <c:delete val="1"/>
        <c:axPos val="l"/>
        <c:numFmt formatCode="0%" sourceLinked="1"/>
        <c:majorTickMark val="none"/>
        <c:minorTickMark val="none"/>
        <c:tickLblPos val="nextTo"/>
        <c:crossAx val="180791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pt-BR" sz="1200"/>
              <a:t>NÃO-RESPOSTA</a:t>
            </a:r>
            <a:r>
              <a:rPr lang="pt-BR" sz="1200" baseline="0"/>
              <a:t> NO CHILE</a:t>
            </a:r>
            <a:endParaRPr lang="pt-BR"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pt-BR"/>
        </a:p>
      </c:txPr>
    </c:title>
    <c:autoTitleDeleted val="0"/>
    <c:plotArea>
      <c:layout/>
      <c:barChart>
        <c:barDir val="col"/>
        <c:grouping val="clustered"/>
        <c:varyColors val="0"/>
        <c:ser>
          <c:idx val="0"/>
          <c:order val="0"/>
          <c:tx>
            <c:strRef>
              <c:f>Descritivo!$B$55</c:f>
              <c:strCache>
                <c:ptCount val="1"/>
                <c:pt idx="0">
                  <c:v>Propina</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Descritivo!$A$56:$A$60</c:f>
              <c:numCache>
                <c:formatCode>General</c:formatCode>
                <c:ptCount val="5"/>
                <c:pt idx="0">
                  <c:v>1989</c:v>
                </c:pt>
                <c:pt idx="1">
                  <c:v>1994</c:v>
                </c:pt>
                <c:pt idx="2">
                  <c:v>1999</c:v>
                </c:pt>
                <c:pt idx="3">
                  <c:v>2005</c:v>
                </c:pt>
                <c:pt idx="4">
                  <c:v>2010</c:v>
                </c:pt>
              </c:numCache>
            </c:numRef>
          </c:cat>
          <c:val>
            <c:numRef>
              <c:f>Descritivo!$B$56:$B$60</c:f>
              <c:numCache>
                <c:formatCode>0.0%</c:formatCode>
                <c:ptCount val="5"/>
                <c:pt idx="0">
                  <c:v>1.4999999999999999E-2</c:v>
                </c:pt>
                <c:pt idx="1">
                  <c:v>1.4E-2</c:v>
                </c:pt>
                <c:pt idx="2">
                  <c:v>2.3E-2</c:v>
                </c:pt>
                <c:pt idx="3">
                  <c:v>3.2000000000000001E-2</c:v>
                </c:pt>
                <c:pt idx="4">
                  <c:v>3.1E-2</c:v>
                </c:pt>
              </c:numCache>
            </c:numRef>
          </c:val>
          <c:extLst xmlns:c16r2="http://schemas.microsoft.com/office/drawing/2015/06/chart">
            <c:ext xmlns:c16="http://schemas.microsoft.com/office/drawing/2014/chart" uri="{C3380CC4-5D6E-409C-BE32-E72D297353CC}">
              <c16:uniqueId val="{00000000-46A8-4567-B383-D460A35C1353}"/>
            </c:ext>
          </c:extLst>
        </c:ser>
        <c:ser>
          <c:idx val="1"/>
          <c:order val="1"/>
          <c:tx>
            <c:strRef>
              <c:f>Descritivo!$C$55</c:f>
              <c:strCache>
                <c:ptCount val="1"/>
                <c:pt idx="0">
                  <c:v>Impostos</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Descritivo!$A$56:$A$60</c:f>
              <c:numCache>
                <c:formatCode>General</c:formatCode>
                <c:ptCount val="5"/>
                <c:pt idx="0">
                  <c:v>1989</c:v>
                </c:pt>
                <c:pt idx="1">
                  <c:v>1994</c:v>
                </c:pt>
                <c:pt idx="2">
                  <c:v>1999</c:v>
                </c:pt>
                <c:pt idx="3">
                  <c:v>2005</c:v>
                </c:pt>
                <c:pt idx="4">
                  <c:v>2010</c:v>
                </c:pt>
              </c:numCache>
            </c:numRef>
          </c:cat>
          <c:val>
            <c:numRef>
              <c:f>Descritivo!$C$56:$C$60</c:f>
              <c:numCache>
                <c:formatCode>0.0%</c:formatCode>
                <c:ptCount val="5"/>
                <c:pt idx="0">
                  <c:v>5.0000000000000001E-3</c:v>
                </c:pt>
                <c:pt idx="1">
                  <c:v>2.1000000000000001E-2</c:v>
                </c:pt>
                <c:pt idx="2">
                  <c:v>0.02</c:v>
                </c:pt>
                <c:pt idx="3">
                  <c:v>3.4000000000000002E-2</c:v>
                </c:pt>
                <c:pt idx="4">
                  <c:v>2.5000000000000001E-2</c:v>
                </c:pt>
              </c:numCache>
            </c:numRef>
          </c:val>
          <c:extLst xmlns:c16r2="http://schemas.microsoft.com/office/drawing/2015/06/chart">
            <c:ext xmlns:c16="http://schemas.microsoft.com/office/drawing/2014/chart" uri="{C3380CC4-5D6E-409C-BE32-E72D297353CC}">
              <c16:uniqueId val="{00000001-46A8-4567-B383-D460A35C1353}"/>
            </c:ext>
          </c:extLst>
        </c:ser>
        <c:ser>
          <c:idx val="2"/>
          <c:order val="2"/>
          <c:tx>
            <c:strRef>
              <c:f>Descritivo!$D$55</c:f>
              <c:strCache>
                <c:ptCount val="1"/>
                <c:pt idx="0">
                  <c:v>Transporte</c:v>
                </c:pt>
              </c:strCache>
            </c:strRef>
          </c:tx>
          <c:spPr>
            <a:solidFill>
              <a:schemeClr val="dk1">
                <a:tint val="75000"/>
              </a:schemeClr>
            </a:solidFill>
            <a:ln>
              <a:noFill/>
            </a:ln>
            <a:effectLst/>
          </c:spPr>
          <c:invertIfNegative val="0"/>
          <c:dLbls>
            <c:dLbl>
              <c:idx val="0"/>
              <c:layout>
                <c:manualLayout>
                  <c:x val="2.7777777777777779E-3"/>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6A8-4567-B383-D460A35C1353}"/>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Descritivo!$A$56:$A$60</c:f>
              <c:numCache>
                <c:formatCode>General</c:formatCode>
                <c:ptCount val="5"/>
                <c:pt idx="0">
                  <c:v>1989</c:v>
                </c:pt>
                <c:pt idx="1">
                  <c:v>1994</c:v>
                </c:pt>
                <c:pt idx="2">
                  <c:v>1999</c:v>
                </c:pt>
                <c:pt idx="3">
                  <c:v>2005</c:v>
                </c:pt>
                <c:pt idx="4">
                  <c:v>2010</c:v>
                </c:pt>
              </c:numCache>
            </c:numRef>
          </c:cat>
          <c:val>
            <c:numRef>
              <c:f>Descritivo!$D$56:$D$60</c:f>
              <c:numCache>
                <c:formatCode>0.0%</c:formatCode>
                <c:ptCount val="5"/>
                <c:pt idx="0">
                  <c:v>5.0000000000000001E-3</c:v>
                </c:pt>
                <c:pt idx="1">
                  <c:v>0.01</c:v>
                </c:pt>
                <c:pt idx="2">
                  <c:v>1.7000000000000001E-2</c:v>
                </c:pt>
                <c:pt idx="3">
                  <c:v>3.7999999999999999E-2</c:v>
                </c:pt>
                <c:pt idx="4">
                  <c:v>1.4999999999999999E-2</c:v>
                </c:pt>
              </c:numCache>
            </c:numRef>
          </c:val>
          <c:extLst xmlns:c16r2="http://schemas.microsoft.com/office/drawing/2015/06/chart">
            <c:ext xmlns:c16="http://schemas.microsoft.com/office/drawing/2014/chart" uri="{C3380CC4-5D6E-409C-BE32-E72D297353CC}">
              <c16:uniqueId val="{00000003-46A8-4567-B383-D460A35C1353}"/>
            </c:ext>
          </c:extLst>
        </c:ser>
        <c:ser>
          <c:idx val="3"/>
          <c:order val="3"/>
          <c:tx>
            <c:strRef>
              <c:f>Descritivo!$E$55</c:f>
              <c:strCache>
                <c:ptCount val="1"/>
                <c:pt idx="0">
                  <c:v>Benefícios</c:v>
                </c:pt>
              </c:strCache>
            </c:strRef>
          </c:tx>
          <c:spPr>
            <a:solidFill>
              <a:schemeClr val="dk1">
                <a:tint val="9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Descritivo!$A$56:$A$60</c:f>
              <c:numCache>
                <c:formatCode>General</c:formatCode>
                <c:ptCount val="5"/>
                <c:pt idx="0">
                  <c:v>1989</c:v>
                </c:pt>
                <c:pt idx="1">
                  <c:v>1994</c:v>
                </c:pt>
                <c:pt idx="2">
                  <c:v>1999</c:v>
                </c:pt>
                <c:pt idx="3">
                  <c:v>2005</c:v>
                </c:pt>
                <c:pt idx="4">
                  <c:v>2010</c:v>
                </c:pt>
              </c:numCache>
            </c:numRef>
          </c:cat>
          <c:val>
            <c:numRef>
              <c:f>Descritivo!$E$56:$E$60</c:f>
              <c:numCache>
                <c:formatCode>0.0%</c:formatCode>
                <c:ptCount val="5"/>
                <c:pt idx="0">
                  <c:v>1.9E-2</c:v>
                </c:pt>
                <c:pt idx="1">
                  <c:v>0.02</c:v>
                </c:pt>
                <c:pt idx="2">
                  <c:v>3.3000000000000002E-2</c:v>
                </c:pt>
                <c:pt idx="3">
                  <c:v>5.1999999999999998E-2</c:v>
                </c:pt>
                <c:pt idx="4">
                  <c:v>2.4E-2</c:v>
                </c:pt>
              </c:numCache>
            </c:numRef>
          </c:val>
          <c:extLst xmlns:c16r2="http://schemas.microsoft.com/office/drawing/2015/06/chart">
            <c:ext xmlns:c16="http://schemas.microsoft.com/office/drawing/2014/chart" uri="{C3380CC4-5D6E-409C-BE32-E72D297353CC}">
              <c16:uniqueId val="{00000004-46A8-4567-B383-D460A35C1353}"/>
            </c:ext>
          </c:extLst>
        </c:ser>
        <c:dLbls>
          <c:showLegendKey val="0"/>
          <c:showVal val="1"/>
          <c:showCatName val="0"/>
          <c:showSerName val="0"/>
          <c:showPercent val="0"/>
          <c:showBubbleSize val="0"/>
        </c:dLbls>
        <c:gapWidth val="150"/>
        <c:overlap val="-25"/>
        <c:axId val="18078320"/>
        <c:axId val="18078712"/>
      </c:barChart>
      <c:catAx>
        <c:axId val="18078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8078712"/>
        <c:crosses val="autoZero"/>
        <c:auto val="1"/>
        <c:lblAlgn val="ctr"/>
        <c:lblOffset val="100"/>
        <c:noMultiLvlLbl val="0"/>
      </c:catAx>
      <c:valAx>
        <c:axId val="18078712"/>
        <c:scaling>
          <c:orientation val="minMax"/>
        </c:scaling>
        <c:delete val="1"/>
        <c:axPos val="l"/>
        <c:numFmt formatCode="0.0%" sourceLinked="1"/>
        <c:majorTickMark val="none"/>
        <c:minorTickMark val="none"/>
        <c:tickLblPos val="nextTo"/>
        <c:crossAx val="1807832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'corrup ou nao'!$B$1</c:f>
              <c:strCache>
                <c:ptCount val="1"/>
                <c:pt idx="0">
                  <c:v>Argentina</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'corrup ou nao'!$A$2:$A$5</c:f>
              <c:strCache>
                <c:ptCount val="4"/>
                <c:pt idx="0">
                  <c:v>É corrupto e ela deve ser castigada</c:v>
                </c:pt>
                <c:pt idx="1">
                  <c:v>É corrupto mas se justifica</c:v>
                </c:pt>
                <c:pt idx="2">
                  <c:v>Não é corrupto</c:v>
                </c:pt>
                <c:pt idx="3">
                  <c:v>NS/NR</c:v>
                </c:pt>
              </c:strCache>
            </c:strRef>
          </c:cat>
          <c:val>
            <c:numRef>
              <c:f>'corrup ou nao'!$B$2:$B$5</c:f>
              <c:numCache>
                <c:formatCode>0%</c:formatCode>
                <c:ptCount val="4"/>
                <c:pt idx="0">
                  <c:v>0.36880000000000002</c:v>
                </c:pt>
                <c:pt idx="1">
                  <c:v>0.43669999999999998</c:v>
                </c:pt>
                <c:pt idx="2">
                  <c:v>9.4200000000000006E-2</c:v>
                </c:pt>
                <c:pt idx="3">
                  <c:v>0.1003</c:v>
                </c:pt>
              </c:numCache>
            </c:numRef>
          </c:val>
          <c:extLst xmlns:c16r2="http://schemas.microsoft.com/office/drawing/2015/06/chart">
            <c:ext xmlns:c16="http://schemas.microsoft.com/office/drawing/2014/chart" uri="{C3380CC4-5D6E-409C-BE32-E72D297353CC}">
              <c16:uniqueId val="{00000000-9CCC-40B2-8241-42F820611A55}"/>
            </c:ext>
          </c:extLst>
        </c:ser>
        <c:ser>
          <c:idx val="1"/>
          <c:order val="1"/>
          <c:tx>
            <c:strRef>
              <c:f>'corrup ou nao'!$C$1</c:f>
              <c:strCache>
                <c:ptCount val="1"/>
                <c:pt idx="0">
                  <c:v>Brasil</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'corrup ou nao'!$A$2:$A$5</c:f>
              <c:strCache>
                <c:ptCount val="4"/>
                <c:pt idx="0">
                  <c:v>É corrupto e ela deve ser castigada</c:v>
                </c:pt>
                <c:pt idx="1">
                  <c:v>É corrupto mas se justifica</c:v>
                </c:pt>
                <c:pt idx="2">
                  <c:v>Não é corrupto</c:v>
                </c:pt>
                <c:pt idx="3">
                  <c:v>NS/NR</c:v>
                </c:pt>
              </c:strCache>
            </c:strRef>
          </c:cat>
          <c:val>
            <c:numRef>
              <c:f>'corrup ou nao'!$C$2:$C$5</c:f>
              <c:numCache>
                <c:formatCode>0%</c:formatCode>
                <c:ptCount val="4"/>
                <c:pt idx="0">
                  <c:v>0.41420000000000001</c:v>
                </c:pt>
                <c:pt idx="1">
                  <c:v>0.38479999999999998</c:v>
                </c:pt>
                <c:pt idx="2">
                  <c:v>0.13089999999999999</c:v>
                </c:pt>
                <c:pt idx="3">
                  <c:v>7.0099999999999996E-2</c:v>
                </c:pt>
              </c:numCache>
            </c:numRef>
          </c:val>
          <c:extLst xmlns:c16r2="http://schemas.microsoft.com/office/drawing/2015/06/chart">
            <c:ext xmlns:c16="http://schemas.microsoft.com/office/drawing/2014/chart" uri="{C3380CC4-5D6E-409C-BE32-E72D297353CC}">
              <c16:uniqueId val="{00000001-9CCC-40B2-8241-42F820611A55}"/>
            </c:ext>
          </c:extLst>
        </c:ser>
        <c:ser>
          <c:idx val="2"/>
          <c:order val="2"/>
          <c:tx>
            <c:strRef>
              <c:f>'corrup ou nao'!$D$1</c:f>
              <c:strCache>
                <c:ptCount val="1"/>
                <c:pt idx="0">
                  <c:v>Chile</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'corrup ou nao'!$A$2:$A$5</c:f>
              <c:strCache>
                <c:ptCount val="4"/>
                <c:pt idx="0">
                  <c:v>É corrupto e ela deve ser castigada</c:v>
                </c:pt>
                <c:pt idx="1">
                  <c:v>É corrupto mas se justifica</c:v>
                </c:pt>
                <c:pt idx="2">
                  <c:v>Não é corrupto</c:v>
                </c:pt>
                <c:pt idx="3">
                  <c:v>NS/NR</c:v>
                </c:pt>
              </c:strCache>
            </c:strRef>
          </c:cat>
          <c:val>
            <c:numRef>
              <c:f>'corrup ou nao'!$D$2:$D$5</c:f>
              <c:numCache>
                <c:formatCode>0%</c:formatCode>
                <c:ptCount val="4"/>
                <c:pt idx="0">
                  <c:v>0.44529999999999997</c:v>
                </c:pt>
                <c:pt idx="1">
                  <c:v>0.41060000000000002</c:v>
                </c:pt>
                <c:pt idx="2">
                  <c:v>8.9700000000000002E-2</c:v>
                </c:pt>
                <c:pt idx="3">
                  <c:v>5.4399999999999997E-2</c:v>
                </c:pt>
              </c:numCache>
            </c:numRef>
          </c:val>
          <c:extLst xmlns:c16r2="http://schemas.microsoft.com/office/drawing/2015/06/chart">
            <c:ext xmlns:c16="http://schemas.microsoft.com/office/drawing/2014/chart" uri="{C3380CC4-5D6E-409C-BE32-E72D297353CC}">
              <c16:uniqueId val="{00000002-9CCC-40B2-8241-42F820611A55}"/>
            </c:ext>
          </c:extLst>
        </c:ser>
        <c:ser>
          <c:idx val="3"/>
          <c:order val="3"/>
          <c:tx>
            <c:strRef>
              <c:f>'corrup ou nao'!$E$1</c:f>
              <c:strCache>
                <c:ptCount val="1"/>
                <c:pt idx="0">
                  <c:v>México</c:v>
                </c:pt>
              </c:strCache>
            </c:strRef>
          </c:tx>
          <c:spPr>
            <a:solidFill>
              <a:schemeClr val="dk1">
                <a:tint val="9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'corrup ou nao'!$A$2:$A$5</c:f>
              <c:strCache>
                <c:ptCount val="4"/>
                <c:pt idx="0">
                  <c:v>É corrupto e ela deve ser castigada</c:v>
                </c:pt>
                <c:pt idx="1">
                  <c:v>É corrupto mas se justifica</c:v>
                </c:pt>
                <c:pt idx="2">
                  <c:v>Não é corrupto</c:v>
                </c:pt>
                <c:pt idx="3">
                  <c:v>NS/NR</c:v>
                </c:pt>
              </c:strCache>
            </c:strRef>
          </c:cat>
          <c:val>
            <c:numRef>
              <c:f>'corrup ou nao'!$E$2:$E$5</c:f>
              <c:numCache>
                <c:formatCode>0%</c:formatCode>
                <c:ptCount val="4"/>
                <c:pt idx="0">
                  <c:v>0.51470000000000005</c:v>
                </c:pt>
                <c:pt idx="1">
                  <c:v>0.40899999999999997</c:v>
                </c:pt>
                <c:pt idx="2">
                  <c:v>5.8999999999999997E-2</c:v>
                </c:pt>
                <c:pt idx="3">
                  <c:v>1.7299999999999999E-2</c:v>
                </c:pt>
              </c:numCache>
            </c:numRef>
          </c:val>
          <c:extLst xmlns:c16r2="http://schemas.microsoft.com/office/drawing/2015/06/chart">
            <c:ext xmlns:c16="http://schemas.microsoft.com/office/drawing/2014/chart" uri="{C3380CC4-5D6E-409C-BE32-E72D297353CC}">
              <c16:uniqueId val="{00000003-9CCC-40B2-8241-42F820611A55}"/>
            </c:ext>
          </c:extLst>
        </c:ser>
        <c:dLbls>
          <c:showLegendKey val="0"/>
          <c:showVal val="1"/>
          <c:showCatName val="0"/>
          <c:showSerName val="0"/>
          <c:showPercent val="0"/>
          <c:showBubbleSize val="0"/>
        </c:dLbls>
        <c:gapWidth val="150"/>
        <c:overlap val="-25"/>
        <c:axId val="18081456"/>
        <c:axId val="18080280"/>
      </c:barChart>
      <c:catAx>
        <c:axId val="18081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8080280"/>
        <c:crosses val="autoZero"/>
        <c:auto val="1"/>
        <c:lblAlgn val="ctr"/>
        <c:lblOffset val="100"/>
        <c:noMultiLvlLbl val="0"/>
      </c:catAx>
      <c:valAx>
        <c:axId val="18080280"/>
        <c:scaling>
          <c:orientation val="minMax"/>
        </c:scaling>
        <c:delete val="1"/>
        <c:axPos val="l"/>
        <c:numFmt formatCode="0%" sourceLinked="1"/>
        <c:majorTickMark val="none"/>
        <c:minorTickMark val="none"/>
        <c:tickLblPos val="nextTo"/>
        <c:crossAx val="180814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BR"/>
              <a:t>Cenário</a:t>
            </a:r>
            <a:r>
              <a:rPr lang="pt-BR" baseline="0"/>
              <a:t> 2</a:t>
            </a:r>
            <a:endParaRPr lang="pt-B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BR"/>
        </a:p>
      </c:txPr>
    </c:title>
    <c:autoTitleDeleted val="0"/>
    <c:plotArea>
      <c:layout/>
      <c:barChart>
        <c:barDir val="col"/>
        <c:grouping val="clustered"/>
        <c:varyColors val="0"/>
        <c:ser>
          <c:idx val="0"/>
          <c:order val="0"/>
          <c:tx>
            <c:strRef>
              <c:f>'corrup ou nao'!$B$7</c:f>
              <c:strCache>
                <c:ptCount val="1"/>
                <c:pt idx="0">
                  <c:v>Argentina</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'corrup ou nao'!$A$8:$A$11</c:f>
              <c:strCache>
                <c:ptCount val="4"/>
                <c:pt idx="0">
                  <c:v>É corrupto e ela deve ser castigada</c:v>
                </c:pt>
                <c:pt idx="1">
                  <c:v>É corrupto mas se justifica</c:v>
                </c:pt>
                <c:pt idx="2">
                  <c:v>Não é corrupto</c:v>
                </c:pt>
                <c:pt idx="3">
                  <c:v>NS/NR</c:v>
                </c:pt>
              </c:strCache>
            </c:strRef>
          </c:cat>
          <c:val>
            <c:numRef>
              <c:f>'corrup ou nao'!$B$8:$B$11</c:f>
              <c:numCache>
                <c:formatCode>0%</c:formatCode>
                <c:ptCount val="4"/>
                <c:pt idx="0">
                  <c:v>0.53569999999999995</c:v>
                </c:pt>
                <c:pt idx="1">
                  <c:v>0.25979999999999998</c:v>
                </c:pt>
                <c:pt idx="2">
                  <c:v>0.1205</c:v>
                </c:pt>
                <c:pt idx="3">
                  <c:v>8.4099999999999994E-2</c:v>
                </c:pt>
              </c:numCache>
            </c:numRef>
          </c:val>
          <c:extLst xmlns:c16r2="http://schemas.microsoft.com/office/drawing/2015/06/chart">
            <c:ext xmlns:c16="http://schemas.microsoft.com/office/drawing/2014/chart" uri="{C3380CC4-5D6E-409C-BE32-E72D297353CC}">
              <c16:uniqueId val="{00000000-FEAB-44F4-877D-46272D3EB6FC}"/>
            </c:ext>
          </c:extLst>
        </c:ser>
        <c:ser>
          <c:idx val="1"/>
          <c:order val="1"/>
          <c:tx>
            <c:strRef>
              <c:f>'corrup ou nao'!$C$7</c:f>
              <c:strCache>
                <c:ptCount val="1"/>
                <c:pt idx="0">
                  <c:v>Brasil</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'corrup ou nao'!$A$8:$A$11</c:f>
              <c:strCache>
                <c:ptCount val="4"/>
                <c:pt idx="0">
                  <c:v>É corrupto e ela deve ser castigada</c:v>
                </c:pt>
                <c:pt idx="1">
                  <c:v>É corrupto mas se justifica</c:v>
                </c:pt>
                <c:pt idx="2">
                  <c:v>Não é corrupto</c:v>
                </c:pt>
                <c:pt idx="3">
                  <c:v>NS/NR</c:v>
                </c:pt>
              </c:strCache>
            </c:strRef>
          </c:cat>
          <c:val>
            <c:numRef>
              <c:f>'corrup ou nao'!$C$8:$C$11</c:f>
              <c:numCache>
                <c:formatCode>0%</c:formatCode>
                <c:ptCount val="4"/>
                <c:pt idx="0">
                  <c:v>0.57310000000000005</c:v>
                </c:pt>
                <c:pt idx="1">
                  <c:v>0.22039999999999998</c:v>
                </c:pt>
                <c:pt idx="2">
                  <c:v>0.153</c:v>
                </c:pt>
                <c:pt idx="3">
                  <c:v>5.3399999999999996E-2</c:v>
                </c:pt>
              </c:numCache>
            </c:numRef>
          </c:val>
          <c:extLst xmlns:c16r2="http://schemas.microsoft.com/office/drawing/2015/06/chart">
            <c:ext xmlns:c16="http://schemas.microsoft.com/office/drawing/2014/chart" uri="{C3380CC4-5D6E-409C-BE32-E72D297353CC}">
              <c16:uniqueId val="{00000001-FEAB-44F4-877D-46272D3EB6FC}"/>
            </c:ext>
          </c:extLst>
        </c:ser>
        <c:ser>
          <c:idx val="2"/>
          <c:order val="2"/>
          <c:tx>
            <c:strRef>
              <c:f>'corrup ou nao'!$D$7</c:f>
              <c:strCache>
                <c:ptCount val="1"/>
                <c:pt idx="0">
                  <c:v>Chile</c:v>
                </c:pt>
              </c:strCache>
            </c:strRef>
          </c:tx>
          <c:spPr>
            <a:solidFill>
              <a:schemeClr val="dk1">
                <a:tint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'corrup ou nao'!$A$8:$A$11</c:f>
              <c:strCache>
                <c:ptCount val="4"/>
                <c:pt idx="0">
                  <c:v>É corrupto e ela deve ser castigada</c:v>
                </c:pt>
                <c:pt idx="1">
                  <c:v>É corrupto mas se justifica</c:v>
                </c:pt>
                <c:pt idx="2">
                  <c:v>Não é corrupto</c:v>
                </c:pt>
                <c:pt idx="3">
                  <c:v>NS/NR</c:v>
                </c:pt>
              </c:strCache>
            </c:strRef>
          </c:cat>
          <c:val>
            <c:numRef>
              <c:f>'corrup ou nao'!$D$8:$D$11</c:f>
              <c:numCache>
                <c:formatCode>0%</c:formatCode>
                <c:ptCount val="4"/>
                <c:pt idx="0">
                  <c:v>0.61170000000000002</c:v>
                </c:pt>
                <c:pt idx="1">
                  <c:v>0.24890000000000001</c:v>
                </c:pt>
                <c:pt idx="2">
                  <c:v>8.4500000000000006E-2</c:v>
                </c:pt>
                <c:pt idx="3">
                  <c:v>5.5E-2</c:v>
                </c:pt>
              </c:numCache>
            </c:numRef>
          </c:val>
          <c:extLst xmlns:c16r2="http://schemas.microsoft.com/office/drawing/2015/06/chart">
            <c:ext xmlns:c16="http://schemas.microsoft.com/office/drawing/2014/chart" uri="{C3380CC4-5D6E-409C-BE32-E72D297353CC}">
              <c16:uniqueId val="{00000002-FEAB-44F4-877D-46272D3EB6FC}"/>
            </c:ext>
          </c:extLst>
        </c:ser>
        <c:ser>
          <c:idx val="3"/>
          <c:order val="3"/>
          <c:tx>
            <c:strRef>
              <c:f>'corrup ou nao'!$E$7</c:f>
              <c:strCache>
                <c:ptCount val="1"/>
                <c:pt idx="0">
                  <c:v>México</c:v>
                </c:pt>
              </c:strCache>
            </c:strRef>
          </c:tx>
          <c:spPr>
            <a:solidFill>
              <a:schemeClr val="dk1">
                <a:tint val="9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'corrup ou nao'!$A$8:$A$11</c:f>
              <c:strCache>
                <c:ptCount val="4"/>
                <c:pt idx="0">
                  <c:v>É corrupto e ela deve ser castigada</c:v>
                </c:pt>
                <c:pt idx="1">
                  <c:v>É corrupto mas se justifica</c:v>
                </c:pt>
                <c:pt idx="2">
                  <c:v>Não é corrupto</c:v>
                </c:pt>
                <c:pt idx="3">
                  <c:v>NS/NR</c:v>
                </c:pt>
              </c:strCache>
            </c:strRef>
          </c:cat>
          <c:val>
            <c:numRef>
              <c:f>'corrup ou nao'!$E$8:$E$11</c:f>
              <c:numCache>
                <c:formatCode>0%</c:formatCode>
                <c:ptCount val="4"/>
                <c:pt idx="0">
                  <c:v>0.75770000000000004</c:v>
                </c:pt>
                <c:pt idx="1">
                  <c:v>0.1628</c:v>
                </c:pt>
                <c:pt idx="2">
                  <c:v>6.0299999999999999E-2</c:v>
                </c:pt>
                <c:pt idx="3">
                  <c:v>1.9199999999999998E-2</c:v>
                </c:pt>
              </c:numCache>
            </c:numRef>
          </c:val>
          <c:extLst xmlns:c16r2="http://schemas.microsoft.com/office/drawing/2015/06/chart">
            <c:ext xmlns:c16="http://schemas.microsoft.com/office/drawing/2014/chart" uri="{C3380CC4-5D6E-409C-BE32-E72D297353CC}">
              <c16:uniqueId val="{00000003-FEAB-44F4-877D-46272D3EB6FC}"/>
            </c:ext>
          </c:extLst>
        </c:ser>
        <c:dLbls>
          <c:showLegendKey val="0"/>
          <c:showVal val="1"/>
          <c:showCatName val="0"/>
          <c:showSerName val="0"/>
          <c:showPercent val="0"/>
          <c:showBubbleSize val="0"/>
        </c:dLbls>
        <c:gapWidth val="150"/>
        <c:overlap val="-25"/>
        <c:axId val="18081064"/>
        <c:axId val="18074400"/>
      </c:barChart>
      <c:catAx>
        <c:axId val="18081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8074400"/>
        <c:crosses val="autoZero"/>
        <c:auto val="1"/>
        <c:lblAlgn val="ctr"/>
        <c:lblOffset val="100"/>
        <c:noMultiLvlLbl val="0"/>
      </c:catAx>
      <c:valAx>
        <c:axId val="18074400"/>
        <c:scaling>
          <c:orientation val="minMax"/>
        </c:scaling>
        <c:delete val="1"/>
        <c:axPos val="l"/>
        <c:numFmt formatCode="0%" sourceLinked="1"/>
        <c:majorTickMark val="none"/>
        <c:minorTickMark val="none"/>
        <c:tickLblPos val="nextTo"/>
        <c:crossAx val="180810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4139195100612423"/>
          <c:y val="8.0864003990451405E-2"/>
          <c:w val="0.63938538932633426"/>
          <c:h val="0.82033170627427232"/>
        </c:manualLayout>
      </c:layout>
      <c:lineChart>
        <c:grouping val="standard"/>
        <c:varyColors val="0"/>
        <c:ser>
          <c:idx val="0"/>
          <c:order val="0"/>
          <c:tx>
            <c:strRef>
              <c:f>Plan1!$K$3</c:f>
              <c:strCache>
                <c:ptCount val="1"/>
                <c:pt idx="0">
                  <c:v>Argentina</c:v>
                </c:pt>
              </c:strCache>
            </c:strRef>
          </c:tx>
          <c:spPr>
            <a:ln w="22225" cap="rnd">
              <a:solidFill>
                <a:schemeClr val="dk1">
                  <a:tint val="88500"/>
                </a:schemeClr>
              </a:solidFill>
              <a:round/>
            </a:ln>
            <a:effectLst/>
          </c:spPr>
          <c:marker>
            <c:symbol val="diamond"/>
            <c:size val="6"/>
            <c:spPr>
              <a:solidFill>
                <a:schemeClr val="dk1">
                  <a:tint val="88500"/>
                </a:schemeClr>
              </a:solidFill>
              <a:ln w="9525">
                <a:solidFill>
                  <a:schemeClr val="dk1">
                    <a:tint val="88500"/>
                  </a:schemeClr>
                </a:solidFill>
                <a:round/>
              </a:ln>
              <a:effectLst/>
            </c:spPr>
          </c:marker>
          <c:cat>
            <c:strRef>
              <c:f>Plan1!$L$1:$Q$2</c:f>
              <c:strCache>
                <c:ptCount val="6"/>
                <c:pt idx="0">
                  <c:v>1981</c:v>
                </c:pt>
                <c:pt idx="1">
                  <c:v>1989</c:v>
                </c:pt>
                <c:pt idx="2">
                  <c:v>1994</c:v>
                </c:pt>
                <c:pt idx="3">
                  <c:v>1999</c:v>
                </c:pt>
                <c:pt idx="4">
                  <c:v>2005</c:v>
                </c:pt>
                <c:pt idx="5">
                  <c:v>2010</c:v>
                </c:pt>
              </c:strCache>
            </c:strRef>
          </c:cat>
          <c:val>
            <c:numRef>
              <c:f>Plan1!$L$3:$Q$3</c:f>
              <c:numCache>
                <c:formatCode>0.000</c:formatCode>
                <c:ptCount val="6"/>
                <c:pt idx="0">
                  <c:v>0.50960000000000005</c:v>
                </c:pt>
                <c:pt idx="1">
                  <c:v>0.40749999999999997</c:v>
                </c:pt>
                <c:pt idx="2">
                  <c:v>0.45779999999999998</c:v>
                </c:pt>
                <c:pt idx="3">
                  <c:v>0.45300000000000001</c:v>
                </c:pt>
                <c:pt idx="4">
                  <c:v>0.59789999999999999</c:v>
                </c:pt>
                <c:pt idx="5">
                  <c:v>0.51680000000000004</c:v>
                </c:pt>
              </c:numCache>
            </c:numRef>
          </c:val>
          <c:smooth val="0"/>
          <c:extLst xmlns:c16r2="http://schemas.microsoft.com/office/drawing/2015/06/chart">
            <c:ext xmlns:c16="http://schemas.microsoft.com/office/drawing/2014/chart" uri="{C3380CC4-5D6E-409C-BE32-E72D297353CC}">
              <c16:uniqueId val="{00000000-5490-4A66-BBFF-D26AC8659A68}"/>
            </c:ext>
          </c:extLst>
        </c:ser>
        <c:ser>
          <c:idx val="1"/>
          <c:order val="1"/>
          <c:tx>
            <c:strRef>
              <c:f>Plan1!$K$4</c:f>
              <c:strCache>
                <c:ptCount val="1"/>
                <c:pt idx="0">
                  <c:v>Chile</c:v>
                </c:pt>
              </c:strCache>
            </c:strRef>
          </c:tx>
          <c:spPr>
            <a:ln w="22225" cap="rnd">
              <a:solidFill>
                <a:schemeClr val="dk1">
                  <a:tint val="55000"/>
                </a:schemeClr>
              </a:solidFill>
              <a:round/>
            </a:ln>
            <a:effectLst/>
          </c:spPr>
          <c:marker>
            <c:symbol val="square"/>
            <c:size val="6"/>
            <c:spPr>
              <a:solidFill>
                <a:schemeClr val="dk1">
                  <a:tint val="55000"/>
                </a:schemeClr>
              </a:solidFill>
              <a:ln w="9525">
                <a:solidFill>
                  <a:schemeClr val="dk1">
                    <a:tint val="55000"/>
                  </a:schemeClr>
                </a:solidFill>
                <a:round/>
              </a:ln>
              <a:effectLst/>
            </c:spPr>
          </c:marker>
          <c:cat>
            <c:strRef>
              <c:f>Plan1!$L$1:$Q$2</c:f>
              <c:strCache>
                <c:ptCount val="6"/>
                <c:pt idx="0">
                  <c:v>1981</c:v>
                </c:pt>
                <c:pt idx="1">
                  <c:v>1989</c:v>
                </c:pt>
                <c:pt idx="2">
                  <c:v>1994</c:v>
                </c:pt>
                <c:pt idx="3">
                  <c:v>1999</c:v>
                </c:pt>
                <c:pt idx="4">
                  <c:v>2005</c:v>
                </c:pt>
                <c:pt idx="5">
                  <c:v>2010</c:v>
                </c:pt>
              </c:strCache>
            </c:strRef>
          </c:cat>
          <c:val>
            <c:numRef>
              <c:f>Plan1!$L$4:$Q$4</c:f>
              <c:numCache>
                <c:formatCode>0.000</c:formatCode>
                <c:ptCount val="6"/>
                <c:pt idx="1">
                  <c:v>0.39090000000000003</c:v>
                </c:pt>
                <c:pt idx="2">
                  <c:v>0.5484</c:v>
                </c:pt>
                <c:pt idx="3">
                  <c:v>0.55269999999999997</c:v>
                </c:pt>
                <c:pt idx="4">
                  <c:v>0.40810000000000002</c:v>
                </c:pt>
                <c:pt idx="5">
                  <c:v>0.52780000000000005</c:v>
                </c:pt>
              </c:numCache>
            </c:numRef>
          </c:val>
          <c:smooth val="0"/>
          <c:extLst xmlns:c16r2="http://schemas.microsoft.com/office/drawing/2015/06/chart">
            <c:ext xmlns:c16="http://schemas.microsoft.com/office/drawing/2014/chart" uri="{C3380CC4-5D6E-409C-BE32-E72D297353CC}">
              <c16:uniqueId val="{00000001-5490-4A66-BBFF-D26AC8659A68}"/>
            </c:ext>
          </c:extLst>
        </c:ser>
        <c:ser>
          <c:idx val="2"/>
          <c:order val="2"/>
          <c:tx>
            <c:strRef>
              <c:f>Plan1!$K$5</c:f>
              <c:strCache>
                <c:ptCount val="1"/>
                <c:pt idx="0">
                  <c:v>México</c:v>
                </c:pt>
              </c:strCache>
            </c:strRef>
          </c:tx>
          <c:spPr>
            <a:ln w="22225" cap="rnd">
              <a:solidFill>
                <a:schemeClr val="dk1">
                  <a:tint val="75000"/>
                </a:schemeClr>
              </a:solidFill>
              <a:round/>
            </a:ln>
            <a:effectLst/>
          </c:spPr>
          <c:marker>
            <c:symbol val="triangle"/>
            <c:size val="6"/>
            <c:spPr>
              <a:solidFill>
                <a:schemeClr val="dk1">
                  <a:tint val="75000"/>
                </a:schemeClr>
              </a:solidFill>
              <a:ln w="9525">
                <a:solidFill>
                  <a:schemeClr val="dk1">
                    <a:tint val="75000"/>
                  </a:schemeClr>
                </a:solidFill>
                <a:round/>
              </a:ln>
              <a:effectLst/>
            </c:spPr>
          </c:marker>
          <c:cat>
            <c:strRef>
              <c:f>Plan1!$L$1:$Q$2</c:f>
              <c:strCache>
                <c:ptCount val="6"/>
                <c:pt idx="0">
                  <c:v>1981</c:v>
                </c:pt>
                <c:pt idx="1">
                  <c:v>1989</c:v>
                </c:pt>
                <c:pt idx="2">
                  <c:v>1994</c:v>
                </c:pt>
                <c:pt idx="3">
                  <c:v>1999</c:v>
                </c:pt>
                <c:pt idx="4">
                  <c:v>2005</c:v>
                </c:pt>
                <c:pt idx="5">
                  <c:v>2010</c:v>
                </c:pt>
              </c:strCache>
            </c:strRef>
          </c:cat>
          <c:val>
            <c:numRef>
              <c:f>Plan1!$L$5:$Q$5</c:f>
              <c:numCache>
                <c:formatCode>0.000</c:formatCode>
                <c:ptCount val="6"/>
                <c:pt idx="0">
                  <c:v>0.53500000000000003</c:v>
                </c:pt>
                <c:pt idx="1">
                  <c:v>0.48799999999999999</c:v>
                </c:pt>
                <c:pt idx="2">
                  <c:v>0.61199999999999999</c:v>
                </c:pt>
                <c:pt idx="3">
                  <c:v>0.47399999999999998</c:v>
                </c:pt>
                <c:pt idx="4">
                  <c:v>0.50800000000000001</c:v>
                </c:pt>
                <c:pt idx="5">
                  <c:v>0.40699999999999997</c:v>
                </c:pt>
              </c:numCache>
            </c:numRef>
          </c:val>
          <c:smooth val="0"/>
          <c:extLst xmlns:c16r2="http://schemas.microsoft.com/office/drawing/2015/06/chart">
            <c:ext xmlns:c16="http://schemas.microsoft.com/office/drawing/2014/chart" uri="{C3380CC4-5D6E-409C-BE32-E72D297353CC}">
              <c16:uniqueId val="{00000002-5490-4A66-BBFF-D26AC8659A68}"/>
            </c:ext>
          </c:extLst>
        </c:ser>
        <c:dLbls>
          <c:showLegendKey val="0"/>
          <c:showVal val="0"/>
          <c:showCatName val="0"/>
          <c:showSerName val="0"/>
          <c:showPercent val="0"/>
          <c:showBubbleSize val="0"/>
        </c:dLbls>
        <c:marker val="1"/>
        <c:smooth val="0"/>
        <c:axId val="288607512"/>
        <c:axId val="288606336"/>
      </c:lineChart>
      <c:catAx>
        <c:axId val="288607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t-BR"/>
          </a:p>
        </c:txPr>
        <c:crossAx val="288606336"/>
        <c:crosses val="autoZero"/>
        <c:auto val="1"/>
        <c:lblAlgn val="ctr"/>
        <c:lblOffset val="100"/>
        <c:noMultiLvlLbl val="0"/>
      </c:catAx>
      <c:valAx>
        <c:axId val="2886063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en-US"/>
                  <a:t>Variância Explicada</a:t>
                </a:r>
              </a:p>
            </c:rich>
          </c:tx>
          <c:overlay val="0"/>
          <c:spPr>
            <a:noFill/>
            <a:ln>
              <a:noFill/>
            </a:ln>
            <a:effectLst/>
          </c:spPr>
          <c:txPr>
            <a:bodyPr rot="-540000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endParaRPr lang="pt-BR"/>
            </a:p>
          </c:txPr>
        </c:title>
        <c:numFmt formatCode="0.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BR"/>
          </a:p>
        </c:txPr>
        <c:crossAx val="2886075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800"/>
      </a:pPr>
      <a:endParaRPr lang="pt-B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5366447944007"/>
          <c:y val="8.6576131193611669E-2"/>
          <c:w val="0.61601574803149606"/>
          <c:h val="0.72209608184178287"/>
        </c:manualLayout>
      </c:layout>
      <c:lineChart>
        <c:grouping val="standard"/>
        <c:varyColors val="0"/>
        <c:ser>
          <c:idx val="0"/>
          <c:order val="0"/>
          <c:tx>
            <c:strRef>
              <c:f>Plan1!$K$11</c:f>
              <c:strCache>
                <c:ptCount val="1"/>
                <c:pt idx="0">
                  <c:v>Argentina</c:v>
                </c:pt>
              </c:strCache>
            </c:strRef>
          </c:tx>
          <c:spPr>
            <a:ln w="22225" cap="rnd">
              <a:solidFill>
                <a:schemeClr val="dk1">
                  <a:tint val="88500"/>
                </a:schemeClr>
              </a:solidFill>
              <a:round/>
            </a:ln>
            <a:effectLst/>
          </c:spPr>
          <c:marker>
            <c:symbol val="diamond"/>
            <c:size val="6"/>
            <c:spPr>
              <a:solidFill>
                <a:schemeClr val="dk1">
                  <a:tint val="88500"/>
                </a:schemeClr>
              </a:solidFill>
              <a:ln w="9525">
                <a:solidFill>
                  <a:schemeClr val="dk1">
                    <a:tint val="88500"/>
                  </a:schemeClr>
                </a:solidFill>
                <a:round/>
              </a:ln>
              <a:effectLst/>
            </c:spPr>
          </c:marker>
          <c:cat>
            <c:numRef>
              <c:f>Plan1!$L$10:$Q$10</c:f>
              <c:numCache>
                <c:formatCode>General</c:formatCode>
                <c:ptCount val="6"/>
                <c:pt idx="0">
                  <c:v>1981</c:v>
                </c:pt>
                <c:pt idx="1">
                  <c:v>1989</c:v>
                </c:pt>
                <c:pt idx="2">
                  <c:v>1994</c:v>
                </c:pt>
                <c:pt idx="3">
                  <c:v>1999</c:v>
                </c:pt>
                <c:pt idx="4">
                  <c:v>2005</c:v>
                </c:pt>
                <c:pt idx="5">
                  <c:v>2010</c:v>
                </c:pt>
              </c:numCache>
            </c:numRef>
          </c:cat>
          <c:val>
            <c:numRef>
              <c:f>Plan1!$L$11:$Q$11</c:f>
              <c:numCache>
                <c:formatCode>0.000</c:formatCode>
                <c:ptCount val="6"/>
                <c:pt idx="0">
                  <c:v>0.65820000000000001</c:v>
                </c:pt>
                <c:pt idx="1">
                  <c:v>0.49380000000000002</c:v>
                </c:pt>
                <c:pt idx="2">
                  <c:v>0.58499999999999996</c:v>
                </c:pt>
                <c:pt idx="3">
                  <c:v>0.54800000000000004</c:v>
                </c:pt>
                <c:pt idx="4">
                  <c:v>0.69320000000000004</c:v>
                </c:pt>
                <c:pt idx="5">
                  <c:v>0.59399999999999997</c:v>
                </c:pt>
              </c:numCache>
            </c:numRef>
          </c:val>
          <c:smooth val="0"/>
          <c:extLst xmlns:c16r2="http://schemas.microsoft.com/office/drawing/2015/06/chart">
            <c:ext xmlns:c16="http://schemas.microsoft.com/office/drawing/2014/chart" uri="{C3380CC4-5D6E-409C-BE32-E72D297353CC}">
              <c16:uniqueId val="{00000000-770B-434D-AF29-E62B2CEAF788}"/>
            </c:ext>
          </c:extLst>
        </c:ser>
        <c:ser>
          <c:idx val="1"/>
          <c:order val="1"/>
          <c:tx>
            <c:strRef>
              <c:f>Plan1!$K$12</c:f>
              <c:strCache>
                <c:ptCount val="1"/>
                <c:pt idx="0">
                  <c:v>Chile</c:v>
                </c:pt>
              </c:strCache>
            </c:strRef>
          </c:tx>
          <c:spPr>
            <a:ln w="22225" cap="rnd">
              <a:solidFill>
                <a:schemeClr val="dk1">
                  <a:tint val="55000"/>
                </a:schemeClr>
              </a:solidFill>
              <a:round/>
            </a:ln>
            <a:effectLst/>
          </c:spPr>
          <c:marker>
            <c:symbol val="square"/>
            <c:size val="6"/>
            <c:spPr>
              <a:solidFill>
                <a:schemeClr val="dk1">
                  <a:tint val="55000"/>
                </a:schemeClr>
              </a:solidFill>
              <a:ln w="9525">
                <a:solidFill>
                  <a:schemeClr val="dk1">
                    <a:tint val="55000"/>
                  </a:schemeClr>
                </a:solidFill>
                <a:round/>
              </a:ln>
              <a:effectLst/>
            </c:spPr>
          </c:marker>
          <c:cat>
            <c:numRef>
              <c:f>Plan1!$L$10:$Q$10</c:f>
              <c:numCache>
                <c:formatCode>General</c:formatCode>
                <c:ptCount val="6"/>
                <c:pt idx="0">
                  <c:v>1981</c:v>
                </c:pt>
                <c:pt idx="1">
                  <c:v>1989</c:v>
                </c:pt>
                <c:pt idx="2">
                  <c:v>1994</c:v>
                </c:pt>
                <c:pt idx="3">
                  <c:v>1999</c:v>
                </c:pt>
                <c:pt idx="4">
                  <c:v>2005</c:v>
                </c:pt>
                <c:pt idx="5">
                  <c:v>2010</c:v>
                </c:pt>
              </c:numCache>
            </c:numRef>
          </c:cat>
          <c:val>
            <c:numRef>
              <c:f>Plan1!$L$12:$Q$12</c:f>
              <c:numCache>
                <c:formatCode>0.000</c:formatCode>
                <c:ptCount val="6"/>
                <c:pt idx="1">
                  <c:v>0.43619999999999998</c:v>
                </c:pt>
                <c:pt idx="2">
                  <c:v>0.66579999999999995</c:v>
                </c:pt>
                <c:pt idx="3">
                  <c:v>0.70240000000000002</c:v>
                </c:pt>
                <c:pt idx="4">
                  <c:v>0.61099999999999999</c:v>
                </c:pt>
                <c:pt idx="5">
                  <c:v>0.64639999999999997</c:v>
                </c:pt>
              </c:numCache>
            </c:numRef>
          </c:val>
          <c:smooth val="0"/>
          <c:extLst xmlns:c16r2="http://schemas.microsoft.com/office/drawing/2015/06/chart">
            <c:ext xmlns:c16="http://schemas.microsoft.com/office/drawing/2014/chart" uri="{C3380CC4-5D6E-409C-BE32-E72D297353CC}">
              <c16:uniqueId val="{00000001-770B-434D-AF29-E62B2CEAF788}"/>
            </c:ext>
          </c:extLst>
        </c:ser>
        <c:ser>
          <c:idx val="2"/>
          <c:order val="2"/>
          <c:tx>
            <c:strRef>
              <c:f>Plan1!$K$13</c:f>
              <c:strCache>
                <c:ptCount val="1"/>
                <c:pt idx="0">
                  <c:v>México</c:v>
                </c:pt>
              </c:strCache>
            </c:strRef>
          </c:tx>
          <c:spPr>
            <a:ln w="22225" cap="rnd">
              <a:solidFill>
                <a:schemeClr val="dk1">
                  <a:tint val="75000"/>
                </a:schemeClr>
              </a:solidFill>
              <a:round/>
            </a:ln>
            <a:effectLst/>
          </c:spPr>
          <c:marker>
            <c:symbol val="triangle"/>
            <c:size val="6"/>
            <c:spPr>
              <a:solidFill>
                <a:schemeClr val="dk1">
                  <a:tint val="75000"/>
                </a:schemeClr>
              </a:solidFill>
              <a:ln w="9525">
                <a:solidFill>
                  <a:schemeClr val="dk1">
                    <a:tint val="75000"/>
                  </a:schemeClr>
                </a:solidFill>
                <a:round/>
              </a:ln>
              <a:effectLst/>
            </c:spPr>
          </c:marker>
          <c:cat>
            <c:numRef>
              <c:f>Plan1!$L$10:$Q$10</c:f>
              <c:numCache>
                <c:formatCode>General</c:formatCode>
                <c:ptCount val="6"/>
                <c:pt idx="0">
                  <c:v>1981</c:v>
                </c:pt>
                <c:pt idx="1">
                  <c:v>1989</c:v>
                </c:pt>
                <c:pt idx="2">
                  <c:v>1994</c:v>
                </c:pt>
                <c:pt idx="3">
                  <c:v>1999</c:v>
                </c:pt>
                <c:pt idx="4">
                  <c:v>2005</c:v>
                </c:pt>
                <c:pt idx="5">
                  <c:v>2010</c:v>
                </c:pt>
              </c:numCache>
            </c:numRef>
          </c:cat>
          <c:val>
            <c:numRef>
              <c:f>Plan1!$L$13:$Q$13</c:f>
              <c:numCache>
                <c:formatCode>0.000</c:formatCode>
                <c:ptCount val="6"/>
                <c:pt idx="0">
                  <c:v>0.70930000000000004</c:v>
                </c:pt>
                <c:pt idx="1">
                  <c:v>0.63239999999999996</c:v>
                </c:pt>
                <c:pt idx="2">
                  <c:v>0.78390000000000004</c:v>
                </c:pt>
                <c:pt idx="3">
                  <c:v>0.58899999999999997</c:v>
                </c:pt>
                <c:pt idx="4">
                  <c:v>0.65549999999999997</c:v>
                </c:pt>
                <c:pt idx="5">
                  <c:v>0.55549999999999999</c:v>
                </c:pt>
              </c:numCache>
            </c:numRef>
          </c:val>
          <c:smooth val="0"/>
          <c:extLst xmlns:c16r2="http://schemas.microsoft.com/office/drawing/2015/06/chart">
            <c:ext xmlns:c16="http://schemas.microsoft.com/office/drawing/2014/chart" uri="{C3380CC4-5D6E-409C-BE32-E72D297353CC}">
              <c16:uniqueId val="{00000002-770B-434D-AF29-E62B2CEAF788}"/>
            </c:ext>
          </c:extLst>
        </c:ser>
        <c:dLbls>
          <c:showLegendKey val="0"/>
          <c:showVal val="0"/>
          <c:showCatName val="0"/>
          <c:showSerName val="0"/>
          <c:showPercent val="0"/>
          <c:showBubbleSize val="0"/>
        </c:dLbls>
        <c:hiLowLines>
          <c:spPr>
            <a:ln w="9525">
              <a:solidFill>
                <a:schemeClr val="tx1">
                  <a:lumMod val="50000"/>
                  <a:lumOff val="50000"/>
                </a:schemeClr>
              </a:solidFill>
            </a:ln>
            <a:effectLst/>
          </c:spPr>
        </c:hiLowLines>
        <c:marker val="1"/>
        <c:smooth val="0"/>
        <c:axId val="288611432"/>
        <c:axId val="288606728"/>
      </c:lineChart>
      <c:catAx>
        <c:axId val="288611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t-BR"/>
          </a:p>
        </c:txPr>
        <c:crossAx val="288606728"/>
        <c:crosses val="autoZero"/>
        <c:auto val="1"/>
        <c:lblAlgn val="ctr"/>
        <c:lblOffset val="100"/>
        <c:noMultiLvlLbl val="0"/>
      </c:catAx>
      <c:valAx>
        <c:axId val="288606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pt-BR"/>
                  <a:t>coeficiente</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pt-BR"/>
            </a:p>
          </c:txPr>
        </c:title>
        <c:numFmt formatCode="0.000"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8861143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C315C8-2C9F-46A9-AB56-757FDA4B8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115</Pages>
  <Words>30484</Words>
  <Characters>164616</Characters>
  <Application>Microsoft Office Word</Application>
  <DocSecurity>0</DocSecurity>
  <Lines>1371</Lines>
  <Paragraphs>389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194711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Fraiha</dc:creator>
  <cp:keywords/>
  <dc:description/>
  <cp:lastModifiedBy>Pedro Fraiha</cp:lastModifiedBy>
  <cp:revision>2</cp:revision>
  <cp:lastPrinted>2016-10-11T14:59:00Z</cp:lastPrinted>
  <dcterms:created xsi:type="dcterms:W3CDTF">2016-10-11T15:00:00Z</dcterms:created>
  <dcterms:modified xsi:type="dcterms:W3CDTF">2016-10-11T15:00:00Z</dcterms:modified>
</cp:coreProperties>
</file>